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6A4192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6A4192">
        <w:rPr>
          <w:rFonts w:ascii="Times New Roman" w:hAnsi="Times New Roman"/>
          <w:sz w:val="24"/>
          <w:szCs w:val="24"/>
        </w:rPr>
        <w:t>»</w:t>
      </w: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6A4192">
        <w:rPr>
          <w:rFonts w:ascii="Times New Roman" w:hAnsi="Times New Roman"/>
          <w:sz w:val="24"/>
          <w:szCs w:val="24"/>
          <w:shd w:val="clear" w:color="auto" w:fill="FFFFFF"/>
        </w:rPr>
        <w:t xml:space="preserve">Кафедра онкологии и лучевой терапии с курсом </w:t>
      </w:r>
      <w:proofErr w:type="gramStart"/>
      <w:r w:rsidRPr="006A4192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gramEnd"/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6A4192">
        <w:rPr>
          <w:rFonts w:ascii="Times New Roman" w:hAnsi="Times New Roman"/>
          <w:sz w:val="24"/>
          <w:szCs w:val="24"/>
          <w:shd w:val="clear" w:color="auto" w:fill="FFFFFF"/>
        </w:rPr>
        <w:t xml:space="preserve">Зав. Кафедрой: д.м.н. профессор </w:t>
      </w:r>
      <w:proofErr w:type="spellStart"/>
      <w:r w:rsidRPr="006A4192">
        <w:rPr>
          <w:rFonts w:ascii="Times New Roman" w:hAnsi="Times New Roman"/>
          <w:sz w:val="24"/>
          <w:szCs w:val="24"/>
          <w:shd w:val="clear" w:color="auto" w:fill="FFFFFF"/>
        </w:rPr>
        <w:t>Зуков</w:t>
      </w:r>
      <w:proofErr w:type="spellEnd"/>
      <w:r w:rsidRPr="006A4192">
        <w:rPr>
          <w:rFonts w:ascii="Times New Roman" w:hAnsi="Times New Roman"/>
          <w:sz w:val="24"/>
          <w:szCs w:val="24"/>
          <w:shd w:val="clear" w:color="auto" w:fill="FFFFFF"/>
        </w:rPr>
        <w:t xml:space="preserve"> Руслан Александрович</w:t>
      </w: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0557F" w:rsidRPr="003B25E1" w:rsidRDefault="00A0557F" w:rsidP="00A0557F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3B25E1">
        <w:rPr>
          <w:rFonts w:ascii="Times New Roman" w:hAnsi="Times New Roman"/>
          <w:b/>
          <w:sz w:val="32"/>
          <w:szCs w:val="32"/>
          <w:shd w:val="clear" w:color="auto" w:fill="FFFFFF"/>
        </w:rPr>
        <w:t>Реферат</w:t>
      </w:r>
    </w:p>
    <w:p w:rsidR="00A0557F" w:rsidRPr="003B25E1" w:rsidRDefault="00A0557F" w:rsidP="00A055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B25E1">
        <w:rPr>
          <w:rFonts w:ascii="Times New Roman" w:hAnsi="Times New Roman"/>
          <w:sz w:val="32"/>
          <w:szCs w:val="32"/>
          <w:shd w:val="clear" w:color="auto" w:fill="FFFFFF"/>
        </w:rPr>
        <w:t xml:space="preserve">Тема:  </w:t>
      </w:r>
      <w:proofErr w:type="spellStart"/>
      <w:r w:rsidRPr="003B25E1">
        <w:rPr>
          <w:rFonts w:ascii="Times New Roman" w:hAnsi="Times New Roman"/>
          <w:sz w:val="32"/>
          <w:szCs w:val="32"/>
          <w:shd w:val="clear" w:color="auto" w:fill="FFFFFF"/>
        </w:rPr>
        <w:t>Таргетная</w:t>
      </w:r>
      <w:proofErr w:type="spellEnd"/>
      <w:r w:rsidRPr="003B25E1">
        <w:rPr>
          <w:rFonts w:ascii="Times New Roman" w:hAnsi="Times New Roman"/>
          <w:sz w:val="32"/>
          <w:szCs w:val="32"/>
          <w:shd w:val="clear" w:color="auto" w:fill="FFFFFF"/>
        </w:rPr>
        <w:t xml:space="preserve"> терапия НМРЛ</w:t>
      </w:r>
    </w:p>
    <w:p w:rsidR="00A0557F" w:rsidRPr="003B25E1" w:rsidRDefault="00A0557F" w:rsidP="00A0557F">
      <w:pPr>
        <w:pStyle w:val="a3"/>
        <w:rPr>
          <w:rFonts w:ascii="Times New Roman" w:hAnsi="Times New Roman"/>
          <w:sz w:val="32"/>
          <w:szCs w:val="32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Проверил:  Руководитель ординатуры, к.м.н. доцент Гаврилюк Дмитрий Владимирович</w:t>
      </w:r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Выполни</w:t>
      </w:r>
      <w:r w:rsidRPr="006A4192">
        <w:rPr>
          <w:rFonts w:ascii="Times New Roman" w:hAnsi="Times New Roman"/>
          <w:sz w:val="24"/>
          <w:szCs w:val="24"/>
        </w:rPr>
        <w:t xml:space="preserve">ла: Клинический ординатор 2 </w:t>
      </w:r>
      <w:r w:rsidRPr="006A4192">
        <w:rPr>
          <w:rFonts w:ascii="Times New Roman" w:hAnsi="Times New Roman"/>
          <w:sz w:val="24"/>
          <w:szCs w:val="24"/>
        </w:rPr>
        <w:t xml:space="preserve">года обучения </w:t>
      </w:r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По специальности 31.08.57 Онкология Кривенченко Елена Алексеевна</w:t>
      </w: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4192" w:rsidRDefault="006A4192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192" w:rsidRDefault="006A4192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192" w:rsidRDefault="006A4192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192" w:rsidRDefault="006A4192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192" w:rsidRDefault="006A4192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25E1" w:rsidRPr="006A4192" w:rsidRDefault="003B25E1" w:rsidP="003B25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Красноярск ,2023г</w:t>
      </w:r>
    </w:p>
    <w:p w:rsidR="006A4192" w:rsidRDefault="006A4192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4192">
        <w:rPr>
          <w:rFonts w:ascii="Times New Roman" w:hAnsi="Times New Roman"/>
          <w:b/>
          <w:sz w:val="24"/>
          <w:szCs w:val="24"/>
        </w:rPr>
        <w:t>Содержание</w:t>
      </w:r>
    </w:p>
    <w:p w:rsidR="00A0557F" w:rsidRDefault="00A0557F" w:rsidP="00A0557F">
      <w:pPr>
        <w:pStyle w:val="a3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Введение</w:t>
      </w:r>
    </w:p>
    <w:p w:rsidR="003B25E1" w:rsidRPr="006A4192" w:rsidRDefault="003B25E1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3B25E1" w:rsidRDefault="00A0557F" w:rsidP="00A0557F">
      <w:pPr>
        <w:pStyle w:val="a3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Теоретическое обосновани</w:t>
      </w:r>
      <w:r w:rsidR="003B25E1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3B25E1">
        <w:rPr>
          <w:rFonts w:ascii="Times New Roman" w:hAnsi="Times New Roman"/>
          <w:sz w:val="24"/>
          <w:szCs w:val="24"/>
        </w:rPr>
        <w:t>таргетной</w:t>
      </w:r>
      <w:proofErr w:type="spellEnd"/>
      <w:r w:rsidR="003B25E1">
        <w:rPr>
          <w:rFonts w:ascii="Times New Roman" w:hAnsi="Times New Roman"/>
          <w:sz w:val="24"/>
          <w:szCs w:val="24"/>
        </w:rPr>
        <w:t xml:space="preserve"> терапии рака легких</w:t>
      </w:r>
    </w:p>
    <w:p w:rsidR="003B25E1" w:rsidRDefault="003B25E1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EB305D" w:rsidRDefault="00EB305D" w:rsidP="00A0557F">
      <w:pPr>
        <w:pStyle w:val="a3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Молекулярно-генетические изменения при</w:t>
      </w:r>
      <w:r w:rsidR="003B25E1">
        <w:rPr>
          <w:rFonts w:ascii="Times New Roman" w:hAnsi="Times New Roman"/>
          <w:sz w:val="24"/>
          <w:szCs w:val="24"/>
        </w:rPr>
        <w:t xml:space="preserve"> НМРЛ и их клиническое значение</w:t>
      </w:r>
    </w:p>
    <w:p w:rsidR="003B25E1" w:rsidRPr="006A4192" w:rsidRDefault="003B25E1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3B25E1" w:rsidRDefault="00A0557F" w:rsidP="00A0557F">
      <w:pPr>
        <w:pStyle w:val="a3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Заключение</w:t>
      </w:r>
    </w:p>
    <w:p w:rsidR="003B25E1" w:rsidRPr="006A4192" w:rsidRDefault="003B25E1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Список литературы</w:t>
      </w: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>
      <w:pPr>
        <w:rPr>
          <w:rFonts w:ascii="Times New Roman" w:hAnsi="Times New Roman" w:cs="Times New Roman"/>
          <w:sz w:val="24"/>
          <w:szCs w:val="24"/>
        </w:rPr>
      </w:pPr>
    </w:p>
    <w:p w:rsidR="00EB305D" w:rsidRPr="006A4192" w:rsidRDefault="00A0557F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br w:type="page"/>
      </w:r>
    </w:p>
    <w:p w:rsidR="003B25E1" w:rsidRPr="003B25E1" w:rsidRDefault="006A4192" w:rsidP="003B25E1">
      <w:pPr>
        <w:jc w:val="center"/>
        <w:rPr>
          <w:rFonts w:ascii="Times New Roman" w:hAnsi="Times New Roman" w:cs="Times New Roman"/>
          <w:b/>
        </w:rPr>
      </w:pPr>
      <w:r w:rsidRPr="003B25E1">
        <w:rPr>
          <w:rFonts w:ascii="Times New Roman" w:hAnsi="Times New Roman" w:cs="Times New Roman"/>
          <w:b/>
        </w:rPr>
        <w:lastRenderedPageBreak/>
        <w:t xml:space="preserve">Теоретическое обоснование </w:t>
      </w:r>
      <w:proofErr w:type="spellStart"/>
      <w:r w:rsidRPr="003B25E1">
        <w:rPr>
          <w:rFonts w:ascii="Times New Roman" w:hAnsi="Times New Roman" w:cs="Times New Roman"/>
          <w:b/>
        </w:rPr>
        <w:t>таргетной</w:t>
      </w:r>
      <w:proofErr w:type="spellEnd"/>
      <w:r w:rsidRPr="003B25E1">
        <w:rPr>
          <w:rFonts w:ascii="Times New Roman" w:hAnsi="Times New Roman" w:cs="Times New Roman"/>
          <w:b/>
        </w:rPr>
        <w:t xml:space="preserve"> терапии рака легких</w:t>
      </w:r>
    </w:p>
    <w:p w:rsidR="003B25E1" w:rsidRDefault="006A4192" w:rsidP="006A4192">
      <w:pPr>
        <w:rPr>
          <w:rFonts w:ascii="Times New Roman" w:hAnsi="Times New Roman" w:cs="Times New Roman"/>
          <w:sz w:val="24"/>
          <w:szCs w:val="24"/>
        </w:rPr>
      </w:pPr>
      <w:r w:rsidRPr="003B25E1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spellStart"/>
      <w:r w:rsidRPr="003B25E1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Pr="003B25E1">
        <w:rPr>
          <w:rFonts w:ascii="Times New Roman" w:hAnsi="Times New Roman" w:cs="Times New Roman"/>
          <w:sz w:val="24"/>
          <w:szCs w:val="24"/>
        </w:rPr>
        <w:t xml:space="preserve">, определяющих эффективность </w:t>
      </w:r>
      <w:proofErr w:type="spellStart"/>
      <w:r w:rsidRPr="003B25E1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Pr="003B25E1">
        <w:rPr>
          <w:rFonts w:ascii="Times New Roman" w:hAnsi="Times New Roman" w:cs="Times New Roman"/>
          <w:sz w:val="24"/>
          <w:szCs w:val="24"/>
        </w:rPr>
        <w:t xml:space="preserve"> терапии </w:t>
      </w:r>
      <w:proofErr w:type="spellStart"/>
      <w:r w:rsidRPr="003B25E1">
        <w:rPr>
          <w:rFonts w:ascii="Times New Roman" w:hAnsi="Times New Roman" w:cs="Times New Roman"/>
          <w:sz w:val="24"/>
          <w:szCs w:val="24"/>
        </w:rPr>
        <w:t>немелкоклеточного</w:t>
      </w:r>
      <w:proofErr w:type="spellEnd"/>
      <w:r w:rsidRPr="003B25E1">
        <w:rPr>
          <w:rFonts w:ascii="Times New Roman" w:hAnsi="Times New Roman" w:cs="Times New Roman"/>
          <w:sz w:val="24"/>
          <w:szCs w:val="24"/>
        </w:rPr>
        <w:t xml:space="preserve"> рака легких, представляют собой геномные аномалии, которые носят название драйверных мутаций (мутация – «водитель»). Драйверные мутации присутствуют в раковых клетках и затрагивают гены, кодирующие синтез протеинов, чье присутствие в клетке является обязательным условием для ее роста и выживания. В клетках НМРЛ был также идентифицирован ряд других мутаций, не играющих значимой роли в поддержании онкогенного фенотипа, и эти мутации получили название вторичных, или мутаци</w:t>
      </w:r>
      <w:proofErr w:type="gramStart"/>
      <w:r w:rsidRPr="003B25E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B25E1">
        <w:rPr>
          <w:rFonts w:ascii="Times New Roman" w:hAnsi="Times New Roman" w:cs="Times New Roman"/>
          <w:sz w:val="24"/>
          <w:szCs w:val="24"/>
        </w:rPr>
        <w:t xml:space="preserve"> «пассажиров». </w:t>
      </w:r>
    </w:p>
    <w:p w:rsidR="003B25E1" w:rsidRDefault="006A4192" w:rsidP="006A4192">
      <w:pPr>
        <w:rPr>
          <w:rFonts w:ascii="Times New Roman" w:hAnsi="Times New Roman" w:cs="Times New Roman"/>
          <w:sz w:val="24"/>
          <w:szCs w:val="24"/>
        </w:rPr>
      </w:pPr>
      <w:r w:rsidRPr="003B25E1">
        <w:rPr>
          <w:rFonts w:ascii="Times New Roman" w:hAnsi="Times New Roman" w:cs="Times New Roman"/>
          <w:sz w:val="24"/>
          <w:szCs w:val="24"/>
        </w:rPr>
        <w:t xml:space="preserve">Драйверные мутации отсутствуют в других клетках организма (нераковых) и, как правило, эксклюзивны: в клетках опухоли присутствует только одна разновидность драйверной мутации. Драйверные мутации носят характер </w:t>
      </w:r>
      <w:proofErr w:type="spellStart"/>
      <w:r w:rsidRPr="003B25E1">
        <w:rPr>
          <w:rFonts w:ascii="Times New Roman" w:hAnsi="Times New Roman" w:cs="Times New Roman"/>
          <w:sz w:val="24"/>
          <w:szCs w:val="24"/>
        </w:rPr>
        <w:t>трансформативных</w:t>
      </w:r>
      <w:proofErr w:type="spellEnd"/>
      <w:r w:rsidRPr="003B25E1">
        <w:rPr>
          <w:rFonts w:ascii="Times New Roman" w:hAnsi="Times New Roman" w:cs="Times New Roman"/>
          <w:sz w:val="24"/>
          <w:szCs w:val="24"/>
        </w:rPr>
        <w:t xml:space="preserve">, то есть выступают инициаторами малигнизации нормальной клетки. Кроме того, драйверные мутации играют роль своеобразного биологического «выключателя»: они закрепляют раковый фенотип клетки, исключая ее из процессов биологической регуляции. Таким образом, драйверные мутации могут рассматриваться как надежные </w:t>
      </w:r>
      <w:proofErr w:type="spellStart"/>
      <w:r w:rsidRPr="003B25E1">
        <w:rPr>
          <w:rFonts w:ascii="Times New Roman" w:hAnsi="Times New Roman" w:cs="Times New Roman"/>
          <w:sz w:val="24"/>
          <w:szCs w:val="24"/>
        </w:rPr>
        <w:t>биомаркеры</w:t>
      </w:r>
      <w:proofErr w:type="spellEnd"/>
      <w:r w:rsidRPr="003B25E1">
        <w:rPr>
          <w:rFonts w:ascii="Times New Roman" w:hAnsi="Times New Roman" w:cs="Times New Roman"/>
          <w:sz w:val="24"/>
          <w:szCs w:val="24"/>
        </w:rPr>
        <w:t xml:space="preserve"> в рамках селекции кандидатов для назначения </w:t>
      </w:r>
      <w:proofErr w:type="spellStart"/>
      <w:r w:rsidRPr="003B25E1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Pr="003B25E1">
        <w:rPr>
          <w:rFonts w:ascii="Times New Roman" w:hAnsi="Times New Roman" w:cs="Times New Roman"/>
          <w:sz w:val="24"/>
          <w:szCs w:val="24"/>
        </w:rPr>
        <w:t xml:space="preserve"> терапии. Более того, драйверная мутация представляет собой идеальную мишень для </w:t>
      </w:r>
      <w:proofErr w:type="spellStart"/>
      <w:r w:rsidRPr="003B25E1">
        <w:rPr>
          <w:rFonts w:ascii="Times New Roman" w:hAnsi="Times New Roman" w:cs="Times New Roman"/>
          <w:sz w:val="24"/>
          <w:szCs w:val="24"/>
        </w:rPr>
        <w:t>таргетных</w:t>
      </w:r>
      <w:proofErr w:type="spellEnd"/>
      <w:r w:rsidRPr="003B25E1">
        <w:rPr>
          <w:rFonts w:ascii="Times New Roman" w:hAnsi="Times New Roman" w:cs="Times New Roman"/>
          <w:sz w:val="24"/>
          <w:szCs w:val="24"/>
        </w:rPr>
        <w:t xml:space="preserve"> препаратов, поскольку выживаемость раковой клетки напрямую зависит от активности драйверной мутации, «выключившей» другие механизмы биологической регуляции. Иными словами, драйверная мутация, обеспечивающая выживание раковой клетки, в то же время является ее ахиллесовой пятой. </w:t>
      </w:r>
    </w:p>
    <w:p w:rsidR="006A4192" w:rsidRPr="003B25E1" w:rsidRDefault="006A4192" w:rsidP="006A4192">
      <w:pPr>
        <w:rPr>
          <w:rFonts w:ascii="Times New Roman" w:hAnsi="Times New Roman" w:cs="Times New Roman"/>
          <w:sz w:val="24"/>
          <w:szCs w:val="24"/>
        </w:rPr>
      </w:pPr>
      <w:r w:rsidRPr="003B25E1">
        <w:rPr>
          <w:rFonts w:ascii="Times New Roman" w:hAnsi="Times New Roman" w:cs="Times New Roman"/>
          <w:sz w:val="24"/>
          <w:szCs w:val="24"/>
        </w:rPr>
        <w:t xml:space="preserve">При НМРЛ и других раковых опухолях идентификация драйверных мутаций у конкретного пациента и, соответственно, назначение адекватной </w:t>
      </w:r>
      <w:proofErr w:type="spellStart"/>
      <w:r w:rsidRPr="003B25E1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Pr="003B25E1">
        <w:rPr>
          <w:rFonts w:ascii="Times New Roman" w:hAnsi="Times New Roman" w:cs="Times New Roman"/>
          <w:sz w:val="24"/>
          <w:szCs w:val="24"/>
        </w:rPr>
        <w:t xml:space="preserve"> терапии оптимизируют терапевтический эффект, а также в большинстве случаев позволяют добиться снижения токсичности. Идентификация драйверных мутаций может и должна рассматриваться как неотъемлемая часть процесса диагностики у пациентов с </w:t>
      </w:r>
      <w:proofErr w:type="spellStart"/>
      <w:r w:rsidRPr="003B25E1">
        <w:rPr>
          <w:rFonts w:ascii="Times New Roman" w:hAnsi="Times New Roman" w:cs="Times New Roman"/>
          <w:sz w:val="24"/>
          <w:szCs w:val="24"/>
        </w:rPr>
        <w:t>немелкоклеточным</w:t>
      </w:r>
      <w:proofErr w:type="spellEnd"/>
      <w:r w:rsidRPr="003B25E1">
        <w:rPr>
          <w:rFonts w:ascii="Times New Roman" w:hAnsi="Times New Roman" w:cs="Times New Roman"/>
          <w:sz w:val="24"/>
          <w:szCs w:val="24"/>
        </w:rPr>
        <w:t xml:space="preserve"> раком легких. На основании полученных результатов можно вынести обоснованное заключение о назначении пациенту стандартной химиотерапии (при отсутствии драйверных мутаций) или </w:t>
      </w:r>
      <w:proofErr w:type="spellStart"/>
      <w:r w:rsidRPr="003B25E1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Pr="003B25E1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p w:rsidR="006A4192" w:rsidRDefault="006A4192" w:rsidP="00EB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192" w:rsidRDefault="006A4192" w:rsidP="00EB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192" w:rsidRDefault="006A4192" w:rsidP="00EB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192" w:rsidRDefault="006A4192" w:rsidP="00EB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192" w:rsidRDefault="006A4192" w:rsidP="00EB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E1" w:rsidRDefault="003B25E1" w:rsidP="00EB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192" w:rsidRDefault="006A4192" w:rsidP="00EB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192" w:rsidRDefault="006A4192" w:rsidP="00EB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F" w:rsidRPr="006A4192" w:rsidRDefault="00A0557F" w:rsidP="00EB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9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30B5F" w:rsidRPr="006A4192" w:rsidRDefault="00E30B5F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t xml:space="preserve">Рак легкого (РЛ) является самым распространенным онкологическим заболеванием в мире и наиболее частой причиной смерти от злокачественных новообразований. Исследования последнего десятилетия выявили значительное число молекулярных событий, приводящих к возникновению и развитию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немелкоклеточного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РЛ (НМРЛ). Идентифицированы молекулярные профили различных гистологических типов НМРЛ у курильщиков и никогда не куривших людей, включающие дифференциальную экспрессию генов и их мутантный статус. При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аденокарциноме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легкого наибольшее клиническое значение имеет активация онкогенов EGFR, KRAS, BRAF, NRAS, HER2, C-MET, PI3K, MEK1 за счет мутаций и генов EML4-ALK, ROS1, RET за счет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транслокаций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. Нарушения в этих генах рассматриваются как драйверные, запускающие канцерогенез; мутация хотя бы в одном из них найдена в 60% опухолей. Именно белковые продукты этих генов чаще всего являются мишенью для индивидуализированной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терапии. EGFR – наиболее важный маркер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аденокарциномы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легкого, при этом частота мутаций EGFR зависит от расовой принадлежности, статуса курения и пола пациента. Наибольшее применение получили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тирозинкиназные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ингибиторы EGFR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эрлотиниб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гефитиниб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афатиниб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), EML4-ALK, c-MET, ROS1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кризитиниб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) у пациентов с мутациями указанных генов. 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Гены, вовлеченные в канцерогенез плоскоклеточного РЛ, изучены в меньшей степени, наибольшее клиническое значение может иметь активация генов FGFR1, PI3K, DDR2, SOX.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Число потенциальных мишеней для терапии постоянно растет в связи с развитием технологий, что открывает новые механизмы канцерогенеза. В будущем изучение молекулярно-генетических маркеров позволит проводить эффективную индивидуализированную терапию пациентов с различными типами РЛ.</w:t>
      </w:r>
    </w:p>
    <w:p w:rsidR="00EB305D" w:rsidRPr="006A4192" w:rsidRDefault="0007081E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br w:type="page"/>
      </w:r>
    </w:p>
    <w:p w:rsidR="00EB305D" w:rsidRPr="006A4192" w:rsidRDefault="00EB305D" w:rsidP="00EB305D">
      <w:pPr>
        <w:rPr>
          <w:rFonts w:ascii="Times New Roman" w:hAnsi="Times New Roman" w:cs="Times New Roman"/>
          <w:b/>
          <w:sz w:val="24"/>
          <w:szCs w:val="24"/>
        </w:rPr>
      </w:pPr>
      <w:r w:rsidRPr="006A4192">
        <w:rPr>
          <w:rFonts w:ascii="Times New Roman" w:hAnsi="Times New Roman" w:cs="Times New Roman"/>
          <w:b/>
          <w:sz w:val="24"/>
          <w:szCs w:val="24"/>
        </w:rPr>
        <w:lastRenderedPageBreak/>
        <w:t>Молекулярно-генетические изменения при НМРЛ и их клиническое значение.</w:t>
      </w:r>
    </w:p>
    <w:p w:rsidR="00EB305D" w:rsidRPr="006A4192" w:rsidRDefault="00EB305D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b/>
          <w:sz w:val="24"/>
          <w:szCs w:val="24"/>
        </w:rPr>
        <w:t xml:space="preserve">Рецептор </w:t>
      </w:r>
      <w:proofErr w:type="spellStart"/>
      <w:r w:rsidRPr="006A4192">
        <w:rPr>
          <w:rFonts w:ascii="Times New Roman" w:hAnsi="Times New Roman" w:cs="Times New Roman"/>
          <w:b/>
          <w:sz w:val="24"/>
          <w:szCs w:val="24"/>
        </w:rPr>
        <w:t>эпидермального</w:t>
      </w:r>
      <w:proofErr w:type="spellEnd"/>
      <w:r w:rsidRPr="006A4192">
        <w:rPr>
          <w:rFonts w:ascii="Times New Roman" w:hAnsi="Times New Roman" w:cs="Times New Roman"/>
          <w:b/>
          <w:sz w:val="24"/>
          <w:szCs w:val="24"/>
        </w:rPr>
        <w:t xml:space="preserve"> фактора роста (EGFR</w:t>
      </w:r>
      <w:r w:rsidRPr="006A4192">
        <w:rPr>
          <w:rFonts w:ascii="Times New Roman" w:hAnsi="Times New Roman" w:cs="Times New Roman"/>
          <w:sz w:val="24"/>
          <w:szCs w:val="24"/>
        </w:rPr>
        <w:t xml:space="preserve">), также известный как HER1, или ErbB1, относится к подсемейству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тирозинкиназных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рецепторов. Нарушения в гене EGFR вызывают активацию сигнальных путей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Raf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Mek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Mapk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 PI3K/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, что приводит к пролиферации опухолевых клеток, инвазивному росту, метастазированию и стимуляции опухолевого неоангиогенеза. 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 xml:space="preserve">Мутации в гене EGFR встречаются в 15–40% случаев НМРЛ и характерны для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аденокарцином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, чаще встречаются в азиатской популяции, среди женщин, некурящих]. 18–21-я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экзоны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гена EGFR кодируют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тирозинкиназный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домен рецептора, и мутации в этих регионах определяют чувствительность к терапии низкомолекулярными ингибиторами EGFR.</w:t>
      </w:r>
      <w:proofErr w:type="gramEnd"/>
    </w:p>
    <w:p w:rsidR="00EB305D" w:rsidRPr="006A4192" w:rsidRDefault="00EB305D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t xml:space="preserve">К наиболее распространенным мутациям относятся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в 19-й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экзоне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 мутация p.L858R в 21-й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экзоне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гена EGFR, реже встречаются мутации в 18-й и 20-й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экзонах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этого гена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70CB" w:rsidRPr="006A4192" w:rsidRDefault="001F70CB" w:rsidP="001F70CB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t xml:space="preserve">В настоящее время существует шесть одобренных FDA ИТК EGFR. Все препараты, кроме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моберцертиниба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ExkivityTM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), который одобрен для 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инсерционных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мутаций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20 EGFR, одобрены для 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19 EGFR и замещающих мутаций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21 (L858R).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Афатиниб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Gilotrif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®) и 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осимертиниб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Tagrisso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®) также имеют дополнительные показания:</w:t>
      </w:r>
      <w:r w:rsidRPr="006A4192">
        <w:rPr>
          <w:rFonts w:ascii="Times New Roman" w:hAnsi="Times New Roman" w:cs="Times New Roman"/>
          <w:sz w:val="24"/>
          <w:szCs w:val="24"/>
        </w:rPr>
        <w:br/>
      </w:r>
      <w:r w:rsidRPr="006A4192">
        <w:rPr>
          <w:rFonts w:ascii="Times New Roman" w:hAnsi="Times New Roman" w:cs="Times New Roman"/>
          <w:sz w:val="24"/>
          <w:szCs w:val="24"/>
        </w:rPr>
        <w:br/>
      </w:r>
    </w:p>
    <w:p w:rsidR="001F70CB" w:rsidRPr="006A4192" w:rsidRDefault="001F70CB" w:rsidP="001F70C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Афатиниб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Гилотриф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>®):</w:t>
      </w:r>
      <w:r w:rsidRPr="006A419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для лечения первой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линиипациентов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с метастатическим НМРЛ, опухоли которых имеют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нерезистентные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мутации EGFR, обнаруженные с помощью одобренного FDA теста. 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 xml:space="preserve">(Наиболее распространенными из них являются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делеция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19 и замена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21 (L858R).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Более редкими мутациями являются S768L, L861Q и G719X.)</w:t>
      </w:r>
      <w:proofErr w:type="gramEnd"/>
    </w:p>
    <w:p w:rsidR="001F70CB" w:rsidRPr="006A4192" w:rsidRDefault="001F70CB" w:rsidP="001F70C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Дакомитиниб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Визимпро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>®):</w:t>
      </w:r>
      <w:r w:rsidRPr="006A419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для терапии первой линии у пациентов с метастатическим НМРЛ, опухоли которых имеют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19 EGFR или замещающие мутации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21 (L858R), обнаруженные с помощью теста, одобренного FDA.</w:t>
      </w:r>
    </w:p>
    <w:p w:rsidR="001F70CB" w:rsidRPr="006A4192" w:rsidRDefault="001F70CB" w:rsidP="001F70C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Эрлотиниб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Тарцева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>®):</w:t>
      </w:r>
      <w:r w:rsidRPr="006A419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для лечения пациентов с EGFR-положительным метастатическим НМРЛ. Сюда входят пациенты, опухоли которых имеют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19 EGFR или замещающие мутации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21 (L858R), обнаруженные с помощью теста, одобренного FDA, которые получают лечение первой линии или поддерживающую терапию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, или лечение второй или последующей линии после прогрессирования по крайней мере после одного предшествующего режима химиотерапии.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Эрлотиниб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Тарцева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®) также 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в комбинации с 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рамуцирумабом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Сирамза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®), ингибитором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ангиогенеза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, для лечения первой линии метастатического НМРЛ с 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делециями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19 EGFR или замещенными мутациями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21 (L858R).</w:t>
      </w:r>
    </w:p>
    <w:p w:rsidR="001F70CB" w:rsidRPr="006A4192" w:rsidRDefault="001F70CB" w:rsidP="001F70C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Гефитиниб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Iressa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>®):</w:t>
      </w:r>
      <w:r w:rsidRPr="006A419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для лечения первой линии пациентов с метастатическим НМРЛ, опухоли которых имеют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19 EGFR или </w:t>
      </w:r>
      <w:r w:rsidRPr="006A4192">
        <w:rPr>
          <w:rFonts w:ascii="Times New Roman" w:hAnsi="Times New Roman" w:cs="Times New Roman"/>
          <w:sz w:val="24"/>
          <w:szCs w:val="24"/>
        </w:rPr>
        <w:lastRenderedPageBreak/>
        <w:t xml:space="preserve">замещающие мутации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21 (L858R), обнаруженные с помощью теста, одобренного FDA.</w:t>
      </w:r>
    </w:p>
    <w:p w:rsidR="001F70CB" w:rsidRPr="006A4192" w:rsidRDefault="001F70CB" w:rsidP="001F70C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Моберцертиниб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Exkivity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 xml:space="preserve"> TM):</w:t>
      </w:r>
      <w:r w:rsidRPr="006A419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для лечения взрослых пациентов с 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местнораспространенным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или метастатическим НМРЛ с 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инсерционной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мутацией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20 EGFR, выявленным с помощью теста, одобренного FDA, и которые ранее получали химиотерапию на основе препаратов платины.</w:t>
      </w:r>
    </w:p>
    <w:p w:rsidR="001F70CB" w:rsidRPr="006A4192" w:rsidRDefault="001F70CB" w:rsidP="001F70C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Осимертиниб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Tagrisso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>®):</w:t>
      </w:r>
      <w:r w:rsidRPr="006A419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для лечения первой линии пациентов с метастатическим НМРЛ, опухоли которых имеют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19 EGFR или замещающие мутации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21 (L858R), обнаруженные с помощью теста, одобренного FDA. Он также одобрен для лечения второй линии пациентов с метастатическим НМРЛ, опухоли которых являются EGFR T790M-позитивными, что подтверждается одобренным FDA тестом, и чье заболевание прогрессирует во время или после терапии EGFR TKI.</w:t>
      </w:r>
    </w:p>
    <w:p w:rsidR="001F70CB" w:rsidRPr="006A4192" w:rsidRDefault="00EB305D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b/>
          <w:sz w:val="24"/>
          <w:szCs w:val="24"/>
        </w:rPr>
        <w:t xml:space="preserve">Ген ALK </w:t>
      </w:r>
      <w:r w:rsidRPr="006A4192">
        <w:rPr>
          <w:rFonts w:ascii="Times New Roman" w:hAnsi="Times New Roman" w:cs="Times New Roman"/>
          <w:sz w:val="24"/>
          <w:szCs w:val="24"/>
        </w:rPr>
        <w:t xml:space="preserve">кодирует 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одноименную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тирозиновую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киназу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. 5–10% случаев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аденокарцином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легкого имеют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транслокацию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и/или химерный ген EML4-ALK. Химерный ген образуется при инверсии в коротком плече 2-й хромосомы, которая соединяет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экзоны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1–14-го гена EML4 с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экзонами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20–29-го гена ALK [19]. Это приводит к постоянной активации сигнального пути ALK, 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в конечном счете активирует ключевые регуляторы клеточного деления, такие как MAP-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киназу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 PI3K. Перестройки гена ALK практически никогда не сочетаются с мутациями в генах EGFR и KRAS и характерны для пациентов молодого возраста, некурящих 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аденокарцином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. Критерием к назначению ингибиторов ALK является ALK-позитивный статус опухоли. </w:t>
      </w:r>
    </w:p>
    <w:p w:rsidR="001F70CB" w:rsidRPr="006A4192" w:rsidRDefault="001F70CB" w:rsidP="001F70CB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t>В настоящее время существует пять TKI ALK, одобренных FDA:</w:t>
      </w:r>
    </w:p>
    <w:p w:rsidR="001F70CB" w:rsidRPr="006A4192" w:rsidRDefault="001F70CB" w:rsidP="001F70C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Алектиниб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Алеценза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®).</w:t>
      </w:r>
    </w:p>
    <w:p w:rsidR="001F70CB" w:rsidRPr="006A4192" w:rsidRDefault="001F70CB" w:rsidP="001F70C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Бригатиниб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Аланбриг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®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CB" w:rsidRPr="006A4192" w:rsidRDefault="001F70CB" w:rsidP="001F70C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Церитиниб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Zykadia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®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F70CB" w:rsidRPr="006A4192" w:rsidRDefault="001F70CB" w:rsidP="001F70C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Кризотиниб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Ксалкори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®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F70CB" w:rsidRPr="006A4192" w:rsidRDefault="001F70CB" w:rsidP="00EB305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Лорлатиниб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Lorbrena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®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B25E1" w:rsidRDefault="00EB305D" w:rsidP="001F70CB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b/>
          <w:sz w:val="24"/>
          <w:szCs w:val="24"/>
        </w:rPr>
        <w:t>ROS1</w:t>
      </w:r>
      <w:r w:rsidRPr="006A4192">
        <w:rPr>
          <w:rFonts w:ascii="Times New Roman" w:hAnsi="Times New Roman" w:cs="Times New Roman"/>
          <w:sz w:val="24"/>
          <w:szCs w:val="24"/>
        </w:rPr>
        <w:t xml:space="preserve"> – интегральный мембранный белок I типа, кодируемый геном ROS1, обладающий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тирозинкиназной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активностью. Недавние исследования выявили наличие перестройки гена ROS1, а также некоторые химерные варианты этого гена для пациентов с НМРЛ. Частота этих изменений невелика и составляет 1,5–2,0%. </w:t>
      </w:r>
      <w:r w:rsidR="001F70CB" w:rsidRPr="006A4192">
        <w:rPr>
          <w:rFonts w:ascii="Times New Roman" w:hAnsi="Times New Roman" w:cs="Times New Roman"/>
          <w:sz w:val="24"/>
          <w:szCs w:val="24"/>
        </w:rPr>
        <w:t xml:space="preserve">Около 1−2% пациентов с НМРЛ в США и 2−3% в Восточной Азии имеют опухоли с мутацией ROS1. Опухоли ROS1 чаще встречаются у более молодых пациентов (средний возраст на момент постановки диагноза 50 лет), женщин, никогда не куривших и больных </w:t>
      </w:r>
      <w:proofErr w:type="spellStart"/>
      <w:r w:rsidR="001F70CB" w:rsidRPr="006A4192">
        <w:rPr>
          <w:rFonts w:ascii="Times New Roman" w:hAnsi="Times New Roman" w:cs="Times New Roman"/>
          <w:sz w:val="24"/>
          <w:szCs w:val="24"/>
        </w:rPr>
        <w:t>аденокарциномой</w:t>
      </w:r>
      <w:proofErr w:type="spellEnd"/>
      <w:r w:rsidR="001F70CB" w:rsidRPr="006A4192">
        <w:rPr>
          <w:rFonts w:ascii="Times New Roman" w:hAnsi="Times New Roman" w:cs="Times New Roman"/>
          <w:sz w:val="24"/>
          <w:szCs w:val="24"/>
        </w:rPr>
        <w:t xml:space="preserve"> легкого.</w:t>
      </w:r>
      <w:r w:rsidR="001F70CB" w:rsidRPr="006A4192">
        <w:rPr>
          <w:rFonts w:ascii="Times New Roman" w:hAnsi="Times New Roman" w:cs="Times New Roman"/>
          <w:sz w:val="24"/>
          <w:szCs w:val="24"/>
        </w:rPr>
        <w:br/>
      </w:r>
      <w:r w:rsidR="001F70CB" w:rsidRPr="006A4192">
        <w:rPr>
          <w:rFonts w:ascii="Times New Roman" w:hAnsi="Times New Roman" w:cs="Times New Roman"/>
          <w:sz w:val="24"/>
          <w:szCs w:val="24"/>
        </w:rPr>
        <w:br/>
      </w:r>
    </w:p>
    <w:p w:rsidR="003B25E1" w:rsidRDefault="003B25E1" w:rsidP="001F70CB">
      <w:pPr>
        <w:rPr>
          <w:rFonts w:ascii="Times New Roman" w:hAnsi="Times New Roman" w:cs="Times New Roman"/>
          <w:sz w:val="24"/>
          <w:szCs w:val="24"/>
        </w:rPr>
      </w:pPr>
    </w:p>
    <w:p w:rsidR="001F70CB" w:rsidRPr="006A4192" w:rsidRDefault="001F70CB" w:rsidP="001F70CB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lastRenderedPageBreak/>
        <w:t>В настоящее время существует два TKI ROS1, одобренных FDA:</w:t>
      </w:r>
      <w:r w:rsidRPr="006A4192">
        <w:rPr>
          <w:rFonts w:ascii="Times New Roman" w:hAnsi="Times New Roman" w:cs="Times New Roman"/>
          <w:sz w:val="24"/>
          <w:szCs w:val="24"/>
        </w:rPr>
        <w:br/>
      </w:r>
    </w:p>
    <w:p w:rsidR="001F70CB" w:rsidRPr="006A4192" w:rsidRDefault="001F70CB" w:rsidP="001F70C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Кризотиниб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Ксалкори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F70CB" w:rsidRPr="006A4192" w:rsidRDefault="001F70CB" w:rsidP="00EB305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Энтректиниб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b/>
          <w:bCs/>
          <w:sz w:val="24"/>
          <w:szCs w:val="24"/>
        </w:rPr>
        <w:t>Розлитрек</w:t>
      </w:r>
      <w:proofErr w:type="spellEnd"/>
      <w:r w:rsidRPr="006A4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6A4192" w:rsidRDefault="006A4192" w:rsidP="00EB305D">
      <w:pPr>
        <w:rPr>
          <w:rFonts w:ascii="Times New Roman" w:hAnsi="Times New Roman" w:cs="Times New Roman"/>
          <w:b/>
          <w:sz w:val="24"/>
          <w:szCs w:val="24"/>
        </w:rPr>
      </w:pPr>
      <w:r w:rsidRPr="006A4192">
        <w:rPr>
          <w:rFonts w:ascii="Times New Roman" w:hAnsi="Times New Roman" w:cs="Times New Roman"/>
          <w:b/>
          <w:sz w:val="24"/>
          <w:szCs w:val="24"/>
        </w:rPr>
        <w:t xml:space="preserve">Мутации RAS </w:t>
      </w:r>
    </w:p>
    <w:p w:rsidR="006A4192" w:rsidRDefault="006A4192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t xml:space="preserve">RAS – общее название группы онкогенов, идентифицированных в процессе изучения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ретровирусов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, индуцирующих развитие саркомы у крыс (RAS –от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sarcoma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).Геном человека содержит гомологи: KRAS, NRAS и HRAS. RAS протеины относятся к семейству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мембранносвязанных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ГТФаз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медиатора в процессах MAP-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киназного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 PI3K каскадов, контролирующих процессы клеточной пролиферации 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. Онкогенные мутации RAS представляют собой точечные замены в кодонах 12 и 13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миссенс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-мутации) и проявляются в виде постоянной активности RAS-протеинов. Активизирующие KRAS мутации наблюдаются у 20-25% пациентов с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немелкоклеточной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аденокарциномой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 превалируют у курильщиков. NRAS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гомологичны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KRAS, встречаются примерно у 1% пациентов с НМРЛ, преимущественно у курильщиков. Клиническое значение NRAS в настоящее время не установлено,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терапии не разработано. Мутации KRAS оказывают незначительное влияние на прогноз выживаемости. Ранее считалось, что они ассоциируются с неблагоприятным прогнозом. Наиболее широкомасштабное исследование в данной области заключалось в ретроспективном анализе статистических данных, собранных в 4 группах пациентов с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немелкоклеточным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раком легких общей численностью 1543 человека. Все пациенты получали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адъювантную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химиотерапию после резекции легкого, у 300 из них были идентифицированы мутации KRAS. Статистически значимых отличий в показателях выживаемости зафиксировано не было. При анализе данных, собранных в группе пациентов с 4 стадией НМРЛ, отмечалась тенденция к ухудшению прогноза при наличии KRAS. Однако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изза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гетерогенности контрольной группы, в состав которой входили также пациенты с EFGR мутациями (более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благоприятными), вынести однозначное заключение о влиянии KRAS на выживаемость не представляется возможным. Многочисленные попытки выделить специфические ингибиторы RAS не увенчались успехом.</w:t>
      </w:r>
    </w:p>
    <w:p w:rsidR="006A4192" w:rsidRPr="006A4192" w:rsidRDefault="006A4192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t xml:space="preserve"> В настоящее время исследуется возможность воздействия на эффекторы 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активированных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KRAS: </w:t>
      </w:r>
      <w:r w:rsidRPr="006A419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Ингибитор MEK – </w:t>
      </w:r>
      <w:proofErr w:type="spellStart"/>
      <w:r w:rsidRPr="006A4192">
        <w:rPr>
          <w:rFonts w:ascii="Times New Roman" w:hAnsi="Times New Roman" w:cs="Times New Roman"/>
          <w:b/>
          <w:sz w:val="24"/>
          <w:szCs w:val="24"/>
          <w:u w:val="single"/>
        </w:rPr>
        <w:t>селуметиниб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. У пациентов с KRAS мутациями, получавших лечение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доцетакселом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, в группе, получавшей комбинированную терапию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доцетаксел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селуметиниб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, было зарегистрировано повышение показателей выживаемости, как общей, так 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беспрогрессивной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. Вместе с тем, комбинированная терапия сопровождалась более выраженными токсическими побочными эффектами: субфебрильной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нейтропенией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, диареей, тошнотой, рвотой, сыпью.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Преклинические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исследования на генетически модифицированных лабораторных мышах продемонстрировали, что опухоли, содержащие исключительно KRAS мутации, в большей степени восприимчивы к комбинированной терапии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доцетакселом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селуметинибом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. В то же время, сочетание KRAS и p53 характеризуется умеренной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сенситивностью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, а KRAS и LBK1 – резистентностью. По-видимому, эффективность терапии в данном случае определяется наличием комплекса мутаци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«пассажиров»; </w:t>
      </w:r>
      <w:r w:rsidRPr="006A419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Ингибитор MEK – </w:t>
      </w:r>
      <w:proofErr w:type="spellStart"/>
      <w:r w:rsidRPr="006A4192">
        <w:rPr>
          <w:rFonts w:ascii="Times New Roman" w:hAnsi="Times New Roman" w:cs="Times New Roman"/>
          <w:b/>
          <w:sz w:val="24"/>
          <w:szCs w:val="24"/>
          <w:u w:val="single"/>
        </w:rPr>
        <w:t>траметиниб</w:t>
      </w:r>
      <w:proofErr w:type="spellEnd"/>
      <w:r w:rsidRPr="006A41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A4192">
        <w:rPr>
          <w:rFonts w:ascii="Times New Roman" w:hAnsi="Times New Roman" w:cs="Times New Roman"/>
          <w:sz w:val="24"/>
          <w:szCs w:val="24"/>
        </w:rPr>
        <w:t xml:space="preserve"> Положительный эффект </w:t>
      </w:r>
      <w:r w:rsidRPr="006A4192">
        <w:rPr>
          <w:rFonts w:ascii="Times New Roman" w:hAnsi="Times New Roman" w:cs="Times New Roman"/>
          <w:sz w:val="24"/>
          <w:szCs w:val="24"/>
        </w:rPr>
        <w:lastRenderedPageBreak/>
        <w:t xml:space="preserve">терапии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траметинибом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зафиксирован в группе пациентов с НМРЛ, однако убедительного доказательства его связи с наличием мутаций KRAS получить не удалось.</w:t>
      </w:r>
    </w:p>
    <w:p w:rsidR="00EB305D" w:rsidRPr="006A4192" w:rsidRDefault="00EB305D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b/>
          <w:sz w:val="24"/>
          <w:szCs w:val="24"/>
        </w:rPr>
        <w:t>Ген BRAF</w:t>
      </w:r>
      <w:r w:rsidRPr="006A4192">
        <w:rPr>
          <w:rFonts w:ascii="Times New Roman" w:hAnsi="Times New Roman" w:cs="Times New Roman"/>
          <w:sz w:val="24"/>
          <w:szCs w:val="24"/>
        </w:rPr>
        <w:t xml:space="preserve"> кодирует 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одноименную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серин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треониновую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протеинкиназу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 функционирует в сигнальном каскаде ниже RAS. Мутации гена BRAF встречаются примерно в 1–3% НМРЛ [31]. Примерно в 50% случаев это мутация V600E, однако встречаются другие мут</w:t>
      </w:r>
      <w:r w:rsidR="001F70CB" w:rsidRPr="006A4192">
        <w:rPr>
          <w:rFonts w:ascii="Times New Roman" w:hAnsi="Times New Roman" w:cs="Times New Roman"/>
          <w:sz w:val="24"/>
          <w:szCs w:val="24"/>
        </w:rPr>
        <w:t>ации, например G468A и L596V</w:t>
      </w:r>
      <w:r w:rsidRPr="006A4192">
        <w:rPr>
          <w:rFonts w:ascii="Times New Roman" w:hAnsi="Times New Roman" w:cs="Times New Roman"/>
          <w:sz w:val="24"/>
          <w:szCs w:val="24"/>
        </w:rPr>
        <w:t xml:space="preserve">. В отличие от EGFR, ALK, ROS1 мутации в гене BRAF характерны для курильщиков. </w:t>
      </w:r>
      <w:proofErr w:type="spellStart"/>
      <w:r w:rsidRPr="006A4192">
        <w:rPr>
          <w:rFonts w:ascii="Times New Roman" w:hAnsi="Times New Roman" w:cs="Times New Roman"/>
          <w:b/>
          <w:sz w:val="24"/>
          <w:szCs w:val="24"/>
          <w:u w:val="single"/>
        </w:rPr>
        <w:t>Дабрафениб</w:t>
      </w:r>
      <w:proofErr w:type="spellEnd"/>
      <w:r w:rsidRPr="006A4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4192">
        <w:rPr>
          <w:rFonts w:ascii="Times New Roman" w:hAnsi="Times New Roman" w:cs="Times New Roman"/>
          <w:sz w:val="24"/>
          <w:szCs w:val="24"/>
        </w:rPr>
        <w:t xml:space="preserve">– ингибитор BRAF, который в настоящее время проходит II фазу клинических испытаний на пациентах с 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распространенным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НМРЛ (в качестве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 </w:t>
      </w:r>
      <w:r w:rsidR="001F70CB" w:rsidRPr="006A4192">
        <w:rPr>
          <w:rFonts w:ascii="Times New Roman" w:hAnsi="Times New Roman" w:cs="Times New Roman"/>
          <w:sz w:val="24"/>
          <w:szCs w:val="24"/>
        </w:rPr>
        <w:t xml:space="preserve">в сочетании с </w:t>
      </w:r>
      <w:proofErr w:type="spellStart"/>
      <w:r w:rsidR="001F70CB" w:rsidRPr="006A4192">
        <w:rPr>
          <w:rFonts w:ascii="Times New Roman" w:hAnsi="Times New Roman" w:cs="Times New Roman"/>
          <w:sz w:val="24"/>
          <w:szCs w:val="24"/>
        </w:rPr>
        <w:t>траметинибом</w:t>
      </w:r>
      <w:proofErr w:type="spellEnd"/>
      <w:r w:rsidR="001F70CB" w:rsidRPr="006A4192">
        <w:rPr>
          <w:rFonts w:ascii="Times New Roman" w:hAnsi="Times New Roman" w:cs="Times New Roman"/>
          <w:sz w:val="24"/>
          <w:szCs w:val="24"/>
        </w:rPr>
        <w:t xml:space="preserve">) </w:t>
      </w:r>
      <w:r w:rsidRPr="006A4192">
        <w:rPr>
          <w:rFonts w:ascii="Times New Roman" w:hAnsi="Times New Roman" w:cs="Times New Roman"/>
          <w:sz w:val="24"/>
          <w:szCs w:val="24"/>
        </w:rPr>
        <w:t>.</w:t>
      </w:r>
    </w:p>
    <w:p w:rsidR="00EB305D" w:rsidRPr="006A4192" w:rsidRDefault="00EB305D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b/>
          <w:sz w:val="24"/>
          <w:szCs w:val="24"/>
        </w:rPr>
        <w:t>HER2 (ErbB-2)</w:t>
      </w:r>
      <w:r w:rsidRPr="006A4192">
        <w:rPr>
          <w:rFonts w:ascii="Times New Roman" w:hAnsi="Times New Roman" w:cs="Times New Roman"/>
          <w:sz w:val="24"/>
          <w:szCs w:val="24"/>
        </w:rPr>
        <w:t xml:space="preserve"> — мембранный белок,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тирозиновая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протеинкиназа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семейства рецепторов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ErbB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. Известно, что амплификация гена HER2 характерна для инвазивного рака молочной железы. Однако амплификация этого гена также вст</w:t>
      </w:r>
      <w:r w:rsidR="006A4192" w:rsidRPr="006A4192">
        <w:rPr>
          <w:rFonts w:ascii="Times New Roman" w:hAnsi="Times New Roman" w:cs="Times New Roman"/>
          <w:sz w:val="24"/>
          <w:szCs w:val="24"/>
        </w:rPr>
        <w:t>речается примерно в 4% НМРЛ</w:t>
      </w:r>
      <w:proofErr w:type="gramStart"/>
      <w:r w:rsidR="006A4192" w:rsidRPr="006A4192">
        <w:rPr>
          <w:rFonts w:ascii="Times New Roman" w:hAnsi="Times New Roman" w:cs="Times New Roman"/>
          <w:sz w:val="24"/>
          <w:szCs w:val="24"/>
        </w:rPr>
        <w:t xml:space="preserve"> </w:t>
      </w:r>
      <w:r w:rsidRPr="006A41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 xml:space="preserve"> Согласно данным других исследований 1–2% НМРЛ, обнаружены мутации в 20-й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экзоне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гена HER2, характерные для женщин, некурящих </w:t>
      </w:r>
      <w:r w:rsidR="006A4192" w:rsidRPr="006A419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A4192" w:rsidRPr="006A4192">
        <w:rPr>
          <w:rFonts w:ascii="Times New Roman" w:hAnsi="Times New Roman" w:cs="Times New Roman"/>
          <w:sz w:val="24"/>
          <w:szCs w:val="24"/>
        </w:rPr>
        <w:t>аденокарцином</w:t>
      </w:r>
      <w:proofErr w:type="spellEnd"/>
      <w:r w:rsidR="006A4192" w:rsidRPr="006A4192">
        <w:rPr>
          <w:rFonts w:ascii="Times New Roman" w:hAnsi="Times New Roman" w:cs="Times New Roman"/>
          <w:sz w:val="24"/>
          <w:szCs w:val="24"/>
        </w:rPr>
        <w:t xml:space="preserve"> легкого </w:t>
      </w:r>
      <w:r w:rsidRPr="006A4192">
        <w:rPr>
          <w:rFonts w:ascii="Times New Roman" w:hAnsi="Times New Roman" w:cs="Times New Roman"/>
          <w:sz w:val="24"/>
          <w:szCs w:val="24"/>
        </w:rPr>
        <w:t>. Показано, что анти-HER2-терапия пациентов с НМРЛ, имеющих амплификацию гена HER2, неэффективна.</w:t>
      </w:r>
    </w:p>
    <w:p w:rsidR="00EB305D" w:rsidRPr="006A4192" w:rsidRDefault="00EB305D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t>Проводятся следующие клин</w:t>
      </w:r>
      <w:r w:rsidR="006A4192" w:rsidRPr="006A4192">
        <w:rPr>
          <w:rFonts w:ascii="Times New Roman" w:hAnsi="Times New Roman" w:cs="Times New Roman"/>
          <w:sz w:val="24"/>
          <w:szCs w:val="24"/>
        </w:rPr>
        <w:t>ические испытания (II фаза)</w:t>
      </w:r>
      <w:proofErr w:type="gramStart"/>
      <w:r w:rsidR="006A4192" w:rsidRPr="006A4192">
        <w:rPr>
          <w:rFonts w:ascii="Times New Roman" w:hAnsi="Times New Roman" w:cs="Times New Roman"/>
          <w:sz w:val="24"/>
          <w:szCs w:val="24"/>
        </w:rPr>
        <w:t xml:space="preserve"> </w:t>
      </w:r>
      <w:r w:rsidRPr="006A41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B305D" w:rsidRPr="006A4192" w:rsidRDefault="00EB305D" w:rsidP="00EB305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трастузумаб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в сочетании с химиотерапией пациентов с НМРЛ и мутациями в гене HER2;</w:t>
      </w:r>
    </w:p>
    <w:p w:rsidR="00EB305D" w:rsidRPr="006A4192" w:rsidRDefault="00EB305D" w:rsidP="00EB305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нератиниб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– низкомолекулярный ингибитор HER2 в качестве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, а также в сочетании с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темсиролимусом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(ингибитор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) в группе пациентов с НМРЛ и мутациями в гене HER2.</w:t>
      </w:r>
    </w:p>
    <w:p w:rsidR="00EB305D" w:rsidRPr="006A4192" w:rsidRDefault="00EB305D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b/>
          <w:sz w:val="24"/>
          <w:szCs w:val="24"/>
        </w:rPr>
        <w:t>Ген PIK3CA</w:t>
      </w:r>
      <w:r w:rsidRPr="006A4192">
        <w:rPr>
          <w:rFonts w:ascii="Times New Roman" w:hAnsi="Times New Roman" w:cs="Times New Roman"/>
          <w:sz w:val="24"/>
          <w:szCs w:val="24"/>
        </w:rPr>
        <w:t xml:space="preserve"> кодирует каталитическую субъединицу, участвующую в процессах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AT</w:t>
      </w:r>
      <w:proofErr w:type="gramStart"/>
      <w:r w:rsidRPr="006A419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A4192">
        <w:rPr>
          <w:rFonts w:ascii="Times New Roman" w:hAnsi="Times New Roman" w:cs="Times New Roman"/>
          <w:sz w:val="24"/>
          <w:szCs w:val="24"/>
        </w:rPr>
        <w:t>, является участником сигнального пути PI3K/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. Мутации в гене PIK3CA встречаются примерно в 15% плоскоклеточных раков легкого и 2%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аденокарцином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, а в настоящее время служат также объектом клинических исследований (ингибиторы PIK3CA – BKM120, GDC-0941) [18, 36]. Сигнальный путь PI3K/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играет важную роль в пролиферации клеток, синтезе белков 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ангиогенезе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. Основным фактором, лимитирующим активность данного пути, является ген PTEN, ключевой ген –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супрессор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опухолевого роста, мутации в котором встречаются примерно в 10% плоскоклеточных раков легкого.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, или инактивирующие, мутации в гене PTEN приводят к усилению экспрессии гена PI3KCA, что активирует сигнальный путь PI3K/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гена PTEN является маркером неблагоприятного прогноза для пациентов с НМРЛ [37].</w:t>
      </w:r>
    </w:p>
    <w:p w:rsidR="00EB305D" w:rsidRPr="006A4192" w:rsidRDefault="00EB305D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b/>
          <w:sz w:val="24"/>
          <w:szCs w:val="24"/>
        </w:rPr>
        <w:t>c-</w:t>
      </w:r>
      <w:proofErr w:type="spellStart"/>
      <w:r w:rsidRPr="006A4192">
        <w:rPr>
          <w:rFonts w:ascii="Times New Roman" w:hAnsi="Times New Roman" w:cs="Times New Roman"/>
          <w:b/>
          <w:sz w:val="24"/>
          <w:szCs w:val="24"/>
        </w:rPr>
        <w:t>Met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протоонкоген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, который кодирует белок MET, обладающий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тирозинкиназной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активностью. Активация MET при НМРЛ коррелирует с неблагоприятным прогнозом: активным опухолевым ростом, стимуляцией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ангиогенеза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, метастазированием. Амплификация c-MET встречается среди 20–22% пациентов, получавших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таргетную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терапию, и всего лишь среди 4% пациентов, не получавших лечения. Амплификация и экспрессия этого гена вызывают резистентность к низкомолекулярным ингибиторам EGFR [38]. Результаты клинических испытаний по совместному применению </w:t>
      </w:r>
      <w:r w:rsidRPr="006A4192">
        <w:rPr>
          <w:rFonts w:ascii="Times New Roman" w:hAnsi="Times New Roman" w:cs="Times New Roman"/>
          <w:sz w:val="24"/>
          <w:szCs w:val="24"/>
        </w:rPr>
        <w:lastRenderedPageBreak/>
        <w:t>низкомолекулярных ингибиторов EGFR и ингибиторов MET (INC280), возможно, позволят решить проблему вторичной резистентности пациентов с НМРЛ.</w:t>
      </w:r>
    </w:p>
    <w:p w:rsidR="00EB305D" w:rsidRPr="006A4192" w:rsidRDefault="00EB305D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b/>
          <w:sz w:val="24"/>
          <w:szCs w:val="24"/>
        </w:rPr>
        <w:t>FGFR1</w:t>
      </w:r>
      <w:r w:rsidRPr="006A41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тирозинкиназный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рецептор,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которого являются членами семейства факторов роста фибробластов. Согласно исследованию J.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Weiss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., амплификация гена FGFR1 обнаружена примерно в 20% плоскоклеточных раков легкого [39].</w:t>
      </w:r>
    </w:p>
    <w:p w:rsidR="00EB305D" w:rsidRPr="006A4192" w:rsidRDefault="00EB305D" w:rsidP="00EB305D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t xml:space="preserve">Говоря о последних успехах в терапии НМРЛ, в марте 2015 г. FDA одобрило применение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ниволумаба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пациентами с метастатическим плоскоклеточным раком легкого при прогрессировании на фоне или после химиотерапии препаратами платины.</w:t>
      </w:r>
      <w:r w:rsidRPr="006A41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A4192">
        <w:rPr>
          <w:rFonts w:ascii="Times New Roman" w:hAnsi="Times New Roman" w:cs="Times New Roman"/>
          <w:sz w:val="24"/>
          <w:szCs w:val="24"/>
          <w:u w:val="single"/>
        </w:rPr>
        <w:t>Ниволумаб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моноклональное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антитело, которое связывается с PD1-рецептором и блокирует его взаимодействие с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лигандами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PD-L1 и PD-L2 [40]. PD1-рецептор представляет собой рецептор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суперсемейства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иммуноглобулинов, который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экспрессируется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в норме на поверхности T- и B-лимфоцитов. Взаимодействуя с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лигандами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PD-L1/PD-L2, рецептор обусловливает угнетение иммунного ответа, что необходимо в ряде физиологических процессов (например, при беременности) [40]. Опухолевые клетки,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экспрессируя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на своей поверхности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PD-L1/2, таким же способом угнетают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антиопухолевый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иммунный ответ, а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ниволумаб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«снимает» это ингибирование.</w:t>
      </w:r>
    </w:p>
    <w:p w:rsidR="00EB305D" w:rsidRPr="006A4192" w:rsidRDefault="00EB305D">
      <w:pPr>
        <w:rPr>
          <w:rFonts w:ascii="Times New Roman" w:hAnsi="Times New Roman" w:cs="Times New Roman"/>
          <w:sz w:val="24"/>
          <w:szCs w:val="24"/>
        </w:rPr>
      </w:pPr>
    </w:p>
    <w:p w:rsidR="0007081E" w:rsidRPr="006A4192" w:rsidRDefault="0007081E">
      <w:pPr>
        <w:rPr>
          <w:rFonts w:ascii="Times New Roman" w:hAnsi="Times New Roman" w:cs="Times New Roman"/>
          <w:sz w:val="24"/>
          <w:szCs w:val="24"/>
        </w:rPr>
      </w:pPr>
    </w:p>
    <w:p w:rsidR="006A4192" w:rsidRDefault="006A4192">
      <w:pPr>
        <w:rPr>
          <w:rFonts w:ascii="Times New Roman" w:hAnsi="Times New Roman" w:cs="Times New Roman"/>
          <w:sz w:val="24"/>
          <w:szCs w:val="24"/>
        </w:rPr>
      </w:pPr>
    </w:p>
    <w:p w:rsidR="006A4192" w:rsidRPr="006A4192" w:rsidRDefault="006A4192">
      <w:pPr>
        <w:rPr>
          <w:rFonts w:ascii="Times New Roman" w:hAnsi="Times New Roman" w:cs="Times New Roman"/>
          <w:sz w:val="24"/>
          <w:szCs w:val="24"/>
        </w:rPr>
      </w:pPr>
    </w:p>
    <w:p w:rsidR="006A4192" w:rsidRDefault="006A4192">
      <w:pPr>
        <w:rPr>
          <w:rFonts w:ascii="Times New Roman" w:hAnsi="Times New Roman" w:cs="Times New Roman"/>
          <w:sz w:val="24"/>
          <w:szCs w:val="24"/>
        </w:rPr>
      </w:pPr>
    </w:p>
    <w:p w:rsidR="003B25E1" w:rsidRDefault="003B25E1">
      <w:pPr>
        <w:rPr>
          <w:rFonts w:ascii="Times New Roman" w:hAnsi="Times New Roman" w:cs="Times New Roman"/>
          <w:sz w:val="24"/>
          <w:szCs w:val="24"/>
        </w:rPr>
      </w:pPr>
    </w:p>
    <w:p w:rsidR="003B25E1" w:rsidRDefault="003B25E1">
      <w:pPr>
        <w:rPr>
          <w:rFonts w:ascii="Times New Roman" w:hAnsi="Times New Roman" w:cs="Times New Roman"/>
          <w:sz w:val="24"/>
          <w:szCs w:val="24"/>
        </w:rPr>
      </w:pPr>
    </w:p>
    <w:p w:rsidR="003B25E1" w:rsidRDefault="003B25E1">
      <w:pPr>
        <w:rPr>
          <w:rFonts w:ascii="Times New Roman" w:hAnsi="Times New Roman" w:cs="Times New Roman"/>
          <w:sz w:val="24"/>
          <w:szCs w:val="24"/>
        </w:rPr>
      </w:pPr>
    </w:p>
    <w:p w:rsidR="003B25E1" w:rsidRDefault="003B25E1">
      <w:pPr>
        <w:rPr>
          <w:rFonts w:ascii="Times New Roman" w:hAnsi="Times New Roman" w:cs="Times New Roman"/>
          <w:sz w:val="24"/>
          <w:szCs w:val="24"/>
        </w:rPr>
      </w:pPr>
    </w:p>
    <w:p w:rsidR="003B25E1" w:rsidRDefault="003B25E1">
      <w:pPr>
        <w:rPr>
          <w:rFonts w:ascii="Times New Roman" w:hAnsi="Times New Roman" w:cs="Times New Roman"/>
          <w:sz w:val="24"/>
          <w:szCs w:val="24"/>
        </w:rPr>
      </w:pPr>
    </w:p>
    <w:p w:rsidR="003B25E1" w:rsidRDefault="003B25E1">
      <w:pPr>
        <w:rPr>
          <w:rFonts w:ascii="Times New Roman" w:hAnsi="Times New Roman" w:cs="Times New Roman"/>
          <w:sz w:val="24"/>
          <w:szCs w:val="24"/>
        </w:rPr>
      </w:pPr>
    </w:p>
    <w:p w:rsidR="003B25E1" w:rsidRDefault="003B25E1">
      <w:pPr>
        <w:rPr>
          <w:rFonts w:ascii="Times New Roman" w:hAnsi="Times New Roman" w:cs="Times New Roman"/>
          <w:sz w:val="24"/>
          <w:szCs w:val="24"/>
        </w:rPr>
      </w:pPr>
    </w:p>
    <w:p w:rsidR="003B25E1" w:rsidRDefault="003B25E1">
      <w:pPr>
        <w:rPr>
          <w:rFonts w:ascii="Times New Roman" w:hAnsi="Times New Roman" w:cs="Times New Roman"/>
          <w:sz w:val="24"/>
          <w:szCs w:val="24"/>
        </w:rPr>
      </w:pPr>
    </w:p>
    <w:p w:rsidR="003B25E1" w:rsidRDefault="003B25E1">
      <w:pPr>
        <w:rPr>
          <w:rFonts w:ascii="Times New Roman" w:hAnsi="Times New Roman" w:cs="Times New Roman"/>
          <w:sz w:val="24"/>
          <w:szCs w:val="24"/>
        </w:rPr>
      </w:pPr>
    </w:p>
    <w:p w:rsidR="003B25E1" w:rsidRDefault="003B25E1">
      <w:pPr>
        <w:rPr>
          <w:rFonts w:ascii="Times New Roman" w:hAnsi="Times New Roman" w:cs="Times New Roman"/>
          <w:sz w:val="24"/>
          <w:szCs w:val="24"/>
        </w:rPr>
      </w:pPr>
    </w:p>
    <w:p w:rsidR="003B25E1" w:rsidRDefault="003B25E1">
      <w:pPr>
        <w:rPr>
          <w:rFonts w:ascii="Times New Roman" w:hAnsi="Times New Roman" w:cs="Times New Roman"/>
          <w:sz w:val="24"/>
          <w:szCs w:val="24"/>
        </w:rPr>
      </w:pPr>
    </w:p>
    <w:p w:rsidR="003B25E1" w:rsidRPr="006A4192" w:rsidRDefault="003B25E1">
      <w:pPr>
        <w:rPr>
          <w:rFonts w:ascii="Times New Roman" w:hAnsi="Times New Roman" w:cs="Times New Roman"/>
          <w:sz w:val="24"/>
          <w:szCs w:val="24"/>
        </w:rPr>
      </w:pPr>
    </w:p>
    <w:p w:rsidR="0007081E" w:rsidRPr="003B25E1" w:rsidRDefault="0007081E" w:rsidP="003B2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E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7081E" w:rsidRPr="006A4192" w:rsidRDefault="0007081E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t xml:space="preserve">Изучение молекулярно-генетических нарушений при РЛ позволяет определить молекулярные маркеры, характерные для различных гистологических типов заболевания, и разработать новые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молекулярнонацеленные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таргетные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>) препараты, ингибирующие действие активированных онкогенов и сигнальных путей. Однако сегодня известны «драйверные гены» только для 50–60% случаев НМРЛ. Число потенциальных мишеней для терапии постоянно растет в связи с развитием технологий, что открывает новые механизмы канцерогенеза. Несомненно, все большее значение будет иметь индивидуализированная терапия НМРЛ, при этом молекулярная диагностика становится основой выбора лечебной тактики.</w:t>
      </w:r>
    </w:p>
    <w:p w:rsidR="0007081E" w:rsidRPr="006A4192" w:rsidRDefault="0007081E">
      <w:pPr>
        <w:rPr>
          <w:rFonts w:ascii="Times New Roman" w:hAnsi="Times New Roman" w:cs="Times New Roman"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br w:type="page"/>
      </w:r>
    </w:p>
    <w:p w:rsidR="006A4192" w:rsidRPr="003B25E1" w:rsidRDefault="006A4192" w:rsidP="006A4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E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E30B5F" w:rsidRPr="006A4192" w:rsidRDefault="00E30B5F" w:rsidP="00E30B5F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Каприн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 xml:space="preserve"> А.Д.,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Старинский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 xml:space="preserve"> В.В., Петрова Г.В. Состояние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онкологическои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>̆ помощи населению России в 2013 г. М., 2014. 235 с.</w:t>
      </w:r>
    </w:p>
    <w:p w:rsidR="00E30B5F" w:rsidRPr="006A4192" w:rsidRDefault="00E30B5F" w:rsidP="00E30B5F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6A4192">
        <w:rPr>
          <w:rFonts w:ascii="Times New Roman" w:hAnsi="Times New Roman" w:cs="Times New Roman"/>
          <w:sz w:val="24"/>
          <w:szCs w:val="24"/>
        </w:rPr>
        <w:t xml:space="preserve">Демидова И.А., Баринов А.А., Савелов Н.А. и др. Исследование молекулярно-генетических нарушений у больных </w:t>
      </w:r>
      <w:proofErr w:type="spellStart"/>
      <w:r w:rsidRPr="006A4192">
        <w:rPr>
          <w:rFonts w:ascii="Times New Roman" w:hAnsi="Times New Roman" w:cs="Times New Roman"/>
          <w:sz w:val="24"/>
          <w:szCs w:val="24"/>
        </w:rPr>
        <w:t>аденокарциномой</w:t>
      </w:r>
      <w:proofErr w:type="spellEnd"/>
      <w:r w:rsidRPr="006A4192">
        <w:rPr>
          <w:rFonts w:ascii="Times New Roman" w:hAnsi="Times New Roman" w:cs="Times New Roman"/>
          <w:sz w:val="24"/>
          <w:szCs w:val="24"/>
        </w:rPr>
        <w:t xml:space="preserve"> легких. // Онкология. Журнал им. П.А. Герцена. - 2012; 2: 28-34</w:t>
      </w:r>
    </w:p>
    <w:p w:rsidR="00E30B5F" w:rsidRPr="006A4192" w:rsidRDefault="00E30B5F" w:rsidP="00E30B5F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Cappuzzo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Ciuleanu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Stelmakh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Cicenas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Szczesna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Juhasz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E., Esteban E.,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Molinier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Brugger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Melezinek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Klingelschmitt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Klughammer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Giaccone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G.; SATURN investigators.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Erlotinib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as maintenance treatment in advanced non-small-cell lung cancer: a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multicentre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randomised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placebo-controlled phase 3 study.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Lancet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Oncol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>. 2010;11(6):521–29.</w:t>
      </w:r>
    </w:p>
    <w:p w:rsidR="00E30B5F" w:rsidRPr="006A4192" w:rsidRDefault="00E30B5F" w:rsidP="00E30B5F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Lee D., Kim S.-W., Suh C., Han Y.H., Lee J.S. Phase II study of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erlotinib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chemotherapy-naive patients with advanced or metastatic non-small cell lung cancer who are ineligible for platinum doublets.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Cancer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Chemother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Pharmacol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>. 2011;67(1):35–9.</w:t>
      </w:r>
    </w:p>
    <w:p w:rsidR="00E30B5F" w:rsidRPr="006A4192" w:rsidRDefault="00E30B5F" w:rsidP="00E30B5F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Sharma S.V., Bell D.W.,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Settleman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J., Haber D.A. Epidermal growth factor receptor mutations in lung cancer.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Nat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Rev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Cancer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>. 2007;7(3):169–81.</w:t>
      </w:r>
    </w:p>
    <w:p w:rsidR="00E30B5F" w:rsidRPr="006A4192" w:rsidRDefault="00E30B5F" w:rsidP="00E30B5F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Reungwetwattana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Weroha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S.J., Molina J.R. Oncogenic pathways, molecularly targeted therapies, and highlighted clinical trials in non-small-cell lung cancer (NSCLC).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Clin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Lung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Cancer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>. 2012;13(4):252–66.</w:t>
      </w:r>
    </w:p>
    <w:p w:rsidR="00E30B5F" w:rsidRPr="006A4192" w:rsidRDefault="00E30B5F" w:rsidP="00E30B5F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Rosell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R., Gervais R.,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Vergnenegre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A., O'Byrne K., Boyer M.J., Von Pawel J.,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Pluzanski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Shtivelband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Docampo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L.I.,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Bennouna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J., Zhang H., Liang J.Q., Doherty J.P., Taylor I., Mather C.B., Goldberg Z., O'Connell J., Paz-Ares L.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Erlotinib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versus chemotherapy (CT) in advanced non-small cell lung cancer (NSCLC) patients (p) with epidermal growth factor receptor (EGFR) mutations: Interim results of the European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>Erlotinib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Versus Chemotherapy (EURTAC) phase III randomized trial. </w:t>
      </w:r>
      <w:r w:rsidRPr="006A4192">
        <w:rPr>
          <w:rFonts w:ascii="Times New Roman" w:hAnsi="Times New Roman" w:cs="Times New Roman"/>
          <w:iCs/>
          <w:sz w:val="24"/>
          <w:szCs w:val="24"/>
        </w:rPr>
        <w:t xml:space="preserve">J.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Clin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A4192">
        <w:rPr>
          <w:rFonts w:ascii="Times New Roman" w:hAnsi="Times New Roman" w:cs="Times New Roman"/>
          <w:iCs/>
          <w:sz w:val="24"/>
          <w:szCs w:val="24"/>
        </w:rPr>
        <w:t>Oncol</w:t>
      </w:r>
      <w:proofErr w:type="spellEnd"/>
      <w:r w:rsidRPr="006A4192">
        <w:rPr>
          <w:rFonts w:ascii="Times New Roman" w:hAnsi="Times New Roman" w:cs="Times New Roman"/>
          <w:iCs/>
          <w:sz w:val="24"/>
          <w:szCs w:val="24"/>
        </w:rPr>
        <w:t>. 2011;29:7503.</w:t>
      </w:r>
    </w:p>
    <w:p w:rsidR="00C10D5A" w:rsidRPr="006A4192" w:rsidRDefault="00C10D5A">
      <w:pPr>
        <w:rPr>
          <w:rFonts w:ascii="Times New Roman" w:hAnsi="Times New Roman" w:cs="Times New Roman"/>
          <w:sz w:val="24"/>
          <w:szCs w:val="24"/>
        </w:rPr>
      </w:pPr>
    </w:p>
    <w:sectPr w:rsidR="00C10D5A" w:rsidRPr="006A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B88"/>
    <w:multiLevelType w:val="multilevel"/>
    <w:tmpl w:val="DB5C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86080"/>
    <w:multiLevelType w:val="multilevel"/>
    <w:tmpl w:val="A166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D497E"/>
    <w:multiLevelType w:val="multilevel"/>
    <w:tmpl w:val="43F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A2309"/>
    <w:multiLevelType w:val="multilevel"/>
    <w:tmpl w:val="95AA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8BF"/>
    <w:multiLevelType w:val="multilevel"/>
    <w:tmpl w:val="DF9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E6063"/>
    <w:multiLevelType w:val="multilevel"/>
    <w:tmpl w:val="1BB2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5F"/>
    <w:rsid w:val="0007081E"/>
    <w:rsid w:val="000A1E5F"/>
    <w:rsid w:val="001F70CB"/>
    <w:rsid w:val="003B25E1"/>
    <w:rsid w:val="006A4192"/>
    <w:rsid w:val="00A0557F"/>
    <w:rsid w:val="00C10D5A"/>
    <w:rsid w:val="00E30B5F"/>
    <w:rsid w:val="00E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5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EB30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5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EB30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2023-04-25T10:26:00Z</dcterms:created>
  <dcterms:modified xsi:type="dcterms:W3CDTF">2023-04-25T11:39:00Z</dcterms:modified>
</cp:coreProperties>
</file>