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E" w:rsidRDefault="00A2630E" w:rsidP="00A2630E">
      <w:pPr>
        <w:spacing w:before="60" w:after="60"/>
        <w:rPr>
          <w:rFonts w:ascii="Times New Roman" w:hAnsi="Times New Roman" w:cs="Times New Roman"/>
          <w:b/>
          <w:caps/>
          <w:sz w:val="24"/>
        </w:rPr>
      </w:pPr>
      <w:r w:rsidRPr="000C62C7">
        <w:rPr>
          <w:rFonts w:ascii="Times New Roman" w:hAnsi="Times New Roman" w:cs="Times New Roman"/>
          <w:b/>
          <w:caps/>
          <w:sz w:val="24"/>
        </w:rPr>
        <w:t>Лаборатория гистологии и морфометрии</w:t>
      </w:r>
    </w:p>
    <w:p w:rsidR="00A2630E" w:rsidRDefault="00A2630E" w:rsidP="00A2630E">
      <w:pPr>
        <w:spacing w:before="60" w:after="60"/>
        <w:rPr>
          <w:rFonts w:ascii="Times New Roman" w:hAnsi="Times New Roman" w:cs="Times New Roman"/>
          <w:b/>
        </w:rPr>
      </w:pPr>
      <w:bookmarkStart w:id="0" w:name="_GoBack"/>
      <w:bookmarkEnd w:id="0"/>
      <w:r w:rsidRPr="00103631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>правления научных исследований:</w:t>
      </w:r>
    </w:p>
    <w:p w:rsidR="00A2630E" w:rsidRPr="00E27FF6" w:rsidRDefault="00A2630E" w:rsidP="00A2630E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E27FF6">
        <w:rPr>
          <w:rFonts w:ascii="Times New Roman" w:hAnsi="Times New Roman" w:cs="Times New Roman"/>
        </w:rPr>
        <w:t>икроскопические исследования клеток и тканей</w:t>
      </w:r>
      <w:r>
        <w:rPr>
          <w:rFonts w:ascii="Times New Roman" w:hAnsi="Times New Roman" w:cs="Times New Roman"/>
        </w:rPr>
        <w:t>;</w:t>
      </w:r>
    </w:p>
    <w:p w:rsidR="00A2630E" w:rsidRPr="00E27FF6" w:rsidRDefault="00A2630E" w:rsidP="00A2630E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E27FF6">
        <w:rPr>
          <w:rFonts w:ascii="Times New Roman" w:hAnsi="Times New Roman" w:cs="Times New Roman"/>
        </w:rPr>
        <w:t>Светооптические методики</w:t>
      </w:r>
      <w:r>
        <w:rPr>
          <w:rFonts w:ascii="Times New Roman" w:hAnsi="Times New Roman" w:cs="Times New Roman"/>
        </w:rPr>
        <w:t>;</w:t>
      </w:r>
    </w:p>
    <w:p w:rsidR="00A2630E" w:rsidRPr="00E27FF6" w:rsidRDefault="00A2630E" w:rsidP="00A2630E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E27FF6">
        <w:rPr>
          <w:rFonts w:ascii="Times New Roman" w:hAnsi="Times New Roman" w:cs="Times New Roman"/>
        </w:rPr>
        <w:t>Морфометрическая оценка гистологических препаратов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2734"/>
        <w:gridCol w:w="3147"/>
        <w:gridCol w:w="2958"/>
      </w:tblGrid>
      <w:tr w:rsidR="00A2630E" w:rsidRPr="00E27FF6" w:rsidTr="00F26756">
        <w:tc>
          <w:tcPr>
            <w:tcW w:w="732" w:type="dxa"/>
          </w:tcPr>
          <w:p w:rsidR="00A2630E" w:rsidRPr="00E27FF6" w:rsidRDefault="00A2630E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34" w:type="dxa"/>
          </w:tcPr>
          <w:p w:rsidR="00A2630E" w:rsidRPr="00E27FF6" w:rsidRDefault="00A2630E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27FF6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147" w:type="dxa"/>
          </w:tcPr>
          <w:p w:rsidR="00A2630E" w:rsidRPr="00E27FF6" w:rsidRDefault="00A2630E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27FF6">
              <w:rPr>
                <w:rFonts w:ascii="Times New Roman" w:hAnsi="Times New Roman" w:cs="Times New Roman"/>
                <w:b/>
              </w:rPr>
              <w:t>Научное оборудование</w:t>
            </w:r>
          </w:p>
        </w:tc>
        <w:tc>
          <w:tcPr>
            <w:tcW w:w="2958" w:type="dxa"/>
          </w:tcPr>
          <w:p w:rsidR="00A2630E" w:rsidRPr="00E27FF6" w:rsidRDefault="00A2630E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27FF6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A2630E" w:rsidRPr="00E27FF6" w:rsidTr="00F26756">
        <w:tc>
          <w:tcPr>
            <w:tcW w:w="732" w:type="dxa"/>
          </w:tcPr>
          <w:p w:rsidR="00A2630E" w:rsidRPr="00E27FF6" w:rsidRDefault="00A2630E" w:rsidP="00F26756">
            <w:pPr>
              <w:spacing w:before="60" w:after="6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734" w:type="dxa"/>
          </w:tcPr>
          <w:p w:rsidR="00A2630E" w:rsidRPr="00E27FF6" w:rsidRDefault="00A2630E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27F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7" w:type="dxa"/>
          </w:tcPr>
          <w:p w:rsidR="00A2630E" w:rsidRPr="00E27FF6" w:rsidRDefault="00A2630E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27F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8" w:type="dxa"/>
          </w:tcPr>
          <w:p w:rsidR="00A2630E" w:rsidRPr="00E27FF6" w:rsidRDefault="00A2630E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27FF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630E" w:rsidRPr="00703AAF" w:rsidTr="00F26756">
        <w:tc>
          <w:tcPr>
            <w:tcW w:w="732" w:type="dxa"/>
          </w:tcPr>
          <w:p w:rsidR="00A2630E" w:rsidRPr="00E27FF6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</w:tcPr>
          <w:p w:rsidR="00A2630E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 w:rsidRPr="00E27FF6">
              <w:rPr>
                <w:rFonts w:ascii="Times New Roman" w:hAnsi="Times New Roman" w:cs="Times New Roman"/>
              </w:rPr>
              <w:t>Приготовление срезов фиксированного биологического материала в различных заключающих средах</w:t>
            </w:r>
          </w:p>
        </w:tc>
        <w:tc>
          <w:tcPr>
            <w:tcW w:w="3147" w:type="dxa"/>
          </w:tcPr>
          <w:p w:rsidR="00A2630E" w:rsidRPr="00E27FF6" w:rsidRDefault="00A2630E" w:rsidP="00F26756">
            <w:pPr>
              <w:rPr>
                <w:rFonts w:ascii="Times New Roman" w:hAnsi="Times New Roman" w:cs="Times New Roman"/>
              </w:rPr>
            </w:pPr>
            <w:r w:rsidRPr="00E27FF6">
              <w:rPr>
                <w:rFonts w:ascii="Times New Roman" w:hAnsi="Times New Roman" w:cs="Times New Roman"/>
              </w:rPr>
              <w:t xml:space="preserve">Микротом </w:t>
            </w:r>
            <w:proofErr w:type="spellStart"/>
            <w:r w:rsidRPr="00E27FF6">
              <w:rPr>
                <w:rFonts w:ascii="Times New Roman" w:hAnsi="Times New Roman" w:cs="Times New Roman"/>
              </w:rPr>
              <w:t>Leica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RM2235 с ножами одноразовыми, </w:t>
            </w:r>
            <w:proofErr w:type="spellStart"/>
            <w:r w:rsidRPr="00E27FF6">
              <w:rPr>
                <w:rFonts w:ascii="Times New Roman" w:hAnsi="Times New Roman" w:cs="Times New Roman"/>
              </w:rPr>
              <w:t>Leica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Nussloch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GmbH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7FF6">
              <w:rPr>
                <w:rFonts w:ascii="Times New Roman" w:hAnsi="Times New Roman" w:cs="Times New Roman"/>
              </w:rPr>
              <w:t>Germany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(Германия)</w:t>
            </w:r>
          </w:p>
        </w:tc>
        <w:tc>
          <w:tcPr>
            <w:tcW w:w="2958" w:type="dxa"/>
          </w:tcPr>
          <w:p w:rsidR="00A2630E" w:rsidRPr="00E27FF6" w:rsidRDefault="00A2630E" w:rsidP="00F2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7FF6">
              <w:rPr>
                <w:rFonts w:ascii="Times New Roman" w:hAnsi="Times New Roman" w:cs="Times New Roman"/>
              </w:rPr>
              <w:t>олучени</w:t>
            </w:r>
            <w:r>
              <w:rPr>
                <w:rFonts w:ascii="Times New Roman" w:hAnsi="Times New Roman" w:cs="Times New Roman"/>
              </w:rPr>
              <w:t>е</w:t>
            </w:r>
            <w:r w:rsidRPr="00E27FF6">
              <w:rPr>
                <w:rFonts w:ascii="Times New Roman" w:hAnsi="Times New Roman" w:cs="Times New Roman"/>
              </w:rPr>
              <w:t xml:space="preserve"> срезов тканей, заключенных в парафин</w:t>
            </w:r>
          </w:p>
        </w:tc>
      </w:tr>
      <w:tr w:rsidR="00A2630E" w:rsidRPr="00D96C93" w:rsidTr="00F26756">
        <w:tc>
          <w:tcPr>
            <w:tcW w:w="732" w:type="dxa"/>
          </w:tcPr>
          <w:p w:rsidR="00A2630E" w:rsidRPr="00D96C93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</w:tcPr>
          <w:p w:rsidR="00A2630E" w:rsidRPr="00384BFA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 w:rsidRPr="00E27FF6">
              <w:rPr>
                <w:rFonts w:ascii="Times New Roman" w:hAnsi="Times New Roman" w:cs="Times New Roman"/>
              </w:rPr>
              <w:t>Приготовление срезов фиксированного биологического материала в различных заключающих средах</w:t>
            </w:r>
          </w:p>
        </w:tc>
        <w:tc>
          <w:tcPr>
            <w:tcW w:w="3147" w:type="dxa"/>
          </w:tcPr>
          <w:p w:rsidR="00A2630E" w:rsidRPr="00D96C93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 w:rsidRPr="006300B8">
              <w:rPr>
                <w:rFonts w:ascii="Times New Roman" w:hAnsi="Times New Roman" w:cs="Times New Roman"/>
              </w:rPr>
              <w:t xml:space="preserve">Комплект оборудования для клинико-диагностических исследований, включая: </w:t>
            </w:r>
            <w:r w:rsidRPr="00E27FF6">
              <w:rPr>
                <w:rFonts w:ascii="Times New Roman" w:hAnsi="Times New Roman" w:cs="Times New Roman"/>
              </w:rPr>
              <w:t xml:space="preserve">Станция для заливки парафином </w:t>
            </w:r>
            <w:proofErr w:type="spellStart"/>
            <w:r w:rsidRPr="00E27FF6">
              <w:rPr>
                <w:rFonts w:ascii="Times New Roman" w:hAnsi="Times New Roman" w:cs="Times New Roman"/>
              </w:rPr>
              <w:t>L</w:t>
            </w:r>
            <w:proofErr w:type="gramStart"/>
            <w:r w:rsidRPr="00E27FF6">
              <w:rPr>
                <w:rFonts w:ascii="Times New Roman" w:hAnsi="Times New Roman" w:cs="Times New Roman"/>
              </w:rPr>
              <w:t>е</w:t>
            </w:r>
            <w:proofErr w:type="gramEnd"/>
            <w:r w:rsidRPr="00E27FF6">
              <w:rPr>
                <w:rFonts w:ascii="Times New Roman" w:hAnsi="Times New Roman" w:cs="Times New Roman"/>
              </w:rPr>
              <w:t>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EG1150 (</w:t>
            </w:r>
            <w:proofErr w:type="spellStart"/>
            <w:r w:rsidRPr="00E27FF6">
              <w:rPr>
                <w:rFonts w:ascii="Times New Roman" w:hAnsi="Times New Roman" w:cs="Times New Roman"/>
              </w:rPr>
              <w:t>Lеica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Microsistems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Nussloch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GmbH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, ФРГ) 1шт, Гистологический автоматический процессор карусельного типа для проводки тканей </w:t>
            </w:r>
            <w:proofErr w:type="spellStart"/>
            <w:r w:rsidRPr="00E27FF6">
              <w:rPr>
                <w:rFonts w:ascii="Times New Roman" w:hAnsi="Times New Roman" w:cs="Times New Roman"/>
              </w:rPr>
              <w:t>Lеica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TP1020 (</w:t>
            </w:r>
            <w:proofErr w:type="spellStart"/>
            <w:r w:rsidRPr="00E27FF6">
              <w:rPr>
                <w:rFonts w:ascii="Times New Roman" w:hAnsi="Times New Roman" w:cs="Times New Roman"/>
              </w:rPr>
              <w:t>Lеica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Microsistems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Nussloch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GmbH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, ФРГ) 1шт, Водяная баня для расплавления срезов исследований </w:t>
            </w:r>
            <w:proofErr w:type="spellStart"/>
            <w:r w:rsidRPr="00E27FF6">
              <w:rPr>
                <w:rFonts w:ascii="Times New Roman" w:hAnsi="Times New Roman" w:cs="Times New Roman"/>
              </w:rPr>
              <w:t>Lеica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HI1210 (</w:t>
            </w:r>
            <w:proofErr w:type="spellStart"/>
            <w:r w:rsidRPr="00E27FF6">
              <w:rPr>
                <w:rFonts w:ascii="Times New Roman" w:hAnsi="Times New Roman" w:cs="Times New Roman"/>
              </w:rPr>
              <w:t>Lеica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Microsistems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Nussloch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GmbH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, ФРГ) 1шт, Столик нагревательный для подсушивания парафиновых срезов </w:t>
            </w:r>
            <w:proofErr w:type="spellStart"/>
            <w:r w:rsidRPr="00E27FF6">
              <w:rPr>
                <w:rFonts w:ascii="Times New Roman" w:hAnsi="Times New Roman" w:cs="Times New Roman"/>
              </w:rPr>
              <w:t>Lеica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HI1220 (</w:t>
            </w:r>
            <w:proofErr w:type="spellStart"/>
            <w:r w:rsidRPr="00E27FF6">
              <w:rPr>
                <w:rFonts w:ascii="Times New Roman" w:hAnsi="Times New Roman" w:cs="Times New Roman"/>
              </w:rPr>
              <w:t>Lеica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Microsistems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Nussloch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GmbH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, ФРГ) 1шт, Станция для заливки парафином </w:t>
            </w:r>
            <w:proofErr w:type="spellStart"/>
            <w:r w:rsidRPr="00E27FF6">
              <w:rPr>
                <w:rFonts w:ascii="Times New Roman" w:hAnsi="Times New Roman" w:cs="Times New Roman"/>
              </w:rPr>
              <w:t>L</w:t>
            </w:r>
            <w:proofErr w:type="gramStart"/>
            <w:r w:rsidRPr="00E27FF6">
              <w:rPr>
                <w:rFonts w:ascii="Times New Roman" w:hAnsi="Times New Roman" w:cs="Times New Roman"/>
              </w:rPr>
              <w:t>е</w:t>
            </w:r>
            <w:proofErr w:type="gramEnd"/>
            <w:r w:rsidRPr="00E27FF6">
              <w:rPr>
                <w:rFonts w:ascii="Times New Roman" w:hAnsi="Times New Roman" w:cs="Times New Roman"/>
              </w:rPr>
              <w:t>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EG1150 (</w:t>
            </w:r>
            <w:proofErr w:type="spellStart"/>
            <w:r w:rsidRPr="00E27FF6">
              <w:rPr>
                <w:rFonts w:ascii="Times New Roman" w:hAnsi="Times New Roman" w:cs="Times New Roman"/>
              </w:rPr>
              <w:t>Lеica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Microsistems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Nussloch</w:t>
            </w:r>
            <w:proofErr w:type="spellEnd"/>
            <w:r w:rsidRPr="00E27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FF6">
              <w:rPr>
                <w:rFonts w:ascii="Times New Roman" w:hAnsi="Times New Roman" w:cs="Times New Roman"/>
              </w:rPr>
              <w:t>GmbH</w:t>
            </w:r>
            <w:proofErr w:type="spellEnd"/>
            <w:r w:rsidRPr="00E27FF6">
              <w:rPr>
                <w:rFonts w:ascii="Times New Roman" w:hAnsi="Times New Roman" w:cs="Times New Roman"/>
              </w:rPr>
              <w:t>, ФРГ) 1шт, Рабочее место гистолога - напольный вариант (Россия) 1шт</w:t>
            </w:r>
          </w:p>
        </w:tc>
        <w:tc>
          <w:tcPr>
            <w:tcW w:w="2958" w:type="dxa"/>
          </w:tcPr>
          <w:p w:rsidR="00A2630E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7FF6">
              <w:rPr>
                <w:rFonts w:ascii="Times New Roman" w:hAnsi="Times New Roman" w:cs="Times New Roman"/>
              </w:rPr>
              <w:t>олучени</w:t>
            </w:r>
            <w:r>
              <w:rPr>
                <w:rFonts w:ascii="Times New Roman" w:hAnsi="Times New Roman" w:cs="Times New Roman"/>
              </w:rPr>
              <w:t>е</w:t>
            </w:r>
            <w:r w:rsidRPr="00E27FF6">
              <w:rPr>
                <w:rFonts w:ascii="Times New Roman" w:hAnsi="Times New Roman" w:cs="Times New Roman"/>
              </w:rPr>
              <w:t xml:space="preserve"> срезов тканей, заключенных в парафин</w:t>
            </w:r>
          </w:p>
        </w:tc>
      </w:tr>
      <w:tr w:rsidR="00A2630E" w:rsidRPr="00D96C93" w:rsidTr="00F26756">
        <w:tc>
          <w:tcPr>
            <w:tcW w:w="732" w:type="dxa"/>
          </w:tcPr>
          <w:p w:rsidR="00A2630E" w:rsidRPr="00D96C93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4" w:type="dxa"/>
          </w:tcPr>
          <w:p w:rsidR="00A2630E" w:rsidRPr="00384BFA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 w:rsidRPr="00E27FF6">
              <w:rPr>
                <w:rFonts w:ascii="Times New Roman" w:hAnsi="Times New Roman" w:cs="Times New Roman"/>
              </w:rPr>
              <w:t>Приготовление ультратонких срезов</w:t>
            </w:r>
          </w:p>
        </w:tc>
        <w:tc>
          <w:tcPr>
            <w:tcW w:w="3147" w:type="dxa"/>
          </w:tcPr>
          <w:p w:rsidR="00A2630E" w:rsidRPr="006300B8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Криостат </w:t>
            </w:r>
          </w:p>
        </w:tc>
        <w:tc>
          <w:tcPr>
            <w:tcW w:w="2958" w:type="dxa"/>
          </w:tcPr>
          <w:p w:rsidR="00A2630E" w:rsidRPr="00D96C93" w:rsidRDefault="00A2630E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замороженных </w:t>
            </w:r>
            <w:r w:rsidRPr="00E27FF6">
              <w:rPr>
                <w:rFonts w:ascii="Times New Roman" w:hAnsi="Times New Roman" w:cs="Times New Roman"/>
              </w:rPr>
              <w:t>срезов тканей</w:t>
            </w:r>
            <w:r>
              <w:rPr>
                <w:rFonts w:ascii="Times New Roman" w:hAnsi="Times New Roman" w:cs="Times New Roman"/>
              </w:rPr>
              <w:t xml:space="preserve"> без заключения</w:t>
            </w:r>
            <w:r w:rsidRPr="00E27FF6">
              <w:rPr>
                <w:rFonts w:ascii="Times New Roman" w:hAnsi="Times New Roman" w:cs="Times New Roman"/>
              </w:rPr>
              <w:t xml:space="preserve"> в парафин</w:t>
            </w:r>
          </w:p>
        </w:tc>
      </w:tr>
    </w:tbl>
    <w:p w:rsidR="00A2630E" w:rsidRPr="00103631" w:rsidRDefault="00A2630E" w:rsidP="00A2630E">
      <w:pPr>
        <w:spacing w:before="60" w:after="60"/>
        <w:rPr>
          <w:rFonts w:ascii="Times New Roman" w:hAnsi="Times New Roman" w:cs="Times New Roman"/>
        </w:rPr>
      </w:pPr>
    </w:p>
    <w:p w:rsidR="00BC6C38" w:rsidRDefault="003500D3"/>
    <w:sectPr w:rsidR="00B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F48"/>
    <w:multiLevelType w:val="hybridMultilevel"/>
    <w:tmpl w:val="6616D586"/>
    <w:lvl w:ilvl="0" w:tplc="2276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E"/>
    <w:rsid w:val="00014CD5"/>
    <w:rsid w:val="003500D3"/>
    <w:rsid w:val="00A2630E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0E"/>
    <w:pPr>
      <w:ind w:left="720"/>
      <w:contextualSpacing/>
    </w:pPr>
  </w:style>
  <w:style w:type="table" w:styleId="a4">
    <w:name w:val="Table Grid"/>
    <w:basedOn w:val="a1"/>
    <w:uiPriority w:val="59"/>
    <w:rsid w:val="00A2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0E"/>
    <w:pPr>
      <w:ind w:left="720"/>
      <w:contextualSpacing/>
    </w:pPr>
  </w:style>
  <w:style w:type="table" w:styleId="a4">
    <w:name w:val="Table Grid"/>
    <w:basedOn w:val="a1"/>
    <w:uiPriority w:val="59"/>
    <w:rsid w:val="00A2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2</cp:revision>
  <dcterms:created xsi:type="dcterms:W3CDTF">2020-05-14T10:42:00Z</dcterms:created>
  <dcterms:modified xsi:type="dcterms:W3CDTF">2020-10-07T13:50:00Z</dcterms:modified>
</cp:coreProperties>
</file>