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F" w:rsidRPr="0015430F" w:rsidRDefault="0015430F" w:rsidP="0015430F">
      <w:pPr>
        <w:keepNext/>
        <w:keepLines/>
        <w:numPr>
          <w:ilvl w:val="1"/>
          <w:numId w:val="0"/>
        </w:numPr>
        <w:spacing w:after="240"/>
        <w:jc w:val="center"/>
        <w:outlineLvl w:val="1"/>
        <w:rPr>
          <w:rFonts w:eastAsia="Times New Roman" w:cstheme="majorBidi"/>
          <w:b/>
          <w:bCs/>
          <w:iCs/>
          <w:spacing w:val="15"/>
          <w:szCs w:val="26"/>
        </w:rPr>
      </w:pPr>
      <w:bookmarkStart w:id="0" w:name="_Toc40351585"/>
      <w:bookmarkStart w:id="1" w:name="_GoBack"/>
      <w:bookmarkEnd w:id="1"/>
      <w:r w:rsidRPr="0015430F">
        <w:rPr>
          <w:rFonts w:eastAsia="Times New Roman" w:cstheme="majorBidi"/>
          <w:b/>
          <w:bCs/>
          <w:iCs/>
          <w:spacing w:val="15"/>
          <w:szCs w:val="26"/>
        </w:rPr>
        <w:t>5.2 Тема № 2 (18 часов). Лекарственные средства. Анализ ассортимента. Хранение. Реализация</w:t>
      </w:r>
      <w:bookmarkEnd w:id="0"/>
    </w:p>
    <w:p w:rsidR="0015430F" w:rsidRPr="0015430F" w:rsidRDefault="0015430F" w:rsidP="0015430F">
      <w:pPr>
        <w:suppressAutoHyphens/>
        <w:spacing w:after="0"/>
        <w:ind w:firstLine="709"/>
        <w:rPr>
          <w:rFonts w:eastAsia="Times New Roman"/>
          <w:b/>
        </w:rPr>
      </w:pPr>
      <w:r w:rsidRPr="0015430F">
        <w:rPr>
          <w:rFonts w:eastAsia="Times New Roman"/>
          <w:b/>
        </w:rPr>
        <w:t xml:space="preserve">Маркировка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>Первичная упаковка</w:t>
            </w: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>Вторичная упаковка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Наименование лекарственного препарата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Номер серии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Дата выпуска (для ИБЛП)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Срок годности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Дозировка или концентрация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Объем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Активность в единицах действия или количество доз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Наименование производителя ЛП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 xml:space="preserve">Номер </w:t>
            </w:r>
            <w:proofErr w:type="gramStart"/>
            <w:r w:rsidRPr="0015430F">
              <w:rPr>
                <w:rFonts w:eastAsiaTheme="majorEastAsia"/>
                <w:iCs/>
                <w:spacing w:val="15"/>
              </w:rPr>
              <w:t>регистрационного</w:t>
            </w:r>
            <w:proofErr w:type="gram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удостоверения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Способ применения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Лекарственная форма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  <w:r>
              <w:rPr>
                <w:rFonts w:eastAsiaTheme="majorEastAsia"/>
                <w:iCs/>
                <w:spacing w:val="15"/>
              </w:rPr>
              <w:t xml:space="preserve">Условия отпуска и </w:t>
            </w:r>
            <w:r w:rsidRPr="0015430F">
              <w:rPr>
                <w:rFonts w:eastAsiaTheme="majorEastAsia"/>
                <w:iCs/>
                <w:spacing w:val="15"/>
              </w:rPr>
              <w:t>хранения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Штриховой код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>Предупредительные надписи: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"Антитела к ВИЧ-1, ВИЧ-2, к вирусу гепатита C и поверхностный антиген вируса гепатита B отсутствуют"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Радиофармацевтические лекарственные средства - знак радиационной опасности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Гомеопатические лекарственные препараты - "Гомеопатический"</w:t>
            </w:r>
          </w:p>
        </w:tc>
      </w:tr>
      <w:tr w:rsidR="0015430F" w:rsidRPr="0015430F" w:rsidTr="00FC1A00">
        <w:tc>
          <w:tcPr>
            <w:tcW w:w="4927" w:type="dxa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iCs/>
                <w:spacing w:val="15"/>
              </w:rPr>
            </w:pPr>
          </w:p>
        </w:tc>
        <w:tc>
          <w:tcPr>
            <w:tcW w:w="4927" w:type="dxa"/>
            <w:shd w:val="clear" w:color="auto" w:fill="99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Лекарственные растительные препараты - "Продукция прошла радиационный контроль"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Лекарственные препараты для клинических исследований - "Для клинических исследований"</w:t>
            </w:r>
          </w:p>
        </w:tc>
      </w:tr>
      <w:tr w:rsidR="0015430F" w:rsidRPr="0015430F" w:rsidTr="00FC1A00">
        <w:tc>
          <w:tcPr>
            <w:tcW w:w="9854" w:type="dxa"/>
            <w:gridSpan w:val="2"/>
            <w:shd w:val="clear" w:color="auto" w:fill="FFFF66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Лекарственные средства для ветеринарного применения - "Для ветеринарного применения".</w:t>
            </w:r>
          </w:p>
        </w:tc>
      </w:tr>
    </w:tbl>
    <w:p w:rsidR="00042CA5" w:rsidRDefault="00042CA5" w:rsidP="0015430F">
      <w:pPr>
        <w:suppressAutoHyphens/>
        <w:spacing w:after="0"/>
        <w:ind w:firstLine="709"/>
        <w:rPr>
          <w:rFonts w:eastAsia="Times New Roman"/>
        </w:rPr>
      </w:pPr>
    </w:p>
    <w:p w:rsidR="0015430F" w:rsidRPr="0015430F" w:rsidRDefault="0015430F" w:rsidP="0015430F">
      <w:pPr>
        <w:suppressAutoHyphens/>
        <w:spacing w:after="0"/>
        <w:ind w:firstLine="709"/>
        <w:rPr>
          <w:rFonts w:eastAsia="Times New Roman"/>
        </w:rPr>
      </w:pPr>
      <w:r w:rsidRPr="0015430F">
        <w:rPr>
          <w:rFonts w:eastAsia="Times New Roman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15430F" w:rsidRPr="0015430F" w:rsidRDefault="0015430F" w:rsidP="0015430F">
      <w:pPr>
        <w:suppressAutoHyphens/>
        <w:spacing w:after="0"/>
        <w:ind w:firstLine="709"/>
        <w:rPr>
          <w:rFonts w:eastAsia="Times New Roman"/>
        </w:rPr>
      </w:pPr>
      <w:proofErr w:type="gramStart"/>
      <w:r w:rsidRPr="0015430F">
        <w:rPr>
          <w:rFonts w:eastAsia="Times New Roman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15430F">
        <w:rPr>
          <w:rFonts w:eastAsia="Times New Roman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042CA5" w:rsidRDefault="00042CA5" w:rsidP="0015430F">
      <w:pPr>
        <w:suppressAutoHyphens/>
        <w:spacing w:after="0"/>
        <w:ind w:firstLine="709"/>
        <w:rPr>
          <w:rFonts w:eastAsia="Times New Roman"/>
          <w:b/>
        </w:rPr>
      </w:pPr>
    </w:p>
    <w:p w:rsidR="0015430F" w:rsidRPr="0015430F" w:rsidRDefault="0015430F" w:rsidP="0015430F">
      <w:pPr>
        <w:suppressAutoHyphens/>
        <w:spacing w:after="0"/>
        <w:ind w:firstLine="709"/>
        <w:rPr>
          <w:rFonts w:eastAsia="Times New Roman"/>
          <w:b/>
        </w:rPr>
      </w:pPr>
      <w:r w:rsidRPr="0015430F">
        <w:rPr>
          <w:rFonts w:eastAsia="Times New Roman"/>
          <w:b/>
        </w:rPr>
        <w:t>Анализ ассортимента лекарственных групп: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2121"/>
        <w:gridCol w:w="2268"/>
        <w:gridCol w:w="1524"/>
      </w:tblGrid>
      <w:tr w:rsidR="0015430F" w:rsidRPr="0015430F" w:rsidTr="00FC1A00">
        <w:tc>
          <w:tcPr>
            <w:tcW w:w="675" w:type="dxa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 xml:space="preserve">№ </w:t>
            </w:r>
            <w:proofErr w:type="gramStart"/>
            <w:r w:rsidRPr="0015430F">
              <w:rPr>
                <w:rFonts w:eastAsiaTheme="majorEastAsia"/>
                <w:b/>
                <w:iCs/>
                <w:spacing w:val="15"/>
              </w:rPr>
              <w:t>п</w:t>
            </w:r>
            <w:proofErr w:type="gramEnd"/>
            <w:r w:rsidRPr="0015430F">
              <w:rPr>
                <w:rFonts w:eastAsiaTheme="majorEastAsia"/>
                <w:b/>
                <w:iCs/>
                <w:spacing w:val="15"/>
              </w:rPr>
              <w:t>/п</w:t>
            </w:r>
          </w:p>
        </w:tc>
        <w:tc>
          <w:tcPr>
            <w:tcW w:w="3266" w:type="dxa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proofErr w:type="spellStart"/>
            <w:proofErr w:type="gramStart"/>
            <w:r w:rsidRPr="0015430F">
              <w:rPr>
                <w:rFonts w:eastAsiaTheme="majorEastAsia"/>
                <w:b/>
                <w:iCs/>
                <w:spacing w:val="15"/>
              </w:rPr>
              <w:t>Фармако</w:t>
            </w:r>
            <w:proofErr w:type="spellEnd"/>
            <w:r w:rsidRPr="0015430F">
              <w:rPr>
                <w:rFonts w:eastAsiaTheme="majorEastAsia"/>
                <w:b/>
                <w:iCs/>
                <w:spacing w:val="15"/>
              </w:rPr>
              <w:t>-терапевтическая</w:t>
            </w:r>
            <w:proofErr w:type="gramEnd"/>
            <w:r w:rsidRPr="0015430F">
              <w:rPr>
                <w:rFonts w:eastAsiaTheme="majorEastAsia"/>
                <w:b/>
                <w:iCs/>
                <w:spacing w:val="15"/>
              </w:rPr>
              <w:t xml:space="preserve"> группа</w:t>
            </w:r>
          </w:p>
        </w:tc>
        <w:tc>
          <w:tcPr>
            <w:tcW w:w="2121" w:type="dxa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>ТН</w:t>
            </w:r>
          </w:p>
        </w:tc>
        <w:tc>
          <w:tcPr>
            <w:tcW w:w="2268" w:type="dxa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>МНН</w:t>
            </w:r>
          </w:p>
        </w:tc>
        <w:tc>
          <w:tcPr>
            <w:tcW w:w="1524" w:type="dxa"/>
            <w:vAlign w:val="center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center"/>
              <w:rPr>
                <w:b/>
                <w:iCs/>
                <w:spacing w:val="15"/>
              </w:rPr>
            </w:pPr>
            <w:r w:rsidRPr="0015430F">
              <w:rPr>
                <w:rFonts w:eastAsiaTheme="majorEastAsia"/>
                <w:b/>
                <w:iCs/>
                <w:spacing w:val="15"/>
              </w:rPr>
              <w:t>Код АТХ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Противовирусное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Арбидол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Римантадин</w:t>
            </w:r>
            <w:proofErr w:type="spellEnd"/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Умифеновир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Римантадин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J05AX13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J05AC02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2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Глюкокортикостероид</w:t>
            </w:r>
            <w:proofErr w:type="spellEnd"/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Мегадексан</w:t>
            </w:r>
            <w:proofErr w:type="spellEnd"/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Дексаметазон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H02AB02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3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Антисептическое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Лавасепт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Йод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Полигексанид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left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 xml:space="preserve">Йод (калия </w:t>
            </w:r>
            <w:proofErr w:type="spellStart"/>
            <w:r w:rsidRPr="0015430F">
              <w:rPr>
                <w:rFonts w:eastAsiaTheme="majorEastAsia"/>
                <w:iCs/>
                <w:spacing w:val="15"/>
              </w:rPr>
              <w:t>йодид+этанол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)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D08AC05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D08AG03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4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Анальгезирующее ненаркотическое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Анальгин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Метамизол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 xml:space="preserve"> натрия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N02BB02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5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НПВП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Ибупрофен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Ибупрофен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M01AE01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6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Противокашлевое средство центрального действия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Коделак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® Нео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Бутамират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R05DB13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7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Отхаркивающее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Таблетки от кашля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 xml:space="preserve">Термопсиса ланцетного трава+[Натрия </w:t>
            </w:r>
            <w:r w:rsidRPr="0015430F">
              <w:rPr>
                <w:rFonts w:eastAsiaTheme="majorEastAsia"/>
                <w:iCs/>
                <w:spacing w:val="15"/>
              </w:rPr>
              <w:lastRenderedPageBreak/>
              <w:t>гидрокарбонат]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lastRenderedPageBreak/>
              <w:t>R05CA10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lastRenderedPageBreak/>
              <w:t>8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jc w:val="left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Супрастин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Зодак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®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Хлоропирамин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Цетиризин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R06AC03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R06AE07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9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Диуретическое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Фуросемид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Фуросемид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C03CA01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10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Блокатор "медленных" кальциевых каналов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Верапамил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Амлодипин</w:t>
            </w:r>
            <w:proofErr w:type="spellEnd"/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Верапамил</w:t>
            </w:r>
            <w:proofErr w:type="spellEnd"/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Амлодипин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C08DA01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С08СА01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11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Анксиолитическое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 xml:space="preserve"> средство (транквилизатор)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Транквезипам</w:t>
            </w:r>
            <w:proofErr w:type="spellEnd"/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Бромдигидрохлорфенилбензодиазепин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N05BX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12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Пищеварительное ферментное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Мезим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® форте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Фестал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®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Панкреатин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A09AA02</w:t>
            </w:r>
          </w:p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A09AA02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13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Энтеросорбирующее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 xml:space="preserve"> средство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Фильтрум</w:t>
            </w:r>
            <w:proofErr w:type="spellEnd"/>
            <w:proofErr w:type="gramStart"/>
            <w:r w:rsidRPr="0015430F">
              <w:rPr>
                <w:rFonts w:eastAsiaTheme="majorEastAsia"/>
                <w:iCs/>
                <w:spacing w:val="15"/>
              </w:rPr>
              <w:t>®-</w:t>
            </w:r>
            <w:proofErr w:type="gramEnd"/>
            <w:r w:rsidRPr="0015430F">
              <w:rPr>
                <w:rFonts w:eastAsiaTheme="majorEastAsia"/>
                <w:iCs/>
                <w:spacing w:val="15"/>
              </w:rPr>
              <w:t>СТИ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Лигнин гидролизный</w:t>
            </w:r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A07BC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14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 xml:space="preserve">Поливитаминное </w:t>
            </w:r>
            <w:proofErr w:type="spellStart"/>
            <w:r w:rsidRPr="0015430F">
              <w:rPr>
                <w:rFonts w:eastAsiaTheme="majorEastAsia"/>
                <w:iCs/>
                <w:spacing w:val="15"/>
              </w:rPr>
              <w:t>средство+минералы</w:t>
            </w:r>
            <w:proofErr w:type="spellEnd"/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Фенюльс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®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Поливитамины+Минералы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B03AE03</w:t>
            </w:r>
          </w:p>
        </w:tc>
      </w:tr>
      <w:tr w:rsidR="0015430F" w:rsidRPr="0015430F" w:rsidTr="00FC1A00">
        <w:tc>
          <w:tcPr>
            <w:tcW w:w="675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rFonts w:eastAsiaTheme="majorEastAsia"/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15</w:t>
            </w:r>
          </w:p>
        </w:tc>
        <w:tc>
          <w:tcPr>
            <w:tcW w:w="3266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бета1-адреноблокатор селективный</w:t>
            </w:r>
          </w:p>
        </w:tc>
        <w:tc>
          <w:tcPr>
            <w:tcW w:w="2121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Эгилок</w:t>
            </w:r>
            <w:proofErr w:type="spellEnd"/>
            <w:r w:rsidRPr="0015430F">
              <w:rPr>
                <w:rFonts w:eastAsiaTheme="majorEastAsia"/>
                <w:iCs/>
                <w:spacing w:val="15"/>
              </w:rPr>
              <w:t>®</w:t>
            </w:r>
          </w:p>
        </w:tc>
        <w:tc>
          <w:tcPr>
            <w:tcW w:w="2268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proofErr w:type="spellStart"/>
            <w:r w:rsidRPr="0015430F">
              <w:rPr>
                <w:rFonts w:eastAsiaTheme="majorEastAsia"/>
                <w:iCs/>
                <w:spacing w:val="15"/>
              </w:rPr>
              <w:t>Метопролол</w:t>
            </w:r>
            <w:proofErr w:type="spellEnd"/>
          </w:p>
        </w:tc>
        <w:tc>
          <w:tcPr>
            <w:tcW w:w="1524" w:type="dxa"/>
          </w:tcPr>
          <w:p w:rsidR="0015430F" w:rsidRPr="0015430F" w:rsidRDefault="0015430F" w:rsidP="0015430F">
            <w:pPr>
              <w:numPr>
                <w:ilvl w:val="1"/>
                <w:numId w:val="0"/>
              </w:numPr>
              <w:suppressAutoHyphens/>
              <w:spacing w:line="276" w:lineRule="auto"/>
              <w:rPr>
                <w:iCs/>
                <w:spacing w:val="15"/>
              </w:rPr>
            </w:pPr>
            <w:r w:rsidRPr="0015430F">
              <w:rPr>
                <w:rFonts w:eastAsiaTheme="majorEastAsia"/>
                <w:iCs/>
                <w:spacing w:val="15"/>
              </w:rPr>
              <w:t>C07AB02</w:t>
            </w:r>
          </w:p>
        </w:tc>
      </w:tr>
    </w:tbl>
    <w:p w:rsidR="0015430F" w:rsidRDefault="0015430F" w:rsidP="0015430F">
      <w:pPr>
        <w:suppressAutoHyphens/>
        <w:spacing w:after="0"/>
        <w:ind w:firstLine="709"/>
        <w:rPr>
          <w:rFonts w:eastAsia="Times New Roman"/>
          <w:b/>
        </w:rPr>
      </w:pP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  <w:b/>
        </w:rPr>
      </w:pPr>
      <w:r w:rsidRPr="00042CA5">
        <w:rPr>
          <w:rFonts w:eastAsia="Times New Roman"/>
          <w:b/>
        </w:rPr>
        <w:t>Правила хранения ЛС</w:t>
      </w:r>
    </w:p>
    <w:p w:rsidR="00042CA5" w:rsidRPr="00042CA5" w:rsidRDefault="00042CA5" w:rsidP="00042CA5">
      <w:pPr>
        <w:suppressAutoHyphens/>
        <w:spacing w:after="0"/>
        <w:ind w:firstLine="709"/>
        <w:rPr>
          <w:rFonts w:asciiTheme="minorHAnsi" w:hAnsiTheme="minorHAnsi" w:cstheme="minorBidi"/>
          <w:sz w:val="22"/>
          <w:szCs w:val="22"/>
        </w:rPr>
      </w:pPr>
      <w:proofErr w:type="gramStart"/>
      <w:r w:rsidRPr="00042CA5">
        <w:rPr>
          <w:rFonts w:eastAsia="Times New Roman"/>
        </w:rPr>
        <w:t xml:space="preserve">Хранение лекарственных средств в аптеке осуществляется с учетом физико-химических свойств веществ, входящих в состав лекарственного препарата в соответствии с требованиями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применения», приказа </w:t>
      </w:r>
      <w:proofErr w:type="spellStart"/>
      <w:r w:rsidRPr="00042CA5">
        <w:rPr>
          <w:rFonts w:eastAsia="Times New Roman"/>
        </w:rPr>
        <w:t>Минздравсоцразвития</w:t>
      </w:r>
      <w:proofErr w:type="spellEnd"/>
      <w:r w:rsidRPr="00042CA5">
        <w:rPr>
          <w:rFonts w:eastAsia="Times New Roman"/>
        </w:rPr>
        <w:t xml:space="preserve"> РФ от 23.08.2010 № 706(ред. от 28.12.2010) «Об утверждении Правил хранения лекарственных средств».</w:t>
      </w:r>
      <w:r w:rsidRPr="00042CA5">
        <w:rPr>
          <w:rFonts w:asciiTheme="minorHAnsi" w:hAnsiTheme="minorHAnsi" w:cstheme="minorBidi"/>
          <w:sz w:val="22"/>
          <w:szCs w:val="22"/>
        </w:rPr>
        <w:t xml:space="preserve"> </w:t>
      </w:r>
      <w:proofErr w:type="gramEnd"/>
    </w:p>
    <w:p w:rsidR="00042CA5" w:rsidRPr="00042CA5" w:rsidRDefault="00042CA5" w:rsidP="00042CA5">
      <w:pPr>
        <w:suppressAutoHyphens/>
        <w:spacing w:after="0"/>
        <w:ind w:firstLine="709"/>
        <w:rPr>
          <w:rFonts w:cstheme="minorBidi"/>
          <w:color w:val="464C55"/>
          <w:sz w:val="24"/>
          <w:szCs w:val="24"/>
          <w:lang w:eastAsia="ru-RU"/>
        </w:rPr>
      </w:pPr>
      <w:r w:rsidRPr="00042CA5">
        <w:rPr>
          <w:rFonts w:eastAsia="Times New Roman"/>
        </w:rPr>
        <w:t>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документации:</w:t>
      </w:r>
      <w:r w:rsidRPr="00042CA5">
        <w:rPr>
          <w:rFonts w:cstheme="minorBidi"/>
          <w:color w:val="464C55"/>
          <w:sz w:val="24"/>
          <w:szCs w:val="24"/>
          <w:lang w:eastAsia="ru-RU"/>
        </w:rPr>
        <w:t xml:space="preserve"> </w:t>
      </w:r>
    </w:p>
    <w:p w:rsidR="00042CA5" w:rsidRPr="00042CA5" w:rsidRDefault="00042CA5" w:rsidP="00042CA5">
      <w:pPr>
        <w:suppressAutoHyphens/>
        <w:spacing w:after="0"/>
        <w:ind w:firstLine="709"/>
        <w:rPr>
          <w:rFonts w:cstheme="minorBidi"/>
          <w:szCs w:val="24"/>
          <w:lang w:eastAsia="ru-RU"/>
        </w:rPr>
      </w:pPr>
      <w:r w:rsidRPr="00042CA5">
        <w:rPr>
          <w:rFonts w:cstheme="minorBidi"/>
          <w:szCs w:val="24"/>
          <w:lang w:eastAsia="ru-RU"/>
        </w:rPr>
        <w:lastRenderedPageBreak/>
        <w:t>Хранение лекарственных средств осуществляется в упаковке (потребительской, групповой), соответствующей требованиям нормативной документации на это лекарственное средство.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cstheme="minorBidi"/>
          <w:szCs w:val="24"/>
          <w:lang w:eastAsia="ru-RU"/>
        </w:rPr>
      </w:pPr>
      <w:r w:rsidRPr="00042CA5">
        <w:rPr>
          <w:rFonts w:cstheme="minorBidi"/>
          <w:szCs w:val="24"/>
          <w:lang w:eastAsia="ru-RU"/>
        </w:rPr>
        <w:t>Хранение лекарственных средств осуществляется при относительной влажности не более 60 ± 5% в зависимости от соответствующей климатической зоны (I, II, III, IVA, IVB), если специальные условия хранения не указаны в нормативной документации.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cstheme="minorBidi"/>
          <w:szCs w:val="24"/>
          <w:lang w:eastAsia="ru-RU"/>
        </w:rPr>
      </w:pPr>
      <w:r w:rsidRPr="00042CA5">
        <w:rPr>
          <w:rFonts w:cstheme="minorBidi"/>
          <w:szCs w:val="24"/>
          <w:lang w:eastAsia="ru-RU"/>
        </w:rPr>
        <w:t>Лекарственные средства следует хранить так, чтобы не допустить их загрязнения, смешивания и перекрестной контаминации. Необходимо избегать посторонних запахов в помещениях для хранения.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042CA5" w:rsidRPr="00042CA5" w:rsidRDefault="00042CA5" w:rsidP="00042CA5">
      <w:pPr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rFonts w:eastAsia="Times New Roman"/>
        </w:rPr>
      </w:pPr>
      <w:r w:rsidRPr="00042CA5">
        <w:rPr>
          <w:rFonts w:eastAsia="Times New Roman"/>
        </w:rPr>
        <w:t>физико-химических свойств лекарственных средств;</w:t>
      </w:r>
    </w:p>
    <w:p w:rsidR="00042CA5" w:rsidRPr="00042CA5" w:rsidRDefault="00042CA5" w:rsidP="00042CA5">
      <w:pPr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rFonts w:eastAsia="Times New Roman"/>
        </w:rPr>
      </w:pPr>
      <w:r w:rsidRPr="00042CA5">
        <w:rPr>
          <w:rFonts w:eastAsia="Times New Roman"/>
        </w:rPr>
        <w:t>фармакологических групп (для аптечных и медицинских организаций);</w:t>
      </w:r>
    </w:p>
    <w:p w:rsidR="00042CA5" w:rsidRPr="00042CA5" w:rsidRDefault="00042CA5" w:rsidP="00042CA5">
      <w:pPr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rFonts w:eastAsia="Times New Roman"/>
        </w:rPr>
      </w:pPr>
      <w:r w:rsidRPr="00042CA5">
        <w:rPr>
          <w:rFonts w:eastAsia="Times New Roman"/>
        </w:rPr>
        <w:t>способа применения (внутреннее, наружное);</w:t>
      </w:r>
    </w:p>
    <w:p w:rsidR="00042CA5" w:rsidRPr="00042CA5" w:rsidRDefault="00042CA5" w:rsidP="00042CA5">
      <w:pPr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rFonts w:eastAsia="Times New Roman"/>
        </w:rPr>
      </w:pPr>
      <w:proofErr w:type="gramStart"/>
      <w:r w:rsidRPr="00042CA5">
        <w:rPr>
          <w:rFonts w:eastAsia="Times New Roman"/>
        </w:rPr>
        <w:t>агрегатного состояния фармацевтических субстанций (жидкие, сыпучие, газообразные).</w:t>
      </w:r>
      <w:proofErr w:type="gramEnd"/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t>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 w:rsidRPr="00042CA5">
        <w:rPr>
          <w:rFonts w:eastAsia="Times New Roman"/>
        </w:rPr>
        <w:t>дств в с</w:t>
      </w:r>
      <w:proofErr w:type="gramEnd"/>
      <w:r w:rsidRPr="00042CA5">
        <w:rPr>
          <w:rFonts w:eastAsia="Times New Roman"/>
        </w:rP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t>Помещения для хранения лекарственных средств должны быть обеспечены стеллажами, шкафами, поддонами, подтоварниками.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t>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lastRenderedPageBreak/>
        <w:t>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042CA5" w:rsidRPr="00042CA5" w:rsidRDefault="00042CA5" w:rsidP="00042CA5">
      <w:pPr>
        <w:suppressAutoHyphens/>
        <w:spacing w:after="0"/>
        <w:ind w:firstLine="709"/>
        <w:rPr>
          <w:rFonts w:eastAsia="Times New Roman"/>
        </w:rPr>
      </w:pPr>
      <w:r w:rsidRPr="00042CA5">
        <w:rPr>
          <w:rFonts w:eastAsia="Times New Roman"/>
        </w:rPr>
        <w:t>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042CA5" w:rsidRDefault="00042CA5" w:rsidP="0015430F">
      <w:pPr>
        <w:suppressAutoHyphens/>
        <w:spacing w:after="0"/>
        <w:ind w:firstLine="709"/>
        <w:rPr>
          <w:rFonts w:eastAsia="Times New Roman"/>
          <w:b/>
        </w:rPr>
      </w:pPr>
    </w:p>
    <w:p w:rsidR="0015430F" w:rsidRPr="0015430F" w:rsidRDefault="0015430F" w:rsidP="0015430F">
      <w:pPr>
        <w:suppressAutoHyphens/>
        <w:spacing w:after="0"/>
        <w:ind w:firstLine="709"/>
        <w:rPr>
          <w:rFonts w:eastAsia="Times New Roman"/>
          <w:b/>
        </w:rPr>
      </w:pPr>
      <w:r w:rsidRPr="0015430F">
        <w:rPr>
          <w:rFonts w:eastAsia="Times New Roman"/>
          <w:b/>
        </w:rPr>
        <w:t>Правила реализации ЛС из аптеки</w:t>
      </w:r>
    </w:p>
    <w:p w:rsidR="00C96189" w:rsidRDefault="0015430F" w:rsidP="00577F83">
      <w:pPr>
        <w:suppressAutoHyphens/>
        <w:spacing w:after="0"/>
        <w:ind w:firstLine="709"/>
        <w:rPr>
          <w:rFonts w:eastAsia="Times New Roman"/>
        </w:rPr>
      </w:pPr>
      <w:r w:rsidRPr="0015430F">
        <w:rPr>
          <w:rFonts w:eastAsia="Times New Roman"/>
        </w:rPr>
        <w:t>Приказ Министерства здравоохранения РФ от 11 июля 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 В нем определяется порядок отпуска лекарственных препаратов для медицинского применения, в том числе иммунобиологических лекарственных препаратов,  аптечными организациями и индивидуальными предпринимателями, имеющими лицензию на фармацевтическую деятельность, без рецепта и (или) по рецепту на лекарственный препарат, выписанному в установленном порядке медицинскими работниками на соответствующем рецептурном бланке, а также по требованиям-накладным организаций.</w:t>
      </w:r>
      <w:bookmarkStart w:id="2" w:name="_Toc40351586"/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</w:rPr>
      </w:pPr>
    </w:p>
    <w:p w:rsidR="00C96189" w:rsidRPr="00C96189" w:rsidRDefault="00C96189" w:rsidP="00C96189">
      <w:pPr>
        <w:keepNext/>
        <w:keepLines/>
        <w:numPr>
          <w:ilvl w:val="1"/>
          <w:numId w:val="0"/>
        </w:numPr>
        <w:spacing w:after="240"/>
        <w:jc w:val="center"/>
        <w:outlineLvl w:val="1"/>
        <w:rPr>
          <w:rFonts w:eastAsia="Times New Roman" w:cstheme="majorBidi"/>
          <w:b/>
          <w:bCs/>
          <w:iCs/>
          <w:spacing w:val="15"/>
          <w:szCs w:val="26"/>
        </w:rPr>
      </w:pPr>
      <w:r w:rsidRPr="00C96189">
        <w:rPr>
          <w:rFonts w:eastAsia="Times New Roman" w:cstheme="majorBidi"/>
          <w:b/>
          <w:bCs/>
          <w:iCs/>
          <w:spacing w:val="15"/>
          <w:szCs w:val="26"/>
        </w:rPr>
        <w:t>5.3 Тема № 3 (6 часов). Гомеопатические лекарственные препараты. Дать определение. Анализ ассортимента. Хранение. Реализация</w:t>
      </w:r>
      <w:bookmarkEnd w:id="2"/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>Гомеопатические лекарственные препараты – это вещества растительного, животного, минерального происхождения, содержащие чрезвычайно малые дозы активных соединений, которые производятся по специальной технологии и разрешаются для широкого клинического применения после их регистрации по правилам, установленным МР РФ.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  <w:u w:val="single"/>
        </w:rPr>
      </w:pPr>
      <w:proofErr w:type="spellStart"/>
      <w:r w:rsidRPr="00577F83">
        <w:rPr>
          <w:rFonts w:eastAsia="Times New Roman"/>
          <w:bCs/>
          <w:u w:val="single"/>
        </w:rPr>
        <w:lastRenderedPageBreak/>
        <w:t>Стодаль</w:t>
      </w:r>
      <w:proofErr w:type="spellEnd"/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Стодаль</w:t>
      </w:r>
      <w:proofErr w:type="spellEnd"/>
      <w:r w:rsidRPr="00577F83">
        <w:rPr>
          <w:rFonts w:eastAsia="Times New Roman"/>
          <w:bCs/>
        </w:rPr>
        <w:t xml:space="preserve"> производится и выпускается в форме сиропа, прозрачного с желтоватым оттенком и сладким вкусом, находящимся во флаконе темного стекла с мерной крышкой и принимается перорально.</w:t>
      </w:r>
      <w:r w:rsidRPr="00577F83">
        <w:rPr>
          <w:rFonts w:eastAsia="Times New Roman"/>
        </w:rPr>
        <w:t xml:space="preserve"> </w:t>
      </w:r>
      <w:r w:rsidRPr="00577F83">
        <w:rPr>
          <w:rFonts w:eastAsia="Times New Roman"/>
          <w:bCs/>
        </w:rPr>
        <w:t>Одна баночка препарата содержит в себе двести миллилитров сиропа, в состав которого входят следующие растительные компоненты: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r w:rsidRPr="00577F83">
        <w:rPr>
          <w:rFonts w:eastAsia="Times New Roman"/>
          <w:bCs/>
        </w:rPr>
        <w:t>бриония – растение, представляющее собой многолетнюю вьющуюся лиану, применяемую при лечении простудных заболеваний и острых вирусных инфекций;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пульсатилла</w:t>
      </w:r>
      <w:proofErr w:type="spellEnd"/>
      <w:r w:rsidRPr="00577F83">
        <w:rPr>
          <w:rFonts w:eastAsia="Times New Roman"/>
          <w:bCs/>
        </w:rPr>
        <w:t xml:space="preserve"> – травянистое растение, известное в качестве успокоительного и болеутоляющего средства;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румекс</w:t>
      </w:r>
      <w:proofErr w:type="spellEnd"/>
      <w:r w:rsidRPr="00577F83">
        <w:rPr>
          <w:rFonts w:eastAsia="Times New Roman"/>
          <w:bCs/>
        </w:rPr>
        <w:t xml:space="preserve"> </w:t>
      </w:r>
      <w:proofErr w:type="spellStart"/>
      <w:r w:rsidRPr="00577F83">
        <w:rPr>
          <w:rFonts w:eastAsia="Times New Roman"/>
          <w:bCs/>
        </w:rPr>
        <w:t>криспус</w:t>
      </w:r>
      <w:proofErr w:type="spellEnd"/>
      <w:r w:rsidRPr="00577F83">
        <w:rPr>
          <w:rFonts w:eastAsia="Times New Roman"/>
          <w:bCs/>
        </w:rPr>
        <w:t xml:space="preserve"> – сорняк, получивший известность как средство для лечения кашля;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ипека</w:t>
      </w:r>
      <w:proofErr w:type="spellEnd"/>
      <w:r w:rsidRPr="00577F83">
        <w:rPr>
          <w:rFonts w:eastAsia="Times New Roman"/>
          <w:bCs/>
        </w:rPr>
        <w:t xml:space="preserve"> – ядовитое растение, более известное как рвотный корень, в малых дозах применяется от кашля;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спонгия</w:t>
      </w:r>
      <w:proofErr w:type="spellEnd"/>
      <w:r w:rsidRPr="00577F83">
        <w:rPr>
          <w:rFonts w:eastAsia="Times New Roman"/>
          <w:bCs/>
        </w:rPr>
        <w:t xml:space="preserve"> тоста – губка сушеная, в малых дозах устраняет сухость в горле;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стикта</w:t>
      </w:r>
      <w:proofErr w:type="spellEnd"/>
      <w:r w:rsidRPr="00577F83">
        <w:rPr>
          <w:rFonts w:eastAsia="Times New Roman"/>
          <w:bCs/>
        </w:rPr>
        <w:t xml:space="preserve"> </w:t>
      </w:r>
      <w:proofErr w:type="spellStart"/>
      <w:r w:rsidRPr="00577F83">
        <w:rPr>
          <w:rFonts w:eastAsia="Times New Roman"/>
          <w:bCs/>
        </w:rPr>
        <w:t>пульмонария</w:t>
      </w:r>
      <w:proofErr w:type="spellEnd"/>
      <w:r w:rsidRPr="00577F83">
        <w:rPr>
          <w:rFonts w:eastAsia="Times New Roman"/>
          <w:bCs/>
        </w:rPr>
        <w:t xml:space="preserve"> – мох, применяется для устранения сухости слизистых оболочек;</w:t>
      </w:r>
    </w:p>
    <w:p w:rsidR="00577F83" w:rsidRPr="00577F83" w:rsidRDefault="00577F83" w:rsidP="00577F83">
      <w:pPr>
        <w:numPr>
          <w:ilvl w:val="0"/>
          <w:numId w:val="3"/>
        </w:numPr>
        <w:suppressAutoHyphens/>
        <w:spacing w:after="0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коккус</w:t>
      </w:r>
      <w:proofErr w:type="spellEnd"/>
      <w:r w:rsidRPr="00577F83">
        <w:rPr>
          <w:rFonts w:eastAsia="Times New Roman"/>
          <w:bCs/>
        </w:rPr>
        <w:t xml:space="preserve"> </w:t>
      </w:r>
      <w:proofErr w:type="spellStart"/>
      <w:r w:rsidRPr="00577F83">
        <w:rPr>
          <w:rFonts w:eastAsia="Times New Roman"/>
          <w:bCs/>
        </w:rPr>
        <w:t>какти</w:t>
      </w:r>
      <w:proofErr w:type="spellEnd"/>
      <w:r w:rsidRPr="00577F83">
        <w:rPr>
          <w:rFonts w:eastAsia="Times New Roman"/>
          <w:bCs/>
        </w:rPr>
        <w:t xml:space="preserve"> – применяется при спастическом кашле.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>Гомеопатическое средство</w:t>
      </w:r>
      <w:r w:rsidRPr="00577F83">
        <w:rPr>
          <w:rFonts w:eastAsia="Times New Roman"/>
        </w:rPr>
        <w:t>, и</w:t>
      </w:r>
      <w:r w:rsidRPr="00577F83">
        <w:rPr>
          <w:rFonts w:eastAsia="Times New Roman"/>
          <w:bCs/>
        </w:rPr>
        <w:t>спользуемое для лечения простудных заболеваний, сопровождающихся кашлем различного происхождения: сухим навязчивым кашлем и влажным с мокротой. Лекарственные компоненты препарата эффективны именно в борьбе с симптомами кашля, возникающего как при заболеваниях горла (ларингите, фарингите, трахеите), так и при заболеваниях легких и бронхов. Каждый из структурных компонентов лекарственного средства имеет свое направленное действие, позволяющее эффективно бороться с симптомами болезни и устранять их. Такая эффективность возможна благодаря комплексности действия составляющих и их грамотном подборе, так как они дополняют друг друга.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lastRenderedPageBreak/>
        <w:t>Рекомендуется тщательно придерживаться установленных в инструкции указаний, касающихся режима дозирования препарата, так как находящиеся в составе гомеопатического средства компоненты крайне опасны при неправильном использовании.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t>Стодаль</w:t>
      </w:r>
      <w:proofErr w:type="spellEnd"/>
      <w:r w:rsidRPr="00577F83">
        <w:rPr>
          <w:rFonts w:eastAsia="Times New Roman"/>
          <w:bCs/>
        </w:rPr>
        <w:t xml:space="preserve"> отпускается без наличия у пациента рецепта врача. Хранить фармацевтическое средство необходимо в месте, с ограниченным для детей доступом, температура в котором не превышает 25</w:t>
      </w:r>
      <w:r w:rsidRPr="00577F83">
        <w:rPr>
          <w:rFonts w:eastAsia="Times New Roman"/>
          <w:bCs/>
          <w:vertAlign w:val="superscript"/>
        </w:rPr>
        <w:t>о</w:t>
      </w:r>
      <w:r w:rsidRPr="00577F83">
        <w:rPr>
          <w:rFonts w:eastAsia="Times New Roman"/>
          <w:bCs/>
        </w:rPr>
        <w:t>С. Срок хранения препарата – 5 лет.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  <w:u w:val="single"/>
        </w:rPr>
      </w:pPr>
      <w:proofErr w:type="spellStart"/>
      <w:r w:rsidRPr="00577F83">
        <w:rPr>
          <w:rFonts w:eastAsia="Times New Roman"/>
          <w:bCs/>
          <w:u w:val="single"/>
        </w:rPr>
        <w:t>Оцилококцинум</w:t>
      </w:r>
      <w:proofErr w:type="spellEnd"/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</w:rPr>
      </w:pPr>
      <w:proofErr w:type="spellStart"/>
      <w:r w:rsidRPr="00577F83">
        <w:rPr>
          <w:rFonts w:eastAsia="Times New Roman"/>
          <w:bCs/>
        </w:rPr>
        <w:t>Оциллококцинум</w:t>
      </w:r>
      <w:proofErr w:type="spellEnd"/>
      <w:r w:rsidRPr="00577F83">
        <w:rPr>
          <w:rFonts w:eastAsia="Times New Roman"/>
          <w:bCs/>
        </w:rPr>
        <w:t xml:space="preserve"> является гомеопатическим средством, действие которого является суммой свойств его компонентов. Основным положительным моментом при проведении терапии является то, что побочные эффекты полностью отсутствуют.</w:t>
      </w:r>
      <w:r w:rsidRPr="00577F83">
        <w:rPr>
          <w:rFonts w:eastAsia="Times New Roman"/>
        </w:rPr>
        <w:t xml:space="preserve"> 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>Показаниями для использования лекарственного препарата являются гриппозные заболевания с легкой и средней тяжестью, а также наличие у пациента острых респираторных вирусных инфекций.</w:t>
      </w:r>
    </w:p>
    <w:p w:rsidR="00577F83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>Требуемое количество используемого вещества зависит от стадии развития заболевания и не имеет зависимости от возрастных показателей пациента.</w:t>
      </w:r>
    </w:p>
    <w:p w:rsidR="00DA32D7" w:rsidRPr="00577F83" w:rsidRDefault="005B5E82" w:rsidP="00577F83">
      <w:pPr>
        <w:numPr>
          <w:ilvl w:val="0"/>
          <w:numId w:val="4"/>
        </w:numPr>
        <w:suppressAutoHyphens/>
        <w:spacing w:after="0"/>
        <w:rPr>
          <w:rFonts w:eastAsia="Times New Roman"/>
          <w:bCs/>
        </w:rPr>
      </w:pPr>
      <w:r w:rsidRPr="00577F83">
        <w:rPr>
          <w:rFonts w:eastAsia="Times New Roman"/>
          <w:bCs/>
        </w:rPr>
        <w:t>При проведении профилактической терапии в период резкого возрастания заболеваемости острыми респираторными вирусными инфекциями, следует употреблять лекарственный препарат в количестве одной тубы (дозы) в семь дней.</w:t>
      </w:r>
    </w:p>
    <w:p w:rsidR="00DA32D7" w:rsidRPr="00577F83" w:rsidRDefault="005B5E82" w:rsidP="00577F83">
      <w:pPr>
        <w:numPr>
          <w:ilvl w:val="0"/>
          <w:numId w:val="4"/>
        </w:numPr>
        <w:suppressAutoHyphens/>
        <w:spacing w:after="0"/>
        <w:rPr>
          <w:rFonts w:eastAsia="Times New Roman"/>
          <w:bCs/>
        </w:rPr>
      </w:pPr>
      <w:r w:rsidRPr="00577F83">
        <w:rPr>
          <w:rFonts w:eastAsia="Times New Roman"/>
          <w:bCs/>
        </w:rPr>
        <w:t>При начальной стадии инфекционно-вирусного заболевания необходимо начать использование лекарства как можно быстрее, используется одна доза активного вещества несколько раз в день с промежутком времени в шесть часов.</w:t>
      </w:r>
    </w:p>
    <w:p w:rsidR="00577F83" w:rsidRPr="00577F83" w:rsidRDefault="005B5E82" w:rsidP="00577F83">
      <w:pPr>
        <w:numPr>
          <w:ilvl w:val="0"/>
          <w:numId w:val="4"/>
        </w:numPr>
        <w:suppressAutoHyphens/>
        <w:spacing w:after="0"/>
        <w:rPr>
          <w:rFonts w:eastAsia="Times New Roman"/>
          <w:bCs/>
        </w:rPr>
      </w:pPr>
      <w:r w:rsidRPr="00577F83">
        <w:rPr>
          <w:rFonts w:eastAsia="Times New Roman"/>
          <w:bCs/>
        </w:rPr>
        <w:t xml:space="preserve">В случае явно выраженных симптомов болезни медицинское средство </w:t>
      </w:r>
      <w:proofErr w:type="spellStart"/>
      <w:r w:rsidRPr="00577F83">
        <w:rPr>
          <w:rFonts w:eastAsia="Times New Roman"/>
          <w:bCs/>
        </w:rPr>
        <w:t>Оциллококцинум</w:t>
      </w:r>
      <w:proofErr w:type="spellEnd"/>
      <w:r w:rsidRPr="00577F83">
        <w:rPr>
          <w:rFonts w:eastAsia="Times New Roman"/>
          <w:bCs/>
        </w:rPr>
        <w:t xml:space="preserve"> следует использовать дважды в день, на протяжении от одних до трех суток.</w:t>
      </w:r>
    </w:p>
    <w:p w:rsidR="00DA32D7" w:rsidRPr="00577F83" w:rsidRDefault="005B5E82" w:rsidP="00577F83">
      <w:pPr>
        <w:suppressAutoHyphens/>
        <w:spacing w:after="0"/>
        <w:ind w:firstLine="709"/>
        <w:rPr>
          <w:rFonts w:eastAsia="Times New Roman"/>
          <w:bCs/>
        </w:rPr>
      </w:pPr>
      <w:proofErr w:type="spellStart"/>
      <w:r w:rsidRPr="00577F83">
        <w:rPr>
          <w:rFonts w:eastAsia="Times New Roman"/>
          <w:bCs/>
        </w:rPr>
        <w:lastRenderedPageBreak/>
        <w:t>Оциллококцинум</w:t>
      </w:r>
      <w:proofErr w:type="spellEnd"/>
      <w:r w:rsidRPr="00577F83">
        <w:rPr>
          <w:rFonts w:eastAsia="Times New Roman"/>
          <w:bCs/>
        </w:rPr>
        <w:t xml:space="preserve"> не вызывает побочные действия у пациентов, а также не проявляет седативных свойств и эффекта привыкания. Не оказывает негативного воздействия на работу организма в целом.</w:t>
      </w:r>
    </w:p>
    <w:p w:rsidR="00DA32D7" w:rsidRPr="00577F83" w:rsidRDefault="005B5E82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 xml:space="preserve">В очень редких случаях возможны проявления аллергических реакций при наличии у пациентов гиперчувствительности к </w:t>
      </w:r>
      <w:proofErr w:type="spellStart"/>
      <w:r w:rsidRPr="00577F83">
        <w:rPr>
          <w:rFonts w:eastAsia="Times New Roman"/>
          <w:bCs/>
        </w:rPr>
        <w:t>лактозным</w:t>
      </w:r>
      <w:proofErr w:type="spellEnd"/>
      <w:r w:rsidRPr="00577F83">
        <w:rPr>
          <w:rFonts w:eastAsia="Times New Roman"/>
          <w:bCs/>
        </w:rPr>
        <w:t xml:space="preserve"> и сахарозным веществам.</w:t>
      </w:r>
    </w:p>
    <w:p w:rsidR="00577F83" w:rsidRPr="00577F83" w:rsidRDefault="005B5E82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>Гомеопатический препарат легко растворяется в воде, что удобно для использования его пациентов детского возраста. Растворенное активное вещество можно давать детям с ложечки или из бутылки.</w:t>
      </w:r>
    </w:p>
    <w:p w:rsidR="00DA32D7" w:rsidRPr="00577F83" w:rsidRDefault="00577F83" w:rsidP="00577F83">
      <w:pPr>
        <w:suppressAutoHyphens/>
        <w:spacing w:after="0"/>
        <w:ind w:firstLine="709"/>
        <w:rPr>
          <w:rFonts w:eastAsia="Times New Roman"/>
          <w:bCs/>
        </w:rPr>
      </w:pPr>
      <w:r w:rsidRPr="00577F83">
        <w:rPr>
          <w:rFonts w:eastAsia="Times New Roman"/>
          <w:bCs/>
        </w:rPr>
        <w:t>Гомеопатическое средство можно приобрести в аптечной сети без предъявления рецепта от врача.</w:t>
      </w:r>
    </w:p>
    <w:p w:rsidR="00C96189" w:rsidRPr="0015430F" w:rsidRDefault="00C96189" w:rsidP="0015430F">
      <w:pPr>
        <w:suppressAutoHyphens/>
        <w:spacing w:after="0"/>
        <w:ind w:firstLine="709"/>
        <w:rPr>
          <w:rFonts w:eastAsia="Times New Roman"/>
        </w:rPr>
      </w:pPr>
    </w:p>
    <w:p w:rsidR="008D0EFE" w:rsidRDefault="008D0EFE" w:rsidP="0015430F">
      <w:pPr>
        <w:ind w:firstLine="709"/>
      </w:pPr>
    </w:p>
    <w:sectPr w:rsidR="008D0EFE" w:rsidSect="00F40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95B"/>
    <w:multiLevelType w:val="hybridMultilevel"/>
    <w:tmpl w:val="708047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526641"/>
    <w:multiLevelType w:val="hybridMultilevel"/>
    <w:tmpl w:val="0DB0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6636E"/>
    <w:multiLevelType w:val="hybridMultilevel"/>
    <w:tmpl w:val="145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5AB4"/>
    <w:multiLevelType w:val="multilevel"/>
    <w:tmpl w:val="EAE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22"/>
    <w:rsid w:val="00042CA5"/>
    <w:rsid w:val="00136CCD"/>
    <w:rsid w:val="0015430F"/>
    <w:rsid w:val="001F3B0C"/>
    <w:rsid w:val="00415F72"/>
    <w:rsid w:val="00577F83"/>
    <w:rsid w:val="005B5E82"/>
    <w:rsid w:val="00682DD3"/>
    <w:rsid w:val="006F0EFA"/>
    <w:rsid w:val="007F4CD5"/>
    <w:rsid w:val="00817822"/>
    <w:rsid w:val="008D0EFE"/>
    <w:rsid w:val="00BA091A"/>
    <w:rsid w:val="00C96189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Подзаголовок !"/>
    <w:basedOn w:val="a"/>
    <w:next w:val="a"/>
    <w:link w:val="10"/>
    <w:uiPriority w:val="9"/>
    <w:qFormat/>
    <w:rsid w:val="006F0EF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заголовок ! Знак"/>
    <w:basedOn w:val="a0"/>
    <w:link w:val="1"/>
    <w:uiPriority w:val="9"/>
    <w:rsid w:val="006F0EF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Заголовк"/>
    <w:basedOn w:val="1"/>
    <w:uiPriority w:val="1"/>
    <w:qFormat/>
    <w:rsid w:val="00BA091A"/>
  </w:style>
  <w:style w:type="table" w:styleId="a4">
    <w:name w:val="Table Grid"/>
    <w:basedOn w:val="a1"/>
    <w:uiPriority w:val="59"/>
    <w:rsid w:val="0015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Подзаголовок !"/>
    <w:basedOn w:val="a"/>
    <w:next w:val="a"/>
    <w:link w:val="10"/>
    <w:uiPriority w:val="9"/>
    <w:qFormat/>
    <w:rsid w:val="006F0EF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заголовок ! Знак"/>
    <w:basedOn w:val="a0"/>
    <w:link w:val="1"/>
    <w:uiPriority w:val="9"/>
    <w:rsid w:val="006F0EF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Заголовк"/>
    <w:basedOn w:val="1"/>
    <w:uiPriority w:val="1"/>
    <w:qFormat/>
    <w:rsid w:val="00BA091A"/>
  </w:style>
  <w:style w:type="table" w:styleId="a4">
    <w:name w:val="Table Grid"/>
    <w:basedOn w:val="a1"/>
    <w:uiPriority w:val="59"/>
    <w:rsid w:val="0015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9</cp:revision>
  <dcterms:created xsi:type="dcterms:W3CDTF">2020-05-14T05:31:00Z</dcterms:created>
  <dcterms:modified xsi:type="dcterms:W3CDTF">2020-05-24T06:57:00Z</dcterms:modified>
</cp:coreProperties>
</file>