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C" w:rsidRDefault="006C3F42">
      <w:r>
        <w:t xml:space="preserve">   </w:t>
      </w:r>
      <w:r w:rsidR="00D676FD">
        <w:t>Заполнить таблицы</w:t>
      </w:r>
    </w:p>
    <w:p w:rsidR="00D676FD" w:rsidRDefault="00D676FD" w:rsidP="00D676FD">
      <w:pPr>
        <w:pStyle w:val="a4"/>
        <w:numPr>
          <w:ilvl w:val="0"/>
          <w:numId w:val="1"/>
        </w:numPr>
      </w:pPr>
      <w:r>
        <w:t>Сравнительная характеристика фармакологических эффектов кофеина в зависимости от направленности действия</w:t>
      </w:r>
    </w:p>
    <w:tbl>
      <w:tblPr>
        <w:tblStyle w:val="a3"/>
        <w:tblW w:w="0" w:type="auto"/>
        <w:tblLook w:val="04A0" w:firstRow="1" w:lastRow="0" w:firstColumn="1" w:lastColumn="0" w:noHBand="0" w:noVBand="1"/>
      </w:tblPr>
      <w:tblGrid>
        <w:gridCol w:w="2122"/>
        <w:gridCol w:w="1087"/>
        <w:gridCol w:w="1323"/>
        <w:gridCol w:w="1243"/>
        <w:gridCol w:w="1185"/>
        <w:gridCol w:w="1383"/>
        <w:gridCol w:w="1228"/>
      </w:tblGrid>
      <w:tr w:rsidR="00D676FD" w:rsidTr="00D676FD">
        <w:tc>
          <w:tcPr>
            <w:tcW w:w="1368" w:type="dxa"/>
          </w:tcPr>
          <w:p w:rsidR="00D676FD" w:rsidRDefault="00D676FD">
            <w:r>
              <w:t>Направленность действия</w:t>
            </w:r>
          </w:p>
        </w:tc>
        <w:tc>
          <w:tcPr>
            <w:tcW w:w="1367" w:type="dxa"/>
          </w:tcPr>
          <w:p w:rsidR="00D676FD" w:rsidRDefault="00D676FD">
            <w:r>
              <w:t>ЦНС</w:t>
            </w:r>
          </w:p>
        </w:tc>
        <w:tc>
          <w:tcPr>
            <w:tcW w:w="1367" w:type="dxa"/>
          </w:tcPr>
          <w:p w:rsidR="00D676FD" w:rsidRDefault="00D676FD">
            <w:proofErr w:type="gramStart"/>
            <w:r>
              <w:t>Сердечно-сосудистая</w:t>
            </w:r>
            <w:proofErr w:type="gramEnd"/>
            <w:r>
              <w:t xml:space="preserve"> система и уровень АД</w:t>
            </w:r>
          </w:p>
        </w:tc>
        <w:tc>
          <w:tcPr>
            <w:tcW w:w="1367" w:type="dxa"/>
          </w:tcPr>
          <w:p w:rsidR="00D676FD" w:rsidRDefault="00D676FD">
            <w:r>
              <w:t>дыхание</w:t>
            </w:r>
          </w:p>
        </w:tc>
        <w:tc>
          <w:tcPr>
            <w:tcW w:w="1367" w:type="dxa"/>
          </w:tcPr>
          <w:p w:rsidR="00D676FD" w:rsidRDefault="00D676FD">
            <w:r>
              <w:t>диурез</w:t>
            </w:r>
          </w:p>
        </w:tc>
        <w:tc>
          <w:tcPr>
            <w:tcW w:w="1367" w:type="dxa"/>
          </w:tcPr>
          <w:p w:rsidR="00D676FD" w:rsidRDefault="00D676FD">
            <w:r>
              <w:t>Скелетная мускулатура</w:t>
            </w:r>
          </w:p>
        </w:tc>
        <w:tc>
          <w:tcPr>
            <w:tcW w:w="1368" w:type="dxa"/>
          </w:tcPr>
          <w:p w:rsidR="00D676FD" w:rsidRDefault="00D676FD">
            <w:r>
              <w:t>Обмен веществ</w:t>
            </w:r>
          </w:p>
        </w:tc>
      </w:tr>
      <w:tr w:rsidR="00D676FD" w:rsidTr="00D676FD">
        <w:tc>
          <w:tcPr>
            <w:tcW w:w="1368" w:type="dxa"/>
          </w:tcPr>
          <w:p w:rsidR="00D676FD" w:rsidRDefault="00D676FD">
            <w:r>
              <w:t>Фармакологические эффекты</w:t>
            </w:r>
          </w:p>
        </w:tc>
        <w:tc>
          <w:tcPr>
            <w:tcW w:w="1367" w:type="dxa"/>
          </w:tcPr>
          <w:p w:rsidR="00D676FD" w:rsidRDefault="00D676FD"/>
        </w:tc>
        <w:tc>
          <w:tcPr>
            <w:tcW w:w="1367" w:type="dxa"/>
          </w:tcPr>
          <w:p w:rsidR="00D676FD" w:rsidRDefault="00D676FD"/>
        </w:tc>
        <w:tc>
          <w:tcPr>
            <w:tcW w:w="1367" w:type="dxa"/>
          </w:tcPr>
          <w:p w:rsidR="00D676FD" w:rsidRDefault="00D676FD"/>
        </w:tc>
        <w:tc>
          <w:tcPr>
            <w:tcW w:w="1367" w:type="dxa"/>
          </w:tcPr>
          <w:p w:rsidR="00D676FD" w:rsidRDefault="00D676FD"/>
        </w:tc>
        <w:tc>
          <w:tcPr>
            <w:tcW w:w="1367" w:type="dxa"/>
          </w:tcPr>
          <w:p w:rsidR="00D676FD" w:rsidRDefault="00D676FD"/>
        </w:tc>
        <w:tc>
          <w:tcPr>
            <w:tcW w:w="1368" w:type="dxa"/>
          </w:tcPr>
          <w:p w:rsidR="00D676FD" w:rsidRDefault="00D676FD"/>
        </w:tc>
      </w:tr>
    </w:tbl>
    <w:p w:rsidR="00D676FD" w:rsidRDefault="00D676FD"/>
    <w:p w:rsidR="00D676FD" w:rsidRDefault="00D676FD" w:rsidP="00D676FD">
      <w:pPr>
        <w:pStyle w:val="a4"/>
        <w:numPr>
          <w:ilvl w:val="0"/>
          <w:numId w:val="1"/>
        </w:numPr>
      </w:pPr>
      <w:r>
        <w:t>Сравнительная характеристика общетонизирующих средств растительного и животного происхождения</w:t>
      </w:r>
    </w:p>
    <w:tbl>
      <w:tblPr>
        <w:tblStyle w:val="a3"/>
        <w:tblW w:w="0" w:type="auto"/>
        <w:tblLook w:val="04A0" w:firstRow="1" w:lastRow="0" w:firstColumn="1" w:lastColumn="0" w:noHBand="0" w:noVBand="1"/>
      </w:tblPr>
      <w:tblGrid>
        <w:gridCol w:w="1875"/>
        <w:gridCol w:w="1880"/>
        <w:gridCol w:w="2119"/>
        <w:gridCol w:w="1848"/>
        <w:gridCol w:w="1849"/>
      </w:tblGrid>
      <w:tr w:rsidR="00D676FD" w:rsidTr="00D676FD">
        <w:tc>
          <w:tcPr>
            <w:tcW w:w="1914" w:type="dxa"/>
          </w:tcPr>
          <w:p w:rsidR="00D676FD" w:rsidRDefault="00D676FD">
            <w:r>
              <w:t>Лекарственное сырье</w:t>
            </w:r>
          </w:p>
        </w:tc>
        <w:tc>
          <w:tcPr>
            <w:tcW w:w="1914" w:type="dxa"/>
          </w:tcPr>
          <w:p w:rsidR="00D676FD" w:rsidRDefault="00D676FD">
            <w:r>
              <w:t>Лекарственный препарат</w:t>
            </w:r>
          </w:p>
        </w:tc>
        <w:tc>
          <w:tcPr>
            <w:tcW w:w="1914" w:type="dxa"/>
          </w:tcPr>
          <w:p w:rsidR="00D676FD" w:rsidRDefault="00D676FD">
            <w:r>
              <w:t>Фармакологическое действие</w:t>
            </w:r>
          </w:p>
        </w:tc>
        <w:tc>
          <w:tcPr>
            <w:tcW w:w="1914" w:type="dxa"/>
          </w:tcPr>
          <w:p w:rsidR="00D676FD" w:rsidRDefault="00D676FD">
            <w:r>
              <w:t>Режим дозирования</w:t>
            </w:r>
          </w:p>
        </w:tc>
        <w:tc>
          <w:tcPr>
            <w:tcW w:w="1915" w:type="dxa"/>
          </w:tcPr>
          <w:p w:rsidR="00D676FD" w:rsidRDefault="00D676FD">
            <w:r>
              <w:t>Показание к применению</w:t>
            </w:r>
          </w:p>
        </w:tc>
      </w:tr>
      <w:tr w:rsidR="00D676FD" w:rsidTr="00D676FD">
        <w:tc>
          <w:tcPr>
            <w:tcW w:w="1914" w:type="dxa"/>
          </w:tcPr>
          <w:p w:rsidR="00D676FD" w:rsidRDefault="00D676FD">
            <w:r>
              <w:t>Аралия маньчжурская (корень)</w:t>
            </w:r>
          </w:p>
        </w:tc>
        <w:tc>
          <w:tcPr>
            <w:tcW w:w="1914" w:type="dxa"/>
          </w:tcPr>
          <w:p w:rsidR="00D676FD" w:rsidRDefault="00D676FD"/>
        </w:tc>
        <w:tc>
          <w:tcPr>
            <w:tcW w:w="1914" w:type="dxa"/>
          </w:tcPr>
          <w:p w:rsidR="00D676FD" w:rsidRDefault="00D676FD"/>
        </w:tc>
        <w:tc>
          <w:tcPr>
            <w:tcW w:w="1914" w:type="dxa"/>
          </w:tcPr>
          <w:p w:rsidR="00D676FD" w:rsidRDefault="00D676FD"/>
        </w:tc>
        <w:tc>
          <w:tcPr>
            <w:tcW w:w="1915" w:type="dxa"/>
          </w:tcPr>
          <w:p w:rsidR="00D676FD" w:rsidRDefault="00D676FD"/>
        </w:tc>
      </w:tr>
      <w:tr w:rsidR="00D676FD" w:rsidTr="00D676FD">
        <w:tc>
          <w:tcPr>
            <w:tcW w:w="1914" w:type="dxa"/>
          </w:tcPr>
          <w:p w:rsidR="00D676FD" w:rsidRDefault="00D676FD">
            <w:r>
              <w:t>Женьшеня корень</w:t>
            </w:r>
          </w:p>
        </w:tc>
        <w:tc>
          <w:tcPr>
            <w:tcW w:w="1914" w:type="dxa"/>
          </w:tcPr>
          <w:p w:rsidR="00D676FD" w:rsidRDefault="00D676FD"/>
        </w:tc>
        <w:tc>
          <w:tcPr>
            <w:tcW w:w="1914" w:type="dxa"/>
          </w:tcPr>
          <w:p w:rsidR="00D676FD" w:rsidRDefault="00D676FD"/>
        </w:tc>
        <w:tc>
          <w:tcPr>
            <w:tcW w:w="1914" w:type="dxa"/>
          </w:tcPr>
          <w:p w:rsidR="00D676FD" w:rsidRDefault="00D676FD"/>
        </w:tc>
        <w:tc>
          <w:tcPr>
            <w:tcW w:w="1915" w:type="dxa"/>
          </w:tcPr>
          <w:p w:rsidR="00D676FD" w:rsidRDefault="00D676FD"/>
        </w:tc>
      </w:tr>
      <w:tr w:rsidR="00D676FD" w:rsidTr="00D676FD">
        <w:tc>
          <w:tcPr>
            <w:tcW w:w="1914" w:type="dxa"/>
          </w:tcPr>
          <w:p w:rsidR="00D676FD" w:rsidRDefault="00D676FD">
            <w:r>
              <w:t>Лимонника</w:t>
            </w:r>
          </w:p>
          <w:p w:rsidR="00D676FD" w:rsidRDefault="00D676FD">
            <w:r>
              <w:t xml:space="preserve">  плод</w:t>
            </w:r>
          </w:p>
        </w:tc>
        <w:tc>
          <w:tcPr>
            <w:tcW w:w="1914" w:type="dxa"/>
          </w:tcPr>
          <w:p w:rsidR="00D676FD" w:rsidRDefault="00D676FD"/>
        </w:tc>
        <w:tc>
          <w:tcPr>
            <w:tcW w:w="1914" w:type="dxa"/>
          </w:tcPr>
          <w:p w:rsidR="00D676FD" w:rsidRDefault="00D676FD"/>
        </w:tc>
        <w:tc>
          <w:tcPr>
            <w:tcW w:w="1914" w:type="dxa"/>
          </w:tcPr>
          <w:p w:rsidR="00D676FD" w:rsidRDefault="00D676FD"/>
        </w:tc>
        <w:tc>
          <w:tcPr>
            <w:tcW w:w="1915" w:type="dxa"/>
          </w:tcPr>
          <w:p w:rsidR="00D676FD" w:rsidRDefault="00D676FD"/>
        </w:tc>
      </w:tr>
      <w:tr w:rsidR="00D676FD" w:rsidTr="00D676FD">
        <w:tc>
          <w:tcPr>
            <w:tcW w:w="1914" w:type="dxa"/>
          </w:tcPr>
          <w:p w:rsidR="00D676FD" w:rsidRDefault="00D676FD">
            <w:r>
              <w:t xml:space="preserve">Элеутерококк </w:t>
            </w:r>
          </w:p>
          <w:p w:rsidR="00D676FD" w:rsidRDefault="00D676FD">
            <w:r>
              <w:t>Корневище с корнями</w:t>
            </w:r>
          </w:p>
        </w:tc>
        <w:tc>
          <w:tcPr>
            <w:tcW w:w="1914" w:type="dxa"/>
          </w:tcPr>
          <w:p w:rsidR="00D676FD" w:rsidRDefault="00D676FD"/>
        </w:tc>
        <w:tc>
          <w:tcPr>
            <w:tcW w:w="1914" w:type="dxa"/>
          </w:tcPr>
          <w:p w:rsidR="00D676FD" w:rsidRDefault="00D676FD"/>
        </w:tc>
        <w:tc>
          <w:tcPr>
            <w:tcW w:w="1914" w:type="dxa"/>
          </w:tcPr>
          <w:p w:rsidR="00D676FD" w:rsidRDefault="00D676FD"/>
        </w:tc>
        <w:tc>
          <w:tcPr>
            <w:tcW w:w="1915" w:type="dxa"/>
          </w:tcPr>
          <w:p w:rsidR="00D676FD" w:rsidRDefault="00D676FD"/>
        </w:tc>
      </w:tr>
      <w:tr w:rsidR="00D676FD" w:rsidTr="00D676FD">
        <w:tc>
          <w:tcPr>
            <w:tcW w:w="1914" w:type="dxa"/>
          </w:tcPr>
          <w:p w:rsidR="00D676FD" w:rsidRDefault="00D676FD">
            <w:proofErr w:type="spellStart"/>
            <w:r>
              <w:t>Родиола</w:t>
            </w:r>
            <w:proofErr w:type="spellEnd"/>
            <w:r>
              <w:t xml:space="preserve"> розовая</w:t>
            </w:r>
          </w:p>
          <w:p w:rsidR="00D676FD" w:rsidRDefault="00D676FD">
            <w:r w:rsidRPr="00D676FD">
              <w:t>Корневище с корнями</w:t>
            </w:r>
          </w:p>
        </w:tc>
        <w:tc>
          <w:tcPr>
            <w:tcW w:w="1914" w:type="dxa"/>
          </w:tcPr>
          <w:p w:rsidR="00D676FD" w:rsidRDefault="00D676FD"/>
        </w:tc>
        <w:tc>
          <w:tcPr>
            <w:tcW w:w="1914" w:type="dxa"/>
          </w:tcPr>
          <w:p w:rsidR="00D676FD" w:rsidRDefault="00D676FD"/>
        </w:tc>
        <w:tc>
          <w:tcPr>
            <w:tcW w:w="1914" w:type="dxa"/>
          </w:tcPr>
          <w:p w:rsidR="00D676FD" w:rsidRDefault="00D676FD"/>
        </w:tc>
        <w:tc>
          <w:tcPr>
            <w:tcW w:w="1915" w:type="dxa"/>
          </w:tcPr>
          <w:p w:rsidR="00D676FD" w:rsidRDefault="00D676FD"/>
        </w:tc>
      </w:tr>
      <w:tr w:rsidR="00D676FD" w:rsidTr="00D676FD">
        <w:tc>
          <w:tcPr>
            <w:tcW w:w="1914" w:type="dxa"/>
          </w:tcPr>
          <w:p w:rsidR="00D676FD" w:rsidRDefault="00D676FD">
            <w:r>
              <w:t>Рога северного оленя</w:t>
            </w:r>
          </w:p>
        </w:tc>
        <w:tc>
          <w:tcPr>
            <w:tcW w:w="1914" w:type="dxa"/>
          </w:tcPr>
          <w:p w:rsidR="00D676FD" w:rsidRDefault="00D676FD"/>
        </w:tc>
        <w:tc>
          <w:tcPr>
            <w:tcW w:w="1914" w:type="dxa"/>
          </w:tcPr>
          <w:p w:rsidR="00D676FD" w:rsidRDefault="00D676FD"/>
        </w:tc>
        <w:tc>
          <w:tcPr>
            <w:tcW w:w="1914" w:type="dxa"/>
          </w:tcPr>
          <w:p w:rsidR="00D676FD" w:rsidRDefault="00D676FD"/>
        </w:tc>
        <w:tc>
          <w:tcPr>
            <w:tcW w:w="1915" w:type="dxa"/>
          </w:tcPr>
          <w:p w:rsidR="00D676FD" w:rsidRDefault="00D676FD"/>
        </w:tc>
      </w:tr>
    </w:tbl>
    <w:p w:rsidR="00D676FD" w:rsidRDefault="00D676FD"/>
    <w:p w:rsidR="006C3F42" w:rsidRDefault="006C3F42" w:rsidP="006C3F42">
      <w:pPr>
        <w:pStyle w:val="a4"/>
        <w:numPr>
          <w:ilvl w:val="0"/>
          <w:numId w:val="1"/>
        </w:numPr>
      </w:pPr>
      <w:r>
        <w:t xml:space="preserve">На сайте </w:t>
      </w:r>
      <w:hyperlink r:id="rId6" w:history="1">
        <w:r>
          <w:rPr>
            <w:rStyle w:val="a5"/>
          </w:rPr>
          <w:t>http://grls.rosminzdrav.ru/</w:t>
        </w:r>
      </w:hyperlink>
      <w:r>
        <w:t xml:space="preserve"> найти 10 препаратов, содержащих кофеин и заполнить таблицу</w:t>
      </w:r>
    </w:p>
    <w:tbl>
      <w:tblPr>
        <w:tblStyle w:val="a3"/>
        <w:tblW w:w="0" w:type="auto"/>
        <w:tblLook w:val="04A0" w:firstRow="1" w:lastRow="0" w:firstColumn="1" w:lastColumn="0" w:noHBand="0" w:noVBand="1"/>
      </w:tblPr>
      <w:tblGrid>
        <w:gridCol w:w="1866"/>
        <w:gridCol w:w="2061"/>
        <w:gridCol w:w="1980"/>
        <w:gridCol w:w="2218"/>
        <w:gridCol w:w="1446"/>
      </w:tblGrid>
      <w:tr w:rsidR="006C3F42" w:rsidTr="006C3F42">
        <w:tc>
          <w:tcPr>
            <w:tcW w:w="1866" w:type="dxa"/>
          </w:tcPr>
          <w:p w:rsidR="006C3F42" w:rsidRDefault="006C3F42">
            <w:r>
              <w:t>Торговое название препарата</w:t>
            </w:r>
          </w:p>
        </w:tc>
        <w:tc>
          <w:tcPr>
            <w:tcW w:w="2061" w:type="dxa"/>
          </w:tcPr>
          <w:p w:rsidR="006C3F42" w:rsidRDefault="006C3F42">
            <w:r>
              <w:t>Состав действующих лекарственных средств, входящих в данный препарат</w:t>
            </w:r>
          </w:p>
        </w:tc>
        <w:tc>
          <w:tcPr>
            <w:tcW w:w="1980" w:type="dxa"/>
          </w:tcPr>
          <w:p w:rsidR="006C3F42" w:rsidRDefault="006C3F42">
            <w:r>
              <w:t>Показание к применению</w:t>
            </w:r>
          </w:p>
        </w:tc>
        <w:tc>
          <w:tcPr>
            <w:tcW w:w="2218" w:type="dxa"/>
          </w:tcPr>
          <w:p w:rsidR="006C3F42" w:rsidRDefault="006C3F42">
            <w:r>
              <w:t>Противопоказание</w:t>
            </w:r>
          </w:p>
        </w:tc>
        <w:tc>
          <w:tcPr>
            <w:tcW w:w="1446" w:type="dxa"/>
          </w:tcPr>
          <w:p w:rsidR="006C3F42" w:rsidRDefault="006C3F42">
            <w:r>
              <w:t>Условие отпуска из аптек</w:t>
            </w:r>
            <w:bookmarkStart w:id="0" w:name="_GoBack"/>
            <w:bookmarkEnd w:id="0"/>
          </w:p>
        </w:tc>
      </w:tr>
      <w:tr w:rsidR="006C3F42" w:rsidTr="006C3F42">
        <w:tc>
          <w:tcPr>
            <w:tcW w:w="1866" w:type="dxa"/>
          </w:tcPr>
          <w:p w:rsidR="006C3F42" w:rsidRDefault="006C3F42"/>
        </w:tc>
        <w:tc>
          <w:tcPr>
            <w:tcW w:w="2061" w:type="dxa"/>
          </w:tcPr>
          <w:p w:rsidR="006C3F42" w:rsidRDefault="006C3F42"/>
        </w:tc>
        <w:tc>
          <w:tcPr>
            <w:tcW w:w="1980" w:type="dxa"/>
          </w:tcPr>
          <w:p w:rsidR="006C3F42" w:rsidRDefault="006C3F42"/>
        </w:tc>
        <w:tc>
          <w:tcPr>
            <w:tcW w:w="2218" w:type="dxa"/>
          </w:tcPr>
          <w:p w:rsidR="006C3F42" w:rsidRDefault="006C3F42"/>
        </w:tc>
        <w:tc>
          <w:tcPr>
            <w:tcW w:w="1446" w:type="dxa"/>
          </w:tcPr>
          <w:p w:rsidR="006C3F42" w:rsidRDefault="006C3F42"/>
        </w:tc>
      </w:tr>
    </w:tbl>
    <w:p w:rsidR="00D676FD" w:rsidRDefault="00D676FD"/>
    <w:p w:rsidR="00263888" w:rsidRDefault="00263888">
      <w:r>
        <w:t>Задача 1</w:t>
      </w:r>
    </w:p>
    <w:p w:rsidR="00D676FD" w:rsidRDefault="00263888">
      <w:r>
        <w:t>В</w:t>
      </w:r>
      <w:r w:rsidR="00D676FD" w:rsidRPr="00D676FD">
        <w:t xml:space="preserve"> аптеку обратился пациент с жалобой на качество настойки женьшеня. Он принимал ее в весенний период. Препарат оказывал отчетливое тонизирующее действие, что проявлялось снятием </w:t>
      </w:r>
      <w:proofErr w:type="gramStart"/>
      <w:r w:rsidR="00D676FD" w:rsidRPr="00D676FD">
        <w:t>весенней</w:t>
      </w:r>
      <w:proofErr w:type="gramEnd"/>
      <w:r w:rsidR="00D676FD" w:rsidRPr="00D676FD">
        <w:t xml:space="preserve"> </w:t>
      </w:r>
      <w:proofErr w:type="spellStart"/>
      <w:r w:rsidR="00D676FD" w:rsidRPr="00D676FD">
        <w:t>астенизации</w:t>
      </w:r>
      <w:proofErr w:type="spellEnd"/>
      <w:r w:rsidR="00D676FD" w:rsidRPr="00D676FD">
        <w:t xml:space="preserve"> организма. После того как он купил препарат летом и начал его регулярный прием во время отпуска, он не почувствовал стимулирующего действия препарата. Проконсультируйте пациента об особенностях тонизирующего действия женьшеня, включая </w:t>
      </w:r>
      <w:proofErr w:type="spellStart"/>
      <w:r w:rsidR="00D676FD" w:rsidRPr="00D676FD">
        <w:t>хронофармакологические</w:t>
      </w:r>
      <w:proofErr w:type="spellEnd"/>
      <w:r w:rsidR="00D676FD" w:rsidRPr="00D676FD">
        <w:t xml:space="preserve">. Объясните, в чем отличие </w:t>
      </w:r>
      <w:proofErr w:type="spellStart"/>
      <w:r w:rsidR="00D676FD" w:rsidRPr="00D676FD">
        <w:t>тонизирущего</w:t>
      </w:r>
      <w:proofErr w:type="spellEnd"/>
      <w:r w:rsidR="00D676FD" w:rsidRPr="00D676FD">
        <w:t xml:space="preserve"> действия адаптогенов </w:t>
      </w:r>
      <w:proofErr w:type="gramStart"/>
      <w:r w:rsidR="00D676FD" w:rsidRPr="00D676FD">
        <w:t>от</w:t>
      </w:r>
      <w:proofErr w:type="gramEnd"/>
      <w:r w:rsidR="00D676FD" w:rsidRPr="00D676FD">
        <w:t xml:space="preserve"> психостимулирующего.</w:t>
      </w:r>
    </w:p>
    <w:p w:rsidR="00263888" w:rsidRDefault="00263888">
      <w:r>
        <w:lastRenderedPageBreak/>
        <w:t xml:space="preserve">Задача 2 </w:t>
      </w:r>
    </w:p>
    <w:p w:rsidR="00D676FD" w:rsidRDefault="00D676FD">
      <w:r w:rsidRPr="00D676FD">
        <w:t>У женщины 75 лет на похоронах мужа возникло обморочное состояние. Родственники попытались помочь ей, дав подышать нашатырным спиртом. Состояние сразу же не улучшилось, поэтому для усиления действия нашатырного спирта было решено усилить эффект, приблизив смоченную нашатырным спиртом ватку близко к носу, что привело к резкому ослаблению дыхания и ухудшению ее состояния. Объясните причину ухудшения.</w:t>
      </w:r>
    </w:p>
    <w:sectPr w:rsidR="00D676FD" w:rsidSect="0026388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30A60"/>
    <w:multiLevelType w:val="hybridMultilevel"/>
    <w:tmpl w:val="93409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8D"/>
    <w:rsid w:val="001C1135"/>
    <w:rsid w:val="00263888"/>
    <w:rsid w:val="003B7A17"/>
    <w:rsid w:val="005F06C3"/>
    <w:rsid w:val="006C3F42"/>
    <w:rsid w:val="0090458D"/>
    <w:rsid w:val="00BE4307"/>
    <w:rsid w:val="00D6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76FD"/>
    <w:pPr>
      <w:ind w:left="720"/>
      <w:contextualSpacing/>
    </w:pPr>
  </w:style>
  <w:style w:type="character" w:styleId="a5">
    <w:name w:val="Hyperlink"/>
    <w:basedOn w:val="a0"/>
    <w:uiPriority w:val="99"/>
    <w:semiHidden/>
    <w:unhideWhenUsed/>
    <w:rsid w:val="006C3F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76FD"/>
    <w:pPr>
      <w:ind w:left="720"/>
      <w:contextualSpacing/>
    </w:pPr>
  </w:style>
  <w:style w:type="character" w:styleId="a5">
    <w:name w:val="Hyperlink"/>
    <w:basedOn w:val="a0"/>
    <w:uiPriority w:val="99"/>
    <w:semiHidden/>
    <w:unhideWhenUsed/>
    <w:rsid w:val="006C3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ls.rosminzdra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2020-05-26T12:08:00Z</dcterms:created>
  <dcterms:modified xsi:type="dcterms:W3CDTF">2020-05-26T12:57:00Z</dcterms:modified>
</cp:coreProperties>
</file>