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09" w:rsidRPr="00AE3809" w:rsidRDefault="00AE3809" w:rsidP="00AE38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E3809">
        <w:rPr>
          <w:rFonts w:ascii="Times New Roman" w:eastAsia="Times New Roman" w:hAnsi="Times New Roman"/>
          <w:b/>
          <w:i/>
          <w:sz w:val="28"/>
          <w:szCs w:val="28"/>
          <w:highlight w:val="cyan"/>
        </w:rPr>
        <w:t>Тема № 1</w:t>
      </w:r>
      <w:r w:rsidRPr="00AE3809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1BC">
        <w:rPr>
          <w:rFonts w:ascii="Times New Roman" w:eastAsia="Times New Roman" w:hAnsi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</w:t>
      </w:r>
      <w:r>
        <w:rPr>
          <w:rFonts w:ascii="Times New Roman" w:eastAsia="Times New Roman" w:hAnsi="Times New Roman"/>
          <w:b/>
          <w:bCs/>
          <w:sz w:val="28"/>
          <w:szCs w:val="28"/>
        </w:rPr>
        <w:t>ументы, подтверждающие качество.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5143B8">
        <w:rPr>
          <w:rFonts w:ascii="Times New Roman" w:eastAsia="Times New Roman" w:hAnsi="Times New Roman"/>
          <w:sz w:val="28"/>
          <w:szCs w:val="28"/>
          <w:u w:val="single"/>
        </w:rPr>
        <w:t>Организация работы по приему товара в аптеке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1BF">
        <w:rPr>
          <w:rFonts w:ascii="Times New Roman" w:hAnsi="Times New Roman"/>
          <w:sz w:val="28"/>
          <w:szCs w:val="28"/>
        </w:rPr>
        <w:t>В соответствии с Приказом МЗ РФ № 647н,</w:t>
      </w:r>
      <w:r w:rsidRPr="00A001BF">
        <w:rPr>
          <w:rFonts w:ascii="Times New Roman" w:hAnsi="Times New Roman"/>
          <w:i/>
          <w:sz w:val="28"/>
          <w:szCs w:val="28"/>
        </w:rPr>
        <w:t xml:space="preserve"> </w:t>
      </w:r>
      <w:r w:rsidRPr="00A001BF">
        <w:rPr>
          <w:rFonts w:ascii="Times New Roman" w:hAnsi="Times New Roman"/>
          <w:sz w:val="28"/>
          <w:szCs w:val="28"/>
        </w:rPr>
        <w:t>приём товаров аптечного ассортимента производится в зоне приёмки товара</w:t>
      </w:r>
      <w:r>
        <w:rPr>
          <w:rFonts w:ascii="Times New Roman" w:hAnsi="Times New Roman"/>
          <w:sz w:val="28"/>
          <w:szCs w:val="28"/>
        </w:rPr>
        <w:t>.   Приём товара аптечного ассортимента осуществляет материально-ответственное лицо</w:t>
      </w:r>
      <w:r w:rsidRPr="001D0AE1">
        <w:t xml:space="preserve"> </w:t>
      </w:r>
      <w:r w:rsidRPr="001D0AE1">
        <w:rPr>
          <w:rFonts w:ascii="Times New Roman" w:hAnsi="Times New Roman"/>
          <w:sz w:val="28"/>
          <w:szCs w:val="28"/>
        </w:rPr>
        <w:t>по количеству товарных единиц и маркировке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3809" w:rsidRPr="001F4E81" w:rsidRDefault="00AE3809" w:rsidP="00AE3809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E81">
        <w:rPr>
          <w:rFonts w:ascii="Times New Roman" w:hAnsi="Times New Roman"/>
          <w:sz w:val="28"/>
          <w:szCs w:val="28"/>
        </w:rPr>
        <w:t>Проверка качества заключается: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осмотре внешнего вида; 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проверки</w:t>
      </w:r>
      <w:r w:rsidRPr="00A001BF">
        <w:rPr>
          <w:rFonts w:ascii="Times New Roman" w:hAnsi="Times New Roman"/>
          <w:sz w:val="28"/>
          <w:szCs w:val="28"/>
        </w:rPr>
        <w:t xml:space="preserve"> соответствия </w:t>
      </w:r>
      <w:r>
        <w:rPr>
          <w:rFonts w:ascii="Times New Roman" w:hAnsi="Times New Roman"/>
          <w:sz w:val="28"/>
          <w:szCs w:val="28"/>
        </w:rPr>
        <w:t>товара сопроводительным документам;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1BF">
        <w:rPr>
          <w:rFonts w:ascii="Times New Roman" w:hAnsi="Times New Roman"/>
          <w:sz w:val="28"/>
          <w:szCs w:val="28"/>
        </w:rPr>
        <w:t xml:space="preserve"> полноты компле</w:t>
      </w:r>
      <w:r>
        <w:rPr>
          <w:rFonts w:ascii="Times New Roman" w:hAnsi="Times New Roman"/>
          <w:sz w:val="28"/>
          <w:szCs w:val="28"/>
        </w:rPr>
        <w:t>кта сопроводительных документов</w:t>
      </w:r>
      <w:r w:rsidRPr="00A001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3809" w:rsidRPr="00A001BF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09" w:rsidRPr="00A001BF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количественном и качественном</w:t>
      </w:r>
      <w:r w:rsidRPr="00A0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A0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 аптечного ассортимента, </w:t>
      </w:r>
      <w:proofErr w:type="gramStart"/>
      <w:r>
        <w:rPr>
          <w:rFonts w:ascii="Times New Roman" w:hAnsi="Times New Roman"/>
          <w:sz w:val="28"/>
          <w:szCs w:val="28"/>
        </w:rPr>
        <w:t>указан</w:t>
      </w:r>
      <w:r w:rsidRPr="00A001BF">
        <w:rPr>
          <w:rFonts w:ascii="Times New Roman" w:hAnsi="Times New Roman"/>
          <w:sz w:val="28"/>
          <w:szCs w:val="28"/>
        </w:rPr>
        <w:t>ному</w:t>
      </w:r>
      <w:proofErr w:type="gramEnd"/>
      <w:r w:rsidRPr="00A001BF">
        <w:rPr>
          <w:rFonts w:ascii="Times New Roman" w:hAnsi="Times New Roman"/>
          <w:sz w:val="28"/>
          <w:szCs w:val="28"/>
        </w:rPr>
        <w:t xml:space="preserve"> в сопроводительных документах</w:t>
      </w:r>
      <w:r>
        <w:rPr>
          <w:rFonts w:ascii="Times New Roman" w:hAnsi="Times New Roman"/>
          <w:sz w:val="28"/>
          <w:szCs w:val="28"/>
        </w:rPr>
        <w:t xml:space="preserve"> – на приходной накладной м</w:t>
      </w:r>
      <w:r w:rsidRPr="00A001BF">
        <w:rPr>
          <w:rFonts w:ascii="Times New Roman" w:hAnsi="Times New Roman"/>
          <w:sz w:val="28"/>
          <w:szCs w:val="28"/>
        </w:rPr>
        <w:t>атериально ответственное лицо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1BF">
        <w:rPr>
          <w:rFonts w:ascii="Times New Roman" w:hAnsi="Times New Roman"/>
          <w:sz w:val="28"/>
          <w:szCs w:val="28"/>
        </w:rPr>
        <w:t>осуществляющее приемк</w:t>
      </w:r>
      <w:r>
        <w:rPr>
          <w:rFonts w:ascii="Times New Roman" w:hAnsi="Times New Roman"/>
          <w:sz w:val="28"/>
          <w:szCs w:val="28"/>
        </w:rPr>
        <w:t>у товаров аптечного ассортимента, проставляет</w:t>
      </w:r>
      <w:r w:rsidRPr="00A001BF">
        <w:rPr>
          <w:rFonts w:ascii="Times New Roman" w:hAnsi="Times New Roman"/>
          <w:sz w:val="28"/>
          <w:szCs w:val="28"/>
        </w:rPr>
        <w:t xml:space="preserve"> штамп приемки, подтверждающий факт соответствия принятых товаров аптечного ассортимента данным, указанны</w:t>
      </w:r>
      <w:r>
        <w:rPr>
          <w:rFonts w:ascii="Times New Roman" w:hAnsi="Times New Roman"/>
          <w:sz w:val="28"/>
          <w:szCs w:val="28"/>
        </w:rPr>
        <w:t>м в сопроводительных документах</w:t>
      </w:r>
      <w:r w:rsidRPr="00A001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ставит свою подпись.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143B8">
        <w:rPr>
          <w:rFonts w:ascii="Times New Roman" w:eastAsia="Times New Roman" w:hAnsi="Times New Roman"/>
          <w:sz w:val="28"/>
          <w:szCs w:val="28"/>
          <w:u w:val="single"/>
        </w:rPr>
        <w:t>Организация работы по проведению контролю качества, получаемого товара. Документы, подтверждающие качество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Pr="001F4E81" w:rsidRDefault="00AE3809" w:rsidP="00AE3809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4E81">
        <w:rPr>
          <w:rFonts w:ascii="Times New Roman" w:eastAsia="Times New Roman" w:hAnsi="Times New Roman"/>
          <w:sz w:val="28"/>
          <w:szCs w:val="28"/>
        </w:rPr>
        <w:t xml:space="preserve">Документы, </w:t>
      </w:r>
      <w:bookmarkStart w:id="0" w:name="_GoBack"/>
      <w:bookmarkEnd w:id="0"/>
      <w:r w:rsidRPr="001F4E81">
        <w:rPr>
          <w:rFonts w:ascii="Times New Roman" w:eastAsia="Times New Roman" w:hAnsi="Times New Roman"/>
          <w:sz w:val="28"/>
          <w:szCs w:val="28"/>
        </w:rPr>
        <w:t>подтверждающие качество товара: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-Товарная накладная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-Товарно-транспортная накладная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-Счет-фактура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-Реестр документов по качеству и других документов, удостоверяющих количество или качество поступивших товаров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-Протокол согласования цен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Приёмочный контроль заключается в проверке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ЛП путем оценки: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а) внешнего вида,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2FB">
        <w:rPr>
          <w:rFonts w:ascii="Times New Roman" w:eastAsia="Times New Roman" w:hAnsi="Times New Roman"/>
          <w:b/>
          <w:sz w:val="28"/>
          <w:szCs w:val="28"/>
        </w:rPr>
        <w:t>цвета,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2FB">
        <w:rPr>
          <w:rFonts w:ascii="Times New Roman" w:eastAsia="Times New Roman" w:hAnsi="Times New Roman"/>
          <w:b/>
          <w:sz w:val="28"/>
          <w:szCs w:val="28"/>
        </w:rPr>
        <w:t>запаха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б)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2FB">
        <w:rPr>
          <w:rFonts w:ascii="Times New Roman" w:eastAsia="Times New Roman" w:hAnsi="Times New Roman"/>
          <w:b/>
          <w:sz w:val="28"/>
          <w:szCs w:val="28"/>
        </w:rPr>
        <w:t>целостности упаковки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в) </w:t>
      </w:r>
      <w:r w:rsidRPr="008602FB">
        <w:rPr>
          <w:rFonts w:ascii="Times New Roman" w:eastAsia="Times New Roman" w:hAnsi="Times New Roman"/>
          <w:b/>
          <w:sz w:val="28"/>
          <w:szCs w:val="28"/>
        </w:rPr>
        <w:t xml:space="preserve">соответствия маркировки </w:t>
      </w:r>
      <w:r>
        <w:rPr>
          <w:rFonts w:ascii="Times New Roman" w:eastAsia="Times New Roman" w:hAnsi="Times New Roman"/>
          <w:b/>
          <w:sz w:val="28"/>
          <w:szCs w:val="28"/>
        </w:rPr>
        <w:t>ЛП</w:t>
      </w:r>
      <w:r w:rsidRPr="008602FB">
        <w:rPr>
          <w:rFonts w:ascii="Times New Roman" w:eastAsia="Times New Roman" w:hAnsi="Times New Roman"/>
          <w:b/>
          <w:sz w:val="28"/>
          <w:szCs w:val="28"/>
        </w:rPr>
        <w:t xml:space="preserve"> требованиям, установленным законодательством об обращении </w:t>
      </w:r>
      <w:r>
        <w:rPr>
          <w:rFonts w:ascii="Times New Roman" w:eastAsia="Times New Roman" w:hAnsi="Times New Roman"/>
          <w:b/>
          <w:sz w:val="28"/>
          <w:szCs w:val="28"/>
        </w:rPr>
        <w:t>ЛС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02FB">
        <w:rPr>
          <w:rFonts w:ascii="Times New Roman" w:eastAsia="Times New Roman" w:hAnsi="Times New Roman"/>
          <w:b/>
          <w:sz w:val="28"/>
          <w:szCs w:val="28"/>
        </w:rPr>
        <w:t>г)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2FB">
        <w:rPr>
          <w:rFonts w:ascii="Times New Roman" w:eastAsia="Times New Roman" w:hAnsi="Times New Roman"/>
          <w:b/>
          <w:sz w:val="28"/>
          <w:szCs w:val="28"/>
        </w:rPr>
        <w:t>правильности оформления сопроводительных документов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602FB">
        <w:rPr>
          <w:rFonts w:ascii="Times New Roman" w:eastAsia="Times New Roman" w:hAnsi="Times New Roman"/>
          <w:b/>
          <w:sz w:val="28"/>
          <w:szCs w:val="28"/>
        </w:rPr>
        <w:t>д</w:t>
      </w:r>
      <w:proofErr w:type="spellEnd"/>
      <w:r w:rsidRPr="008602FB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2FB">
        <w:rPr>
          <w:rFonts w:ascii="Times New Roman" w:eastAsia="Times New Roman" w:hAnsi="Times New Roman"/>
          <w:b/>
          <w:sz w:val="28"/>
          <w:szCs w:val="28"/>
        </w:rPr>
        <w:t xml:space="preserve">наличия реестра деклараций, подтверждающих качество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ЛС </w:t>
      </w:r>
      <w:r w:rsidRPr="008602FB">
        <w:rPr>
          <w:rFonts w:ascii="Times New Roman" w:eastAsia="Times New Roman" w:hAnsi="Times New Roman"/>
          <w:b/>
          <w:sz w:val="28"/>
          <w:szCs w:val="28"/>
        </w:rPr>
        <w:t>в соответствии с действующими нормативными документами</w:t>
      </w:r>
    </w:p>
    <w:p w:rsidR="00AE3809" w:rsidRPr="008602FB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Pr="00C50508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B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Товары до подачи в торговую зону должны пройти предпродажную подготовку,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того</w:t>
      </w:r>
      <w:r w:rsidRPr="00287CF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проверить качество товара.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A001BF">
        <w:rPr>
          <w:rFonts w:ascii="Times New Roman" w:hAnsi="Times New Roman"/>
          <w:sz w:val="28"/>
          <w:szCs w:val="28"/>
        </w:rPr>
        <w:t xml:space="preserve">случае несоответствия товаров аптечного ассортимента условиям договора, данным сопроводительных документов </w:t>
      </w:r>
      <w:r>
        <w:rPr>
          <w:rFonts w:ascii="Times New Roman" w:hAnsi="Times New Roman"/>
          <w:sz w:val="28"/>
          <w:szCs w:val="28"/>
        </w:rPr>
        <w:t xml:space="preserve">материально-ответственное лицо оставляет претензию на сайте таких поставщиков, как (например Протек, СИА, Катрен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на которую они оперативно реагируют. При возникновении подобной ситуации с другими поставщиками – составляется акт в одностороннем порядке.</w:t>
      </w:r>
      <w:r w:rsidRPr="00287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же товар соответствует </w:t>
      </w:r>
      <w:r w:rsidRPr="00C50508">
        <w:rPr>
          <w:rFonts w:ascii="Times New Roman" w:hAnsi="Times New Roman"/>
          <w:color w:val="000000" w:themeColor="text1"/>
          <w:sz w:val="28"/>
          <w:szCs w:val="28"/>
        </w:rPr>
        <w:t>всем показателям, то на него наклеивают ценники и размещают по местам хранения.</w:t>
      </w: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E3809" w:rsidRPr="00287CFC" w:rsidRDefault="00AE3809" w:rsidP="00AE3809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402BCC">
        <w:rPr>
          <w:color w:val="000000" w:themeColor="text1"/>
          <w:sz w:val="28"/>
          <w:szCs w:val="28"/>
        </w:rPr>
        <w:t>Продукты лечебного, детского и диетического питания</w:t>
      </w:r>
      <w:r w:rsidRPr="00287C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БАДЫ, </w:t>
      </w:r>
      <w:r w:rsidRPr="00402BCC">
        <w:rPr>
          <w:color w:val="000000" w:themeColor="text1"/>
          <w:sz w:val="28"/>
          <w:szCs w:val="28"/>
        </w:rPr>
        <w:t xml:space="preserve"> являются пищевыми продуктами, которые до подачи в торговую зону должны быть освобождены от тары, оберточных и </w:t>
      </w:r>
      <w:proofErr w:type="spellStart"/>
      <w:r w:rsidRPr="00402BCC">
        <w:rPr>
          <w:color w:val="000000" w:themeColor="text1"/>
          <w:sz w:val="28"/>
          <w:szCs w:val="28"/>
        </w:rPr>
        <w:t>увязочных</w:t>
      </w:r>
      <w:proofErr w:type="spellEnd"/>
      <w:r w:rsidRPr="00402BCC">
        <w:rPr>
          <w:color w:val="000000" w:themeColor="text1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по внешним признакам, проверить наличие необходимой документации и информации, осуществить отбраковку и сортировку.</w:t>
      </w:r>
      <w:r>
        <w:rPr>
          <w:color w:val="000000" w:themeColor="text1"/>
          <w:sz w:val="28"/>
          <w:szCs w:val="28"/>
        </w:rPr>
        <w:t xml:space="preserve"> Это подтверждается свидетельством о государственной регистрации и декларацией о соответствии качества.</w:t>
      </w:r>
      <w:r w:rsidRPr="00287CFC">
        <w:rPr>
          <w:color w:val="000000"/>
          <w:sz w:val="27"/>
          <w:szCs w:val="27"/>
        </w:rPr>
        <w:t xml:space="preserve"> </w:t>
      </w:r>
      <w:r w:rsidRPr="00287CFC">
        <w:rPr>
          <w:color w:val="000000"/>
          <w:sz w:val="28"/>
          <w:szCs w:val="28"/>
        </w:rPr>
        <w:t>При нарушении целостности упаков</w:t>
      </w:r>
      <w:r>
        <w:rPr>
          <w:color w:val="000000"/>
          <w:sz w:val="28"/>
          <w:szCs w:val="28"/>
        </w:rPr>
        <w:t xml:space="preserve">ки или отсутствия документов продукты </w:t>
      </w:r>
      <w:r w:rsidRPr="00287CFC">
        <w:rPr>
          <w:color w:val="000000"/>
          <w:sz w:val="28"/>
          <w:szCs w:val="28"/>
        </w:rPr>
        <w:t xml:space="preserve"> возвращаются поставщику.</w:t>
      </w:r>
    </w:p>
    <w:p w:rsidR="00AE3809" w:rsidRPr="00402BCC" w:rsidRDefault="00AE3809" w:rsidP="00AE3809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402BCC">
        <w:rPr>
          <w:color w:val="000000" w:themeColor="text1"/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AE3809" w:rsidRDefault="00AE3809" w:rsidP="00AE3809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402BCC">
        <w:rPr>
          <w:color w:val="000000" w:themeColor="text1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продукции».</w:t>
      </w:r>
    </w:p>
    <w:p w:rsidR="001E4526" w:rsidRPr="001E4526" w:rsidRDefault="001E4526" w:rsidP="00AE3809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i/>
          <w:color w:val="FF0000"/>
          <w:sz w:val="36"/>
          <w:szCs w:val="28"/>
        </w:rPr>
      </w:pPr>
      <w:r w:rsidRPr="001E4526">
        <w:rPr>
          <w:b/>
          <w:i/>
          <w:color w:val="FF0000"/>
          <w:sz w:val="36"/>
          <w:szCs w:val="28"/>
        </w:rPr>
        <w:t>5</w:t>
      </w:r>
    </w:p>
    <w:p w:rsidR="00AE3809" w:rsidRPr="00402BCC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Pr="00EE14F5" w:rsidRDefault="00AE3809" w:rsidP="00AE38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Pr="002D71BC" w:rsidRDefault="00AE3809" w:rsidP="00AE380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E3809" w:rsidRDefault="00AE3809" w:rsidP="00AE3809"/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AE3809" w:rsidRDefault="00AE3809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cyan"/>
        </w:rPr>
      </w:pPr>
    </w:p>
    <w:p w:rsidR="001132DE" w:rsidRPr="001C2115" w:rsidRDefault="003E6552" w:rsidP="001C21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C2115">
        <w:rPr>
          <w:rFonts w:ascii="Times New Roman" w:eastAsia="Times New Roman" w:hAnsi="Times New Roman"/>
          <w:b/>
          <w:i/>
          <w:sz w:val="28"/>
          <w:szCs w:val="28"/>
          <w:highlight w:val="cyan"/>
        </w:rPr>
        <w:t>Тема № 2</w:t>
      </w:r>
      <w:r w:rsidR="00A22158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1C2115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</w:p>
    <w:p w:rsidR="001132DE" w:rsidRDefault="001132DE" w:rsidP="001132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97041">
        <w:rPr>
          <w:rFonts w:ascii="Times New Roman" w:eastAsia="Times New Roman" w:hAnsi="Times New Roman"/>
          <w:b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1132DE" w:rsidRPr="00295909" w:rsidRDefault="001132DE" w:rsidP="001132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</w:p>
    <w:p w:rsidR="001132DE" w:rsidRPr="00295909" w:rsidRDefault="001132DE" w:rsidP="001132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2"/>
          <w:szCs w:val="28"/>
          <w:u w:val="single"/>
        </w:rPr>
      </w:pPr>
      <w:r w:rsidRPr="00295909">
        <w:rPr>
          <w:rFonts w:ascii="Times New Roman" w:eastAsia="Times New Roman" w:hAnsi="Times New Roman"/>
          <w:b/>
          <w:i/>
          <w:color w:val="000000"/>
          <w:sz w:val="32"/>
          <w:szCs w:val="28"/>
          <w:u w:val="single"/>
        </w:rPr>
        <w:t>Анализ ассортимента лекарственных групп</w:t>
      </w:r>
      <w:r w:rsidR="007922AA">
        <w:rPr>
          <w:rFonts w:ascii="Times New Roman" w:eastAsia="Times New Roman" w:hAnsi="Times New Roman"/>
          <w:b/>
          <w:i/>
          <w:color w:val="000000"/>
          <w:sz w:val="32"/>
          <w:szCs w:val="28"/>
          <w:u w:val="single"/>
        </w:rPr>
        <w:t>.</w:t>
      </w:r>
    </w:p>
    <w:tbl>
      <w:tblPr>
        <w:tblpPr w:leftFromText="180" w:rightFromText="180" w:vertAnchor="text" w:horzAnchor="margin" w:tblpXSpec="center" w:tblpY="248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2943"/>
        <w:gridCol w:w="3004"/>
        <w:gridCol w:w="1422"/>
      </w:tblGrid>
      <w:tr w:rsidR="001132DE" w:rsidRPr="001042ED" w:rsidTr="001C2115">
        <w:tc>
          <w:tcPr>
            <w:tcW w:w="3329" w:type="dxa"/>
          </w:tcPr>
          <w:p w:rsidR="001132DE" w:rsidRPr="001042ED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Фармако-терапевтическая</w:t>
            </w:r>
            <w:proofErr w:type="spellEnd"/>
            <w:proofErr w:type="gramEnd"/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931" w:type="dxa"/>
          </w:tcPr>
          <w:p w:rsidR="001132DE" w:rsidRPr="001042ED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2992" w:type="dxa"/>
          </w:tcPr>
          <w:p w:rsidR="001132DE" w:rsidRPr="001042ED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МНН</w:t>
            </w:r>
          </w:p>
        </w:tc>
        <w:tc>
          <w:tcPr>
            <w:tcW w:w="1422" w:type="dxa"/>
          </w:tcPr>
          <w:p w:rsidR="001132DE" w:rsidRPr="001042ED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  <w:p w:rsidR="001132DE" w:rsidRPr="001042ED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АТХ</w:t>
            </w:r>
          </w:p>
        </w:tc>
      </w:tr>
      <w:tr w:rsidR="001132DE" w:rsidRPr="001042ED" w:rsidTr="001C2115">
        <w:tc>
          <w:tcPr>
            <w:tcW w:w="3329" w:type="dxa"/>
          </w:tcPr>
          <w:p w:rsidR="001132DE" w:rsidRPr="003E6552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E6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Диуретическое средство</w:t>
            </w:r>
          </w:p>
        </w:tc>
        <w:tc>
          <w:tcPr>
            <w:tcW w:w="2931" w:type="dxa"/>
          </w:tcPr>
          <w:p w:rsidR="003E6552" w:rsidRPr="003E6552" w:rsidRDefault="003E6552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Торасемид</w:t>
            </w:r>
            <w:proofErr w:type="spellEnd"/>
          </w:p>
          <w:p w:rsidR="003E6552" w:rsidRPr="003E6552" w:rsidRDefault="003E6552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  <w:p w:rsidR="001132DE" w:rsidRPr="001132DE" w:rsidRDefault="001132DE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Диакарб</w:t>
            </w:r>
            <w:proofErr w:type="spellEnd"/>
          </w:p>
        </w:tc>
        <w:tc>
          <w:tcPr>
            <w:tcW w:w="2992" w:type="dxa"/>
          </w:tcPr>
          <w:p w:rsidR="003E6552" w:rsidRPr="003E6552" w:rsidRDefault="003E6552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Торасемид</w:t>
            </w:r>
            <w:proofErr w:type="spellEnd"/>
          </w:p>
          <w:p w:rsidR="003E6552" w:rsidRPr="003E6552" w:rsidRDefault="003E6552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  <w:p w:rsidR="001132DE" w:rsidRPr="001132DE" w:rsidRDefault="001132DE" w:rsidP="00D50BB3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</w:tc>
        <w:tc>
          <w:tcPr>
            <w:tcW w:w="1422" w:type="dxa"/>
          </w:tcPr>
          <w:p w:rsidR="003E6552" w:rsidRPr="003E6552" w:rsidRDefault="001132DE" w:rsidP="003E655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6552">
              <w:rPr>
                <w:color w:val="000000"/>
                <w:sz w:val="27"/>
                <w:szCs w:val="27"/>
              </w:rPr>
              <w:t xml:space="preserve">  </w:t>
            </w:r>
            <w:r w:rsidR="003E6552"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С03СА04</w:t>
            </w:r>
          </w:p>
          <w:p w:rsidR="003E6552" w:rsidRPr="003E6552" w:rsidRDefault="003E6552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552">
              <w:rPr>
                <w:rFonts w:ascii="Times New Roman" w:hAnsi="Times New Roman"/>
                <w:color w:val="000000"/>
                <w:sz w:val="28"/>
                <w:szCs w:val="28"/>
              </w:rPr>
              <w:t>С03СА01</w:t>
            </w:r>
          </w:p>
          <w:p w:rsidR="001132DE" w:rsidRPr="001132DE" w:rsidRDefault="00AA5195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1132DE"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S01EC01</w:t>
              </w:r>
            </w:hyperlink>
          </w:p>
        </w:tc>
      </w:tr>
      <w:tr w:rsidR="001132DE" w:rsidRPr="001042ED" w:rsidTr="001C2115">
        <w:tc>
          <w:tcPr>
            <w:tcW w:w="3329" w:type="dxa"/>
          </w:tcPr>
          <w:p w:rsidR="001132DE" w:rsidRPr="00D50BB3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50B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Спазмолитическое средство</w:t>
            </w:r>
          </w:p>
        </w:tc>
        <w:tc>
          <w:tcPr>
            <w:tcW w:w="2931" w:type="dxa"/>
          </w:tcPr>
          <w:p w:rsidR="001132DE" w:rsidRDefault="001132DE" w:rsidP="00D614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Но-шпа</w:t>
            </w:r>
          </w:p>
          <w:p w:rsidR="00D61422" w:rsidRPr="001132DE" w:rsidRDefault="00D61422" w:rsidP="00D614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Папаверин</w:t>
            </w:r>
          </w:p>
          <w:p w:rsidR="001132DE" w:rsidRPr="001132DE" w:rsidRDefault="001132DE" w:rsidP="00D6142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1132DE" w:rsidRDefault="001132DE" w:rsidP="00D6142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Дротаверин</w:t>
            </w:r>
            <w:proofErr w:type="spellEnd"/>
          </w:p>
          <w:p w:rsidR="00D61422" w:rsidRPr="001132DE" w:rsidRDefault="00D61422" w:rsidP="00D614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Папаверина гидрохлорид</w:t>
            </w:r>
          </w:p>
          <w:p w:rsidR="00D61422" w:rsidRPr="001132DE" w:rsidRDefault="00D61422" w:rsidP="00D61422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1132DE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A03AD02</w:t>
            </w:r>
          </w:p>
          <w:p w:rsidR="00D61422" w:rsidRPr="00D61422" w:rsidRDefault="00D61422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А03А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D01</w:t>
            </w:r>
          </w:p>
        </w:tc>
      </w:tr>
      <w:tr w:rsidR="001132DE" w:rsidRPr="001042ED" w:rsidTr="001C2115">
        <w:tc>
          <w:tcPr>
            <w:tcW w:w="3329" w:type="dxa"/>
          </w:tcPr>
          <w:p w:rsidR="001132DE" w:rsidRPr="00D50BB3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50B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НПВС</w:t>
            </w:r>
          </w:p>
        </w:tc>
        <w:tc>
          <w:tcPr>
            <w:tcW w:w="2931" w:type="dxa"/>
          </w:tcPr>
          <w:p w:rsidR="00D50BB3" w:rsidRPr="00D50BB3" w:rsidRDefault="00D50BB3" w:rsidP="00D6142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B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Пенталгин экстра-гель</w:t>
            </w:r>
          </w:p>
          <w:p w:rsidR="001132DE" w:rsidRPr="001132DE" w:rsidRDefault="001132DE" w:rsidP="00D6142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Нурофен</w:t>
            </w:r>
            <w:proofErr w:type="spellEnd"/>
          </w:p>
        </w:tc>
        <w:tc>
          <w:tcPr>
            <w:tcW w:w="2992" w:type="dxa"/>
          </w:tcPr>
          <w:p w:rsidR="00D50BB3" w:rsidRPr="00D50BB3" w:rsidRDefault="00D50BB3" w:rsidP="00D6142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0BB3">
              <w:rPr>
                <w:rFonts w:ascii="Times New Roman" w:hAnsi="Times New Roman"/>
                <w:sz w:val="28"/>
                <w:szCs w:val="28"/>
              </w:rPr>
              <w:t>Кетопрофен</w:t>
            </w:r>
            <w:proofErr w:type="spellEnd"/>
          </w:p>
          <w:p w:rsidR="00D50BB3" w:rsidRDefault="00D50BB3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DE" w:rsidRPr="001132DE" w:rsidRDefault="001132DE" w:rsidP="00D6142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1422" w:type="dxa"/>
          </w:tcPr>
          <w:p w:rsidR="00D50BB3" w:rsidRDefault="001132DE" w:rsidP="009E40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32D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="00D50BB3" w:rsidRPr="008D4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</w:t>
            </w:r>
            <w:r w:rsidR="00D50BB3" w:rsidRPr="008D4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D50BB3" w:rsidRPr="008D4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</w:t>
            </w:r>
            <w:r w:rsidR="00D50BB3" w:rsidRPr="008D4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  <w:p w:rsidR="00D50BB3" w:rsidRDefault="00D50BB3" w:rsidP="009E40D1">
            <w:pPr>
              <w:suppressAutoHyphens/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32DE" w:rsidRPr="001132DE" w:rsidRDefault="00AA5195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1132DE"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M01AE01</w:t>
              </w:r>
            </w:hyperlink>
          </w:p>
        </w:tc>
      </w:tr>
      <w:tr w:rsidR="001132DE" w:rsidRPr="001042ED" w:rsidTr="001C2115">
        <w:tc>
          <w:tcPr>
            <w:tcW w:w="3329" w:type="dxa"/>
          </w:tcPr>
          <w:p w:rsidR="001132DE" w:rsidRPr="00D61422" w:rsidRDefault="001132DE" w:rsidP="009E40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6142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Местноанестезирующее</w:t>
            </w:r>
            <w:proofErr w:type="spellEnd"/>
            <w:r w:rsidRPr="00D6142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средство</w:t>
            </w:r>
          </w:p>
        </w:tc>
        <w:tc>
          <w:tcPr>
            <w:tcW w:w="2931" w:type="dxa"/>
          </w:tcPr>
          <w:p w:rsidR="001132DE" w:rsidRDefault="001132DE" w:rsidP="00D61422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Новокаин</w:t>
            </w:r>
          </w:p>
          <w:p w:rsidR="00D61422" w:rsidRPr="001132DE" w:rsidRDefault="006B70FD" w:rsidP="00D61422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Дикаин</w:t>
            </w:r>
          </w:p>
        </w:tc>
        <w:tc>
          <w:tcPr>
            <w:tcW w:w="2992" w:type="dxa"/>
          </w:tcPr>
          <w:p w:rsidR="001132DE" w:rsidRDefault="00AA5195" w:rsidP="00D61422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1132DE"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Прокаин</w:t>
              </w:r>
              <w:proofErr w:type="spellEnd"/>
            </w:hyperlink>
          </w:p>
          <w:p w:rsidR="006B70FD" w:rsidRPr="001132DE" w:rsidRDefault="006B70FD" w:rsidP="00D61422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Тетракаин</w:t>
            </w:r>
            <w:proofErr w:type="spellEnd"/>
          </w:p>
        </w:tc>
        <w:tc>
          <w:tcPr>
            <w:tcW w:w="1422" w:type="dxa"/>
          </w:tcPr>
          <w:p w:rsidR="006B70FD" w:rsidRDefault="001132DE" w:rsidP="006B70FD">
            <w:pPr>
              <w:suppressAutoHyphens/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hyperlink r:id="rId8" w:history="1">
              <w:r w:rsidRPr="006B70FD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 </w:t>
              </w:r>
            </w:hyperlink>
          </w:p>
          <w:p w:rsidR="001132DE" w:rsidRDefault="006B70FD" w:rsidP="006B70FD">
            <w:pPr>
              <w:suppressAutoHyphens/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block-content"/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N01BA02</w:t>
            </w:r>
          </w:p>
          <w:p w:rsidR="006B70FD" w:rsidRPr="006B70FD" w:rsidRDefault="006B70FD" w:rsidP="006B7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Style w:val="block-content"/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S01HA03</w:t>
            </w:r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132DE" w:rsidRPr="006B70FD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B70F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Анксиолитическое</w:t>
            </w:r>
            <w:proofErr w:type="spellEnd"/>
            <w:r w:rsidRPr="006B70F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средство</w:t>
            </w:r>
          </w:p>
        </w:tc>
        <w:tc>
          <w:tcPr>
            <w:tcW w:w="2931" w:type="dxa"/>
          </w:tcPr>
          <w:p w:rsidR="001132DE" w:rsidRPr="001132DE" w:rsidRDefault="001132DE" w:rsidP="006B70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Атаракс</w:t>
            </w:r>
            <w:proofErr w:type="spellEnd"/>
          </w:p>
        </w:tc>
        <w:tc>
          <w:tcPr>
            <w:tcW w:w="2992" w:type="dxa"/>
          </w:tcPr>
          <w:p w:rsidR="001132DE" w:rsidRPr="001132DE" w:rsidRDefault="001132DE" w:rsidP="006B70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spellStart"/>
            <w:r w:rsidR="00AA5195" w:rsidRPr="001132D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1132DE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"https://www.vidal.ru/drugs/molecule/516" </w:instrText>
            </w:r>
            <w:r w:rsidR="00AA5195" w:rsidRPr="001132D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1132DE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</w:rPr>
              <w:t>Гидроксизин</w:t>
            </w:r>
            <w:proofErr w:type="spellEnd"/>
            <w:r w:rsidR="00AA5195" w:rsidRPr="001132D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1132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</w:tcPr>
          <w:p w:rsidR="001132DE" w:rsidRPr="001132DE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hyperlink r:id="rId9" w:history="1">
              <w:r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N05BB01</w:t>
              </w:r>
            </w:hyperlink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132DE" w:rsidRPr="003E396B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E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Энтеросорбирующее</w:t>
            </w:r>
            <w:proofErr w:type="spellEnd"/>
            <w:r w:rsidRPr="003E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средство</w:t>
            </w:r>
          </w:p>
        </w:tc>
        <w:tc>
          <w:tcPr>
            <w:tcW w:w="2931" w:type="dxa"/>
          </w:tcPr>
          <w:p w:rsidR="001132DE" w:rsidRDefault="001132DE" w:rsidP="006B70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Полисорб</w:t>
            </w:r>
            <w:proofErr w:type="spellEnd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МП</w:t>
            </w:r>
          </w:p>
          <w:p w:rsidR="006B70FD" w:rsidRDefault="006B70FD" w:rsidP="006B70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0FD" w:rsidRDefault="006B70FD" w:rsidP="006B70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0FD" w:rsidRDefault="006B70FD" w:rsidP="006B70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70FD" w:rsidRDefault="006B70FD" w:rsidP="006B70FD">
            <w:pPr>
              <w:numPr>
                <w:ilvl w:val="0"/>
                <w:numId w:val="13"/>
              </w:numPr>
              <w:spacing w:after="347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B70F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Лакто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  <w:p w:rsidR="006B70FD" w:rsidRPr="006B70FD" w:rsidRDefault="006B70FD" w:rsidP="006B70FD">
            <w:pPr>
              <w:spacing w:after="347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6B70F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фильтрум</w:t>
            </w:r>
            <w:proofErr w:type="spellEnd"/>
          </w:p>
          <w:p w:rsidR="006B70FD" w:rsidRPr="001132DE" w:rsidRDefault="006B70FD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1132DE" w:rsidRDefault="001132DE" w:rsidP="006B70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Кремния диоксид коллоидный</w:t>
            </w:r>
          </w:p>
          <w:p w:rsidR="006B70FD" w:rsidRDefault="006B70FD" w:rsidP="006B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70FD" w:rsidRPr="003E396B" w:rsidRDefault="003E396B" w:rsidP="003E39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</w:pPr>
            <w:r w:rsidRPr="003E396B"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  <w:t>Лигнин гидролизный</w:t>
            </w:r>
          </w:p>
          <w:p w:rsidR="003E396B" w:rsidRPr="001132DE" w:rsidRDefault="003E396B" w:rsidP="006B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3"/>
              </w:rPr>
              <w:t xml:space="preserve">          </w:t>
            </w:r>
            <w:proofErr w:type="spellStart"/>
            <w:r w:rsidRPr="003E396B">
              <w:rPr>
                <w:rFonts w:ascii="Times New Roman" w:hAnsi="Times New Roman"/>
                <w:color w:val="333333"/>
                <w:sz w:val="28"/>
                <w:szCs w:val="23"/>
              </w:rPr>
              <w:t>лактулоза</w:t>
            </w:r>
            <w:proofErr w:type="spellEnd"/>
          </w:p>
        </w:tc>
        <w:tc>
          <w:tcPr>
            <w:tcW w:w="1422" w:type="dxa"/>
          </w:tcPr>
          <w:p w:rsidR="001132DE" w:rsidRDefault="001132DE" w:rsidP="009E40D1">
            <w:pPr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0" w:history="1">
              <w:r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A07BC</w:t>
              </w:r>
            </w:hyperlink>
            <w:r w:rsidR="003E396B"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3E396B" w:rsidRDefault="003E396B" w:rsidP="009E40D1">
            <w:pPr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396B" w:rsidRDefault="003E396B" w:rsidP="009E40D1">
            <w:pPr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396B" w:rsidRDefault="003E396B" w:rsidP="009E40D1">
            <w:pPr>
              <w:spacing w:after="0" w:line="240" w:lineRule="auto"/>
              <w:jc w:val="both"/>
              <w:rPr>
                <w:rStyle w:val="block-content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396B" w:rsidRPr="001132DE" w:rsidRDefault="00AA5195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3E396B"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A07BC</w:t>
              </w:r>
            </w:hyperlink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C2115" w:rsidRPr="001C2115" w:rsidRDefault="001C2115" w:rsidP="001C2115">
            <w:pPr>
              <w:pStyle w:val="a3"/>
              <w:tabs>
                <w:tab w:val="left" w:pos="7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2115">
              <w:rPr>
                <w:rFonts w:ascii="Times New Roman" w:hAnsi="Times New Roman"/>
                <w:b/>
                <w:i/>
                <w:sz w:val="28"/>
                <w:szCs w:val="28"/>
              </w:rPr>
              <w:t>Снотворные средства</w:t>
            </w:r>
          </w:p>
          <w:p w:rsidR="001132DE" w:rsidRPr="003E396B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1C2115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Донормил</w:t>
            </w:r>
            <w:proofErr w:type="spellEnd"/>
          </w:p>
          <w:p w:rsidR="001132DE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Имован</w:t>
            </w:r>
            <w:proofErr w:type="spellEnd"/>
          </w:p>
          <w:p w:rsidR="001C2115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2992" w:type="dxa"/>
          </w:tcPr>
          <w:p w:rsidR="001C2115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Доксиламин</w:t>
            </w:r>
            <w:proofErr w:type="spellEnd"/>
          </w:p>
          <w:p w:rsidR="001132DE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Зопиклон</w:t>
            </w:r>
            <w:proofErr w:type="spellEnd"/>
          </w:p>
          <w:p w:rsidR="001C2115" w:rsidRPr="001C2115" w:rsidRDefault="001C2115" w:rsidP="003E3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115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1422" w:type="dxa"/>
          </w:tcPr>
          <w:p w:rsidR="001C2115" w:rsidRDefault="001C2115" w:rsidP="009E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R06AA09</w:t>
            </w:r>
          </w:p>
          <w:p w:rsidR="001132DE" w:rsidRDefault="001C2115" w:rsidP="009E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N05CF01</w:t>
            </w:r>
          </w:p>
          <w:p w:rsidR="001C2115" w:rsidRPr="001C2115" w:rsidRDefault="001C2115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N05CD02</w:t>
            </w:r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132DE" w:rsidRPr="003E396B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E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Антиаритмическое средство</w:t>
            </w:r>
          </w:p>
        </w:tc>
        <w:tc>
          <w:tcPr>
            <w:tcW w:w="2931" w:type="dxa"/>
          </w:tcPr>
          <w:p w:rsidR="001132DE" w:rsidRDefault="001132DE" w:rsidP="003E39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Кардиодарон</w:t>
            </w:r>
            <w:proofErr w:type="spellEnd"/>
          </w:p>
          <w:p w:rsidR="003E396B" w:rsidRDefault="003E396B" w:rsidP="003E39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Вискен</w:t>
            </w:r>
            <w:proofErr w:type="spellEnd"/>
          </w:p>
          <w:p w:rsidR="003E396B" w:rsidRPr="001132DE" w:rsidRDefault="003E396B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1132DE" w:rsidRDefault="001132DE" w:rsidP="003E39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Амиодарон</w:t>
            </w:r>
            <w:proofErr w:type="spellEnd"/>
          </w:p>
          <w:p w:rsidR="003E396B" w:rsidRPr="001132DE" w:rsidRDefault="003E396B" w:rsidP="003E39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Пиндолол</w:t>
            </w:r>
            <w:proofErr w:type="spellEnd"/>
          </w:p>
        </w:tc>
        <w:tc>
          <w:tcPr>
            <w:tcW w:w="1422" w:type="dxa"/>
          </w:tcPr>
          <w:p w:rsidR="001132DE" w:rsidRDefault="001132DE" w:rsidP="009E40D1">
            <w:pPr>
              <w:spacing w:after="0" w:line="240" w:lineRule="auto"/>
              <w:jc w:val="both"/>
              <w:rPr>
                <w:rStyle w:val="block-content"/>
                <w:rFonts w:ascii="Times New Roman" w:hAnsi="Times New Roman"/>
                <w:color w:val="000000"/>
                <w:sz w:val="28"/>
                <w:szCs w:val="28"/>
              </w:rPr>
            </w:pPr>
            <w:r w:rsidRPr="001132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2" w:history="1">
              <w:r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C01BD01</w:t>
              </w:r>
            </w:hyperlink>
          </w:p>
          <w:p w:rsidR="003E396B" w:rsidRPr="003E396B" w:rsidRDefault="003E396B" w:rsidP="003E396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42424"/>
                <w:sz w:val="28"/>
                <w:szCs w:val="28"/>
              </w:rPr>
            </w:pPr>
            <w:r w:rsidRPr="003E396B">
              <w:rPr>
                <w:b w:val="0"/>
                <w:color w:val="242424"/>
                <w:sz w:val="28"/>
                <w:szCs w:val="28"/>
              </w:rPr>
              <w:t>C07AA03</w:t>
            </w:r>
          </w:p>
          <w:p w:rsidR="003E396B" w:rsidRPr="001132DE" w:rsidRDefault="003E396B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132DE" w:rsidRPr="003E396B" w:rsidRDefault="00AA5195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1132DE" w:rsidRPr="003E396B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</w:rPr>
                <w:t>Адаптогенное</w:t>
              </w:r>
              <w:proofErr w:type="spellEnd"/>
              <w:r w:rsidR="001132DE" w:rsidRPr="003E396B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</w:rPr>
                <w:t xml:space="preserve"> средство</w:t>
              </w:r>
            </w:hyperlink>
          </w:p>
        </w:tc>
        <w:tc>
          <w:tcPr>
            <w:tcW w:w="2931" w:type="dxa"/>
          </w:tcPr>
          <w:p w:rsidR="00694102" w:rsidRDefault="00694102" w:rsidP="006941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Меладапт</w:t>
            </w:r>
            <w:proofErr w:type="spellEnd"/>
          </w:p>
          <w:p w:rsidR="001132DE" w:rsidRPr="001132DE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1132DE" w:rsidRPr="001132DE" w:rsidRDefault="001132DE" w:rsidP="006941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Мелатонин</w:t>
            </w:r>
          </w:p>
        </w:tc>
        <w:tc>
          <w:tcPr>
            <w:tcW w:w="1422" w:type="dxa"/>
          </w:tcPr>
          <w:p w:rsidR="001132DE" w:rsidRPr="001132DE" w:rsidRDefault="00AA5195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1132DE"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N05CH01</w:t>
              </w:r>
            </w:hyperlink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694102" w:rsidRPr="00694102" w:rsidRDefault="00694102" w:rsidP="00694102">
            <w:pPr>
              <w:pStyle w:val="a3"/>
              <w:tabs>
                <w:tab w:val="left" w:pos="7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4102">
              <w:rPr>
                <w:rFonts w:ascii="Times New Roman" w:hAnsi="Times New Roman"/>
                <w:b/>
                <w:i/>
                <w:sz w:val="28"/>
                <w:szCs w:val="28"/>
              </w:rPr>
              <w:t>Слабительные средства</w:t>
            </w:r>
          </w:p>
          <w:p w:rsidR="001132DE" w:rsidRPr="00694102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1132DE" w:rsidRPr="00694102" w:rsidRDefault="00694102" w:rsidP="00694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4102">
              <w:rPr>
                <w:rFonts w:ascii="Times New Roman" w:hAnsi="Times New Roman"/>
                <w:sz w:val="28"/>
                <w:szCs w:val="28"/>
              </w:rPr>
              <w:lastRenderedPageBreak/>
              <w:t>Слабилен</w:t>
            </w:r>
            <w:proofErr w:type="spellEnd"/>
          </w:p>
          <w:p w:rsidR="00694102" w:rsidRPr="00694102" w:rsidRDefault="00694102" w:rsidP="0069410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4102" w:rsidRPr="00694102" w:rsidRDefault="00694102" w:rsidP="00694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102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</w:tc>
        <w:tc>
          <w:tcPr>
            <w:tcW w:w="2992" w:type="dxa"/>
          </w:tcPr>
          <w:p w:rsidR="001132DE" w:rsidRPr="00694102" w:rsidRDefault="00694102" w:rsidP="00694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1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Натрия </w:t>
            </w:r>
            <w:proofErr w:type="spellStart"/>
            <w:r w:rsidRPr="00694102">
              <w:rPr>
                <w:rFonts w:ascii="Times New Roman" w:hAnsi="Times New Roman"/>
                <w:sz w:val="28"/>
                <w:szCs w:val="28"/>
              </w:rPr>
              <w:lastRenderedPageBreak/>
              <w:t>пикосульфат</w:t>
            </w:r>
            <w:proofErr w:type="spellEnd"/>
          </w:p>
          <w:p w:rsidR="00694102" w:rsidRPr="00694102" w:rsidRDefault="00694102" w:rsidP="00694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4102">
              <w:rPr>
                <w:rFonts w:ascii="Times New Roman" w:hAnsi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1422" w:type="dxa"/>
          </w:tcPr>
          <w:p w:rsidR="001132DE" w:rsidRDefault="00694102" w:rsidP="009E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lastRenderedPageBreak/>
              <w:t>A06AB08</w:t>
            </w:r>
          </w:p>
          <w:p w:rsidR="00694102" w:rsidRDefault="00694102" w:rsidP="009E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102" w:rsidRPr="001132DE" w:rsidRDefault="00694102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A06AX01</w:t>
            </w:r>
          </w:p>
        </w:tc>
      </w:tr>
      <w:tr w:rsidR="001132DE" w:rsidRPr="001042ED" w:rsidTr="001C2115">
        <w:trPr>
          <w:trHeight w:val="300"/>
        </w:trPr>
        <w:tc>
          <w:tcPr>
            <w:tcW w:w="3329" w:type="dxa"/>
          </w:tcPr>
          <w:p w:rsidR="001C5F41" w:rsidRDefault="001C5F41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C5F41" w:rsidRDefault="001C5F41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132DE" w:rsidRPr="00694102" w:rsidRDefault="001132DE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410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Антисептическое средство</w:t>
            </w:r>
          </w:p>
        </w:tc>
        <w:tc>
          <w:tcPr>
            <w:tcW w:w="2931" w:type="dxa"/>
          </w:tcPr>
          <w:p w:rsidR="001C5F41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5F41" w:rsidRDefault="001C5F41" w:rsidP="001C5F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DE" w:rsidRPr="001132DE" w:rsidRDefault="00694102" w:rsidP="0069410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Зелёнк</w:t>
            </w:r>
            <w:r w:rsidR="001132DE"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92" w:type="dxa"/>
          </w:tcPr>
          <w:p w:rsidR="001C5F41" w:rsidRPr="001C5F41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1C5F41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1C5F41" w:rsidRDefault="001132DE" w:rsidP="001C5F4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1C5F41">
              <w:rPr>
                <w:rFonts w:ascii="Times New Roman" w:hAnsi="Times New Roman"/>
                <w:color w:val="000000"/>
                <w:sz w:val="28"/>
                <w:szCs w:val="28"/>
              </w:rPr>
              <w:t>Бриллианто</w:t>
            </w:r>
            <w:proofErr w:type="spellEnd"/>
            <w:r w:rsidR="001C5F4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1132DE" w:rsidRPr="001C5F41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вый </w:t>
            </w:r>
          </w:p>
          <w:p w:rsidR="001C5F41" w:rsidRPr="001132DE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зеленый</w:t>
            </w:r>
          </w:p>
        </w:tc>
        <w:tc>
          <w:tcPr>
            <w:tcW w:w="1422" w:type="dxa"/>
          </w:tcPr>
          <w:p w:rsidR="001C5F41" w:rsidRDefault="001132DE" w:rsidP="009E40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2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C5F41" w:rsidRDefault="001C5F41" w:rsidP="009E40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2DE" w:rsidRPr="001132DE" w:rsidRDefault="00AA5195" w:rsidP="009E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1132DE"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D08AX </w:t>
              </w:r>
            </w:hyperlink>
          </w:p>
        </w:tc>
      </w:tr>
      <w:tr w:rsidR="001C5F41" w:rsidRPr="001132DE" w:rsidTr="001C2115">
        <w:tc>
          <w:tcPr>
            <w:tcW w:w="3329" w:type="dxa"/>
          </w:tcPr>
          <w:p w:rsidR="003E6552" w:rsidRPr="001C5F41" w:rsidRDefault="003E6552" w:rsidP="00892A7C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5F4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</w:t>
            </w:r>
            <w:hyperlink r:id="rId16" w:history="1">
              <w:r w:rsidRPr="001C5F41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</w:rPr>
                <w:t>Противоаллергическое средство - H</w:t>
              </w:r>
              <w:r w:rsidRPr="001C5F41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  <w:vertAlign w:val="subscript"/>
                </w:rPr>
                <w:t>1</w:t>
              </w:r>
              <w:r w:rsidRPr="001C5F41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</w:rPr>
                <w:t xml:space="preserve">-гистаминовых рецепторов </w:t>
              </w:r>
              <w:proofErr w:type="spellStart"/>
              <w:r w:rsidRPr="001C5F41">
                <w:rPr>
                  <w:rStyle w:val="a6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</w:rPr>
                <w:t>блокатор</w:t>
              </w:r>
              <w:proofErr w:type="spellEnd"/>
            </w:hyperlink>
          </w:p>
        </w:tc>
        <w:tc>
          <w:tcPr>
            <w:tcW w:w="2931" w:type="dxa"/>
          </w:tcPr>
          <w:p w:rsidR="00694102" w:rsidRPr="001C5F41" w:rsidRDefault="00694102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Зиртек</w:t>
            </w:r>
            <w:proofErr w:type="spellEnd"/>
          </w:p>
          <w:p w:rsidR="003E6552" w:rsidRPr="001C5F41" w:rsidRDefault="003E6552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  <w:p w:rsidR="00694102" w:rsidRPr="001C5F41" w:rsidRDefault="001C5F41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Эриус</w:t>
            </w:r>
            <w:proofErr w:type="spellEnd"/>
          </w:p>
        </w:tc>
        <w:tc>
          <w:tcPr>
            <w:tcW w:w="2992" w:type="dxa"/>
          </w:tcPr>
          <w:p w:rsidR="00694102" w:rsidRPr="001C5F41" w:rsidRDefault="00694102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Цетиризин</w:t>
            </w:r>
            <w:proofErr w:type="spellEnd"/>
          </w:p>
          <w:p w:rsidR="003E6552" w:rsidRDefault="003E6552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  <w:p w:rsidR="001C5F41" w:rsidRPr="001C5F41" w:rsidRDefault="001C5F41" w:rsidP="001C5F41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Дезлоратадин</w:t>
            </w:r>
            <w:proofErr w:type="spellEnd"/>
          </w:p>
        </w:tc>
        <w:tc>
          <w:tcPr>
            <w:tcW w:w="1422" w:type="dxa"/>
          </w:tcPr>
          <w:p w:rsidR="00694102" w:rsidRPr="001C5F41" w:rsidRDefault="001C5F41" w:rsidP="00892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19"/>
              </w:rPr>
            </w:pPr>
            <w:r w:rsidRPr="001C5F41">
              <w:rPr>
                <w:rFonts w:ascii="Times New Roman" w:hAnsi="Times New Roman"/>
                <w:color w:val="333333"/>
                <w:sz w:val="28"/>
                <w:szCs w:val="19"/>
              </w:rPr>
              <w:t>R06AE07</w:t>
            </w:r>
            <w:r w:rsidR="003E6552" w:rsidRPr="001C5F41">
              <w:rPr>
                <w:rFonts w:ascii="Times New Roman" w:hAnsi="Times New Roman"/>
                <w:color w:val="333333"/>
                <w:sz w:val="28"/>
                <w:szCs w:val="19"/>
              </w:rPr>
              <w:t> </w:t>
            </w:r>
          </w:p>
          <w:p w:rsidR="003E6552" w:rsidRDefault="00AA5195" w:rsidP="00892A7C">
            <w:pPr>
              <w:suppressAutoHyphens/>
              <w:spacing w:after="0" w:line="240" w:lineRule="auto"/>
              <w:jc w:val="both"/>
              <w:rPr>
                <w:rStyle w:val="block-content"/>
                <w:rFonts w:ascii="Times New Roman" w:hAnsi="Times New Roman"/>
                <w:color w:val="000000"/>
                <w:sz w:val="28"/>
                <w:szCs w:val="28"/>
              </w:rPr>
            </w:pPr>
            <w:hyperlink r:id="rId17" w:history="1">
              <w:r w:rsidR="003E6552"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R06AE07 </w:t>
              </w:r>
            </w:hyperlink>
          </w:p>
          <w:p w:rsidR="001C5F41" w:rsidRPr="001132DE" w:rsidRDefault="001C5F41" w:rsidP="0089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R06AX27</w:t>
            </w:r>
          </w:p>
        </w:tc>
      </w:tr>
      <w:tr w:rsidR="001C5F41" w:rsidRPr="001132DE" w:rsidTr="001C2115">
        <w:trPr>
          <w:trHeight w:val="300"/>
        </w:trPr>
        <w:tc>
          <w:tcPr>
            <w:tcW w:w="3329" w:type="dxa"/>
          </w:tcPr>
          <w:p w:rsidR="003E6552" w:rsidRPr="001C5F41" w:rsidRDefault="003E6552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C5F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Противогрибковое средство</w:t>
            </w:r>
          </w:p>
        </w:tc>
        <w:tc>
          <w:tcPr>
            <w:tcW w:w="2931" w:type="dxa"/>
          </w:tcPr>
          <w:p w:rsidR="001C5F41" w:rsidRPr="001C5F41" w:rsidRDefault="001C5F41" w:rsidP="001C5F41">
            <w:pPr>
              <w:numPr>
                <w:ilvl w:val="0"/>
                <w:numId w:val="23"/>
              </w:numPr>
              <w:spacing w:after="272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Гинофорт</w:t>
            </w:r>
            <w:proofErr w:type="spellEnd"/>
          </w:p>
          <w:p w:rsidR="003E6552" w:rsidRPr="001C5F41" w:rsidRDefault="003E6552" w:rsidP="001C5F41">
            <w:pPr>
              <w:numPr>
                <w:ilvl w:val="0"/>
                <w:numId w:val="22"/>
              </w:numPr>
              <w:spacing w:after="272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Бифосин</w:t>
            </w:r>
            <w:proofErr w:type="spellEnd"/>
          </w:p>
          <w:p w:rsidR="001C5F41" w:rsidRPr="001C5F41" w:rsidRDefault="001C5F41" w:rsidP="001C5F41">
            <w:pPr>
              <w:numPr>
                <w:ilvl w:val="0"/>
                <w:numId w:val="22"/>
              </w:numPr>
              <w:spacing w:after="272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Залаин</w:t>
            </w:r>
            <w:proofErr w:type="spellEnd"/>
          </w:p>
          <w:p w:rsidR="003E6552" w:rsidRPr="001C5F41" w:rsidRDefault="003E6552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1C5F41" w:rsidRPr="001C5F41" w:rsidRDefault="001C5F41" w:rsidP="001C5F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Бутоконазол</w:t>
            </w:r>
            <w:proofErr w:type="spellEnd"/>
          </w:p>
          <w:p w:rsidR="001C5F41" w:rsidRPr="001C5F41" w:rsidRDefault="001C5F41" w:rsidP="001C5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1C5F41" w:rsidRDefault="00AA5195" w:rsidP="001C5F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3E6552" w:rsidRPr="001C5F41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Бифоназол</w:t>
              </w:r>
              <w:proofErr w:type="spellEnd"/>
            </w:hyperlink>
          </w:p>
          <w:p w:rsidR="001C5F41" w:rsidRPr="001C5F41" w:rsidRDefault="001C5F41" w:rsidP="001C5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1C5F41" w:rsidRDefault="001C5F41" w:rsidP="001C5F4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Сертаконазол</w:t>
            </w:r>
            <w:proofErr w:type="spellEnd"/>
          </w:p>
        </w:tc>
        <w:tc>
          <w:tcPr>
            <w:tcW w:w="1422" w:type="dxa"/>
          </w:tcPr>
          <w:p w:rsidR="001C5F41" w:rsidRPr="008D4E92" w:rsidRDefault="001C5F41" w:rsidP="001C5F41">
            <w:pPr>
              <w:pStyle w:val="a3"/>
              <w:tabs>
                <w:tab w:val="left" w:pos="7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G01AF15</w:t>
            </w:r>
          </w:p>
          <w:p w:rsidR="001C5F41" w:rsidRDefault="001C5F41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552" w:rsidRDefault="00AA5195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3E6552"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D01AC10</w:t>
              </w:r>
            </w:hyperlink>
          </w:p>
          <w:p w:rsidR="001C5F41" w:rsidRDefault="001C5F41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8D4E92" w:rsidRDefault="001C5F41" w:rsidP="001C5F41">
            <w:pPr>
              <w:pStyle w:val="a3"/>
              <w:tabs>
                <w:tab w:val="left" w:pos="7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G01AF</w:t>
            </w:r>
          </w:p>
          <w:p w:rsidR="001C5F41" w:rsidRDefault="001C5F41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Default="001C5F41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5F41" w:rsidRPr="001132DE" w:rsidRDefault="001C5F41" w:rsidP="005E7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F41" w:rsidRPr="001132DE" w:rsidTr="001C2115">
        <w:tc>
          <w:tcPr>
            <w:tcW w:w="3329" w:type="dxa"/>
          </w:tcPr>
          <w:p w:rsidR="00D50BB3" w:rsidRPr="001C5F41" w:rsidRDefault="00D50BB3" w:rsidP="00C252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C5F41">
              <w:rPr>
                <w:rFonts w:ascii="Times New Roman" w:hAnsi="Times New Roman"/>
                <w:b/>
                <w:i/>
                <w:color w:val="000000"/>
                <w:sz w:val="28"/>
                <w:szCs w:val="18"/>
              </w:rPr>
              <w:t>Ингибитор АПФ</w:t>
            </w:r>
          </w:p>
        </w:tc>
        <w:tc>
          <w:tcPr>
            <w:tcW w:w="2931" w:type="dxa"/>
          </w:tcPr>
          <w:p w:rsidR="00D50BB3" w:rsidRPr="001C5F41" w:rsidRDefault="00D50BB3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Капотен</w:t>
            </w:r>
            <w:proofErr w:type="spellEnd"/>
          </w:p>
          <w:p w:rsidR="001C5F41" w:rsidRPr="001C5F41" w:rsidRDefault="001C5F41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Диротон</w:t>
            </w:r>
            <w:proofErr w:type="spellEnd"/>
          </w:p>
          <w:p w:rsidR="001C5F41" w:rsidRPr="001C5F41" w:rsidRDefault="001C5F41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Зокардис</w:t>
            </w:r>
            <w:proofErr w:type="spellEnd"/>
            <w:r w:rsidRPr="001C5F4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2992" w:type="dxa"/>
          </w:tcPr>
          <w:p w:rsidR="00D50BB3" w:rsidRPr="001C5F41" w:rsidRDefault="00D50BB3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Каптоприл</w:t>
            </w:r>
            <w:proofErr w:type="spellEnd"/>
          </w:p>
          <w:p w:rsidR="001C5F41" w:rsidRPr="001C5F41" w:rsidRDefault="001C5F41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Лизиноприл</w:t>
            </w:r>
            <w:proofErr w:type="spellEnd"/>
          </w:p>
          <w:p w:rsidR="001C5F41" w:rsidRPr="001C5F41" w:rsidRDefault="001C5F41" w:rsidP="001C211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C5F41">
              <w:rPr>
                <w:rFonts w:ascii="Times New Roman" w:hAnsi="Times New Roman"/>
                <w:sz w:val="28"/>
                <w:szCs w:val="28"/>
              </w:rPr>
              <w:t>Зофеноприл</w:t>
            </w:r>
            <w:proofErr w:type="spellEnd"/>
          </w:p>
        </w:tc>
        <w:tc>
          <w:tcPr>
            <w:tcW w:w="1422" w:type="dxa"/>
          </w:tcPr>
          <w:p w:rsidR="00D50BB3" w:rsidRDefault="001C5F41" w:rsidP="00C25240">
            <w:pPr>
              <w:suppressAutoHyphens/>
              <w:spacing w:after="0" w:line="240" w:lineRule="auto"/>
              <w:jc w:val="both"/>
              <w:rPr>
                <w:rStyle w:val="block-content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block-content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C09AA01</w:t>
            </w:r>
          </w:p>
          <w:p w:rsidR="001C5F41" w:rsidRDefault="001C5F41" w:rsidP="00C25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C09AA03</w:t>
            </w:r>
          </w:p>
          <w:p w:rsidR="001C5F41" w:rsidRPr="008D4E92" w:rsidRDefault="001C5F41" w:rsidP="001C5F41">
            <w:pPr>
              <w:pStyle w:val="a3"/>
              <w:tabs>
                <w:tab w:val="left" w:pos="70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D4E92">
              <w:rPr>
                <w:rFonts w:ascii="Times New Roman" w:hAnsi="Times New Roman"/>
                <w:sz w:val="28"/>
                <w:szCs w:val="28"/>
              </w:rPr>
              <w:t>C09AA15</w:t>
            </w:r>
          </w:p>
          <w:p w:rsidR="001C5F41" w:rsidRPr="001C5F41" w:rsidRDefault="001C5F41" w:rsidP="00C252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61422" w:rsidRPr="001132DE" w:rsidTr="001C2115">
        <w:tc>
          <w:tcPr>
            <w:tcW w:w="3329" w:type="dxa"/>
          </w:tcPr>
          <w:p w:rsidR="00D61422" w:rsidRPr="001C5F41" w:rsidRDefault="00D61422" w:rsidP="00B64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C5F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Противовирусное средство</w:t>
            </w:r>
          </w:p>
        </w:tc>
        <w:tc>
          <w:tcPr>
            <w:tcW w:w="2931" w:type="dxa"/>
          </w:tcPr>
          <w:p w:rsidR="00D61422" w:rsidRPr="001132DE" w:rsidRDefault="00D61422" w:rsidP="001C2115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Ацикловир</w:t>
            </w:r>
            <w:proofErr w:type="spellEnd"/>
          </w:p>
        </w:tc>
        <w:tc>
          <w:tcPr>
            <w:tcW w:w="2992" w:type="dxa"/>
          </w:tcPr>
          <w:p w:rsidR="00D61422" w:rsidRPr="001132DE" w:rsidRDefault="00D61422" w:rsidP="001C2115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Ацикловир</w:t>
            </w:r>
            <w:proofErr w:type="spellEnd"/>
          </w:p>
        </w:tc>
        <w:tc>
          <w:tcPr>
            <w:tcW w:w="1422" w:type="dxa"/>
          </w:tcPr>
          <w:p w:rsidR="00D61422" w:rsidRPr="001132DE" w:rsidRDefault="00D61422" w:rsidP="00B64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hyperlink r:id="rId20" w:history="1">
              <w:r w:rsidRPr="001132DE">
                <w:rPr>
                  <w:rStyle w:val="a6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J05AB01</w:t>
              </w:r>
            </w:hyperlink>
          </w:p>
        </w:tc>
      </w:tr>
      <w:tr w:rsidR="001C2115" w:rsidRPr="001132DE" w:rsidTr="001C2115">
        <w:trPr>
          <w:trHeight w:val="300"/>
        </w:trPr>
        <w:tc>
          <w:tcPr>
            <w:tcW w:w="3329" w:type="dxa"/>
          </w:tcPr>
          <w:p w:rsidR="001C2115" w:rsidRPr="003E396B" w:rsidRDefault="001C2115" w:rsidP="001C4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E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Антацидное</w:t>
            </w:r>
            <w:proofErr w:type="spellEnd"/>
            <w:r w:rsidRPr="003E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средство</w:t>
            </w:r>
          </w:p>
        </w:tc>
        <w:tc>
          <w:tcPr>
            <w:tcW w:w="2931" w:type="dxa"/>
          </w:tcPr>
          <w:p w:rsidR="001C2115" w:rsidRPr="001132DE" w:rsidRDefault="001C2115" w:rsidP="001C47B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Фосфалюгель</w:t>
            </w:r>
            <w:proofErr w:type="spellEnd"/>
          </w:p>
        </w:tc>
        <w:tc>
          <w:tcPr>
            <w:tcW w:w="2992" w:type="dxa"/>
          </w:tcPr>
          <w:p w:rsidR="001C2115" w:rsidRPr="001132DE" w:rsidRDefault="00AA5195" w:rsidP="001C47B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1C2115"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Алюминия фосфат</w:t>
              </w:r>
            </w:hyperlink>
          </w:p>
        </w:tc>
        <w:tc>
          <w:tcPr>
            <w:tcW w:w="1422" w:type="dxa"/>
          </w:tcPr>
          <w:p w:rsidR="001C2115" w:rsidRPr="001132DE" w:rsidRDefault="001C2115" w:rsidP="001C4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2DE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hyperlink r:id="rId22" w:history="1">
              <w:r w:rsidRPr="001132DE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A02AB03</w:t>
              </w:r>
            </w:hyperlink>
          </w:p>
        </w:tc>
      </w:tr>
    </w:tbl>
    <w:p w:rsidR="001132DE" w:rsidRDefault="001132DE" w:rsidP="001132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32DE" w:rsidRPr="001132DE" w:rsidRDefault="001132DE" w:rsidP="001132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1132DE" w:rsidRPr="00295909" w:rsidRDefault="001132DE" w:rsidP="001132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28"/>
          <w:u w:val="single"/>
        </w:rPr>
      </w:pPr>
      <w:r w:rsidRPr="00295909">
        <w:rPr>
          <w:rFonts w:ascii="Times New Roman" w:eastAsia="Times New Roman" w:hAnsi="Times New Roman"/>
          <w:b/>
          <w:i/>
          <w:sz w:val="32"/>
          <w:szCs w:val="28"/>
          <w:u w:val="single"/>
        </w:rPr>
        <w:t xml:space="preserve">Правила маркировки  ЛС, согласно требованиям </w:t>
      </w:r>
      <w:r w:rsidRPr="00295909">
        <w:rPr>
          <w:rFonts w:ascii="Times New Roman" w:eastAsia="Times New Roman" w:hAnsi="Times New Roman"/>
          <w:b/>
          <w:i/>
          <w:sz w:val="32"/>
          <w:szCs w:val="28"/>
          <w:u w:val="single"/>
          <w:lang w:eastAsia="ru-RU"/>
        </w:rPr>
        <w:t>Федерального закона от 12.04.2010 № 61-ФЗ «Об обращении лекарственных средств»</w:t>
      </w:r>
    </w:p>
    <w:p w:rsidR="00CA2F7D" w:rsidRDefault="00CA2F7D" w:rsidP="00CA2F7D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5B" w:rsidRPr="00AE755B" w:rsidRDefault="00AE755B" w:rsidP="00AE755B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5B">
        <w:rPr>
          <w:rFonts w:ascii="Times New Roman" w:hAnsi="Times New Roman"/>
          <w:sz w:val="28"/>
          <w:szCs w:val="28"/>
        </w:rPr>
        <w:t>Лекарственные препараты, за исключением</w:t>
      </w:r>
      <w:r w:rsidR="00CA2F7D">
        <w:rPr>
          <w:rFonts w:ascii="Times New Roman" w:hAnsi="Times New Roman"/>
          <w:sz w:val="28"/>
          <w:szCs w:val="28"/>
        </w:rPr>
        <w:t xml:space="preserve"> ЛП</w:t>
      </w:r>
      <w:r w:rsidRPr="00AE75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E755B">
        <w:rPr>
          <w:rFonts w:ascii="Times New Roman" w:hAnsi="Times New Roman"/>
          <w:sz w:val="28"/>
          <w:szCs w:val="28"/>
        </w:rPr>
        <w:t>изготовленных</w:t>
      </w:r>
      <w:proofErr w:type="gramEnd"/>
      <w:r w:rsidRPr="00AE755B">
        <w:rPr>
          <w:rFonts w:ascii="Times New Roman" w:hAnsi="Times New Roman"/>
          <w:sz w:val="28"/>
          <w:szCs w:val="28"/>
        </w:rPr>
        <w:t xml:space="preserve"> аптечными организациями, ветеринарными аптечными организациями, индивидуальными предпринимателями, имеющими лицензию на фарм</w:t>
      </w:r>
      <w:r w:rsidR="00CA2F7D">
        <w:rPr>
          <w:rFonts w:ascii="Times New Roman" w:hAnsi="Times New Roman"/>
          <w:sz w:val="28"/>
          <w:szCs w:val="28"/>
        </w:rPr>
        <w:t>.</w:t>
      </w:r>
      <w:r w:rsidRPr="00AE755B">
        <w:rPr>
          <w:rFonts w:ascii="Times New Roman" w:hAnsi="Times New Roman"/>
          <w:sz w:val="28"/>
          <w:szCs w:val="28"/>
        </w:rPr>
        <w:t xml:space="preserve"> деятельность, должны поступать в обращение, если:</w:t>
      </w:r>
    </w:p>
    <w:p w:rsidR="001C2115" w:rsidRPr="00726E7B" w:rsidRDefault="001C2115" w:rsidP="001132DE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их первичной упаковке (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первичной упаковки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лекарственных растительных препаратов) хорошо читаемым шрифтом на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русском языке указаны наименование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ЛП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A2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МНН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группировочное</w:t>
      </w:r>
      <w:proofErr w:type="spellEnd"/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химическое,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торговое наименование), номер серии, дата выпуска (для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иммунобиологических</w:t>
      </w:r>
      <w:r w:rsidR="00CA2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ЛП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срок годности, дозировка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концентрация, объем, активность в единицах действия или количество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доз;</w:t>
      </w:r>
      <w:proofErr w:type="gramEnd"/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их вторичной (потребительской) упаковке хорошо читаемым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шрифтом на русском языке указаны наименование лекарственного препарата, наименование производителя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ЛП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номер серии, дата выпуска (для иммунобиологических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лекарственных препаратов), номер регистрационного удостоверения, срок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годности, способ применения, дозировка или концентрация, объем,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 в единицах действия либо количество доз в упаковке,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ственная форма, условия отпуска и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хранения,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предупредительные надписи.</w:t>
      </w:r>
      <w:proofErr w:type="gramEnd"/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ЛС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сывороток должны поступать в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с указанием животного, из крови, плазмы крови, органов и тканей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 они получены.</w:t>
      </w:r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вторичную (потребительскую) упаковку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ЛС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полученных из крови, плазмы крови, органов и тканей человека, должна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наноситься надпись: </w:t>
      </w:r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"Антитела к ВИЧ-1, ВИЧ-2, к вирусу гепатита</w:t>
      </w:r>
      <w:proofErr w:type="gramStart"/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</w:t>
      </w:r>
      <w:proofErr w:type="gramEnd"/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и поверхностный антиген вируса гепатита В отсутствуют".</w:t>
      </w:r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вторичную (потребительскую) упаковку гомеопатических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лекарственных препаратов должна наноситься надпись: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Гомеопатический".</w:t>
      </w:r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вторичную (потребительскую) упаковку лекарственных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растительных препаратов должна наноситься надпись: </w:t>
      </w:r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"Продукция прошла радиационный контроль".</w:t>
      </w:r>
    </w:p>
    <w:p w:rsidR="001132DE" w:rsidRPr="00904EE1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первичную (если для этого существует техническая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возможность) и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вторичную (потребительскую) упаковку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ЛП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предназначенных для клинических исследований, должна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наноситься надпись:</w:t>
      </w:r>
      <w:proofErr w:type="gramEnd"/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CA2F7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"Для клинических исследований"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32DE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транспортную тару, которая не предназначена для потребителей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наноситься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наименовании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ЛС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серии, дате выпуска,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 вторичных (потребительских) упаковок,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производителе с указанием наименования и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местонахождения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(адрес, в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т.ч. </w:t>
      </w:r>
      <w:r w:rsidR="0041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страна и</w:t>
      </w:r>
      <w:r w:rsidR="00416C7D" w:rsidRPr="0041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41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место производства 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ЛС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также о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сроке годности и об условиях его хранения и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перевозки, необходимые предупредительные надписи и манипуляторные</w:t>
      </w:r>
      <w:r w:rsidR="00113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знаки.</w:t>
      </w:r>
      <w:proofErr w:type="gramEnd"/>
    </w:p>
    <w:p w:rsidR="001132DE" w:rsidRPr="00416C7D" w:rsidRDefault="00AE755B" w:rsidP="001132DE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36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 w:rsidR="001132DE" w:rsidRPr="00904EE1">
        <w:rPr>
          <w:rFonts w:ascii="Times New Roman" w:hAnsi="Times New Roman"/>
          <w:color w:val="000000"/>
          <w:sz w:val="28"/>
          <w:shd w:val="clear" w:color="auto" w:fill="FFFFFF"/>
        </w:rPr>
        <w:t xml:space="preserve">На первичную и вторичную (потребительскую) упаковку </w:t>
      </w:r>
      <w:r w:rsidR="001C2115">
        <w:rPr>
          <w:rFonts w:ascii="Times New Roman" w:hAnsi="Times New Roman"/>
          <w:color w:val="000000"/>
          <w:sz w:val="28"/>
          <w:shd w:val="clear" w:color="auto" w:fill="FFFFFF"/>
        </w:rPr>
        <w:t xml:space="preserve">ЛС </w:t>
      </w:r>
      <w:r w:rsidR="001132DE" w:rsidRPr="00904EE1">
        <w:rPr>
          <w:rFonts w:ascii="Times New Roman" w:hAnsi="Times New Roman"/>
          <w:color w:val="000000"/>
          <w:sz w:val="28"/>
          <w:shd w:val="clear" w:color="auto" w:fill="FFFFFF"/>
        </w:rPr>
        <w:t xml:space="preserve">для ветеринарного применения должна наноситься надпись: </w:t>
      </w:r>
      <w:r w:rsidR="001132DE" w:rsidRPr="00416C7D"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>"Для ветеринарного применения".</w:t>
      </w:r>
    </w:p>
    <w:p w:rsidR="001132DE" w:rsidRDefault="00AE755B" w:rsidP="001C2115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вторичную (потребительскую) упаковку </w:t>
      </w:r>
      <w:r w:rsidR="001C2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ЛП </w:t>
      </w:r>
      <w:r w:rsidR="001132DE" w:rsidRPr="0090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наносится штриховой код.</w:t>
      </w:r>
    </w:p>
    <w:p w:rsidR="001132DE" w:rsidRPr="00904EE1" w:rsidRDefault="001132DE" w:rsidP="001132DE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2DE" w:rsidRPr="00295909" w:rsidRDefault="00AE755B" w:rsidP="001132DE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32"/>
          <w:szCs w:val="32"/>
          <w:u w:val="single"/>
          <w:lang w:eastAsia="ru-RU"/>
        </w:rPr>
        <w:t xml:space="preserve">Анализ хранения </w:t>
      </w:r>
      <w:r w:rsidR="001132DE" w:rsidRPr="00295909">
        <w:rPr>
          <w:rFonts w:ascii="Times New Roman" w:hAnsi="Times New Roman"/>
          <w:b/>
          <w:i/>
          <w:color w:val="333333"/>
          <w:sz w:val="32"/>
          <w:szCs w:val="32"/>
          <w:u w:val="single"/>
          <w:lang w:eastAsia="ru-RU"/>
        </w:rPr>
        <w:t xml:space="preserve">ранение </w:t>
      </w:r>
      <w:r>
        <w:rPr>
          <w:rFonts w:ascii="Times New Roman" w:hAnsi="Times New Roman"/>
          <w:b/>
          <w:i/>
          <w:color w:val="333333"/>
          <w:sz w:val="32"/>
          <w:szCs w:val="32"/>
          <w:u w:val="single"/>
          <w:lang w:eastAsia="ru-RU"/>
        </w:rPr>
        <w:t>ЛС. Реализация.</w:t>
      </w:r>
    </w:p>
    <w:p w:rsidR="001132DE" w:rsidRDefault="001132DE" w:rsidP="0029590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  <w:r w:rsidRPr="00256D99">
        <w:rPr>
          <w:rFonts w:ascii="Times New Roman" w:hAnsi="Times New Roman"/>
          <w:sz w:val="28"/>
          <w:szCs w:val="28"/>
        </w:rPr>
        <w:t xml:space="preserve"> лекарственных средств в аптеке осуществляется в соответствии с требованиями</w:t>
      </w:r>
      <w:r>
        <w:rPr>
          <w:rFonts w:ascii="Times New Roman" w:hAnsi="Times New Roman"/>
          <w:sz w:val="28"/>
          <w:szCs w:val="28"/>
        </w:rPr>
        <w:t>:</w:t>
      </w:r>
    </w:p>
    <w:p w:rsidR="001132DE" w:rsidRDefault="001132DE" w:rsidP="001132DE">
      <w:pPr>
        <w:jc w:val="both"/>
        <w:rPr>
          <w:rFonts w:ascii="Times New Roman" w:hAnsi="Times New Roman"/>
          <w:sz w:val="28"/>
          <w:szCs w:val="28"/>
        </w:rPr>
      </w:pPr>
      <w:r w:rsidRPr="006E7CE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6D99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256D99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56D99">
        <w:rPr>
          <w:rFonts w:ascii="Times New Roman" w:hAnsi="Times New Roman"/>
          <w:sz w:val="28"/>
          <w:szCs w:val="28"/>
        </w:rPr>
        <w:t xml:space="preserve"> РФ от 23.08.2010 № 706</w:t>
      </w:r>
      <w:r>
        <w:rPr>
          <w:rFonts w:ascii="Times New Roman" w:hAnsi="Times New Roman"/>
          <w:sz w:val="28"/>
          <w:szCs w:val="28"/>
        </w:rPr>
        <w:t>н</w:t>
      </w:r>
      <w:r w:rsidRPr="00256D99">
        <w:rPr>
          <w:rFonts w:ascii="Times New Roman" w:hAnsi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/>
          <w:sz w:val="28"/>
          <w:szCs w:val="28"/>
        </w:rPr>
        <w:t>хранения лекарственных средств»</w:t>
      </w:r>
    </w:p>
    <w:p w:rsidR="001132DE" w:rsidRDefault="001132DE" w:rsidP="001132DE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56D99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>МЗ РФ</w:t>
      </w:r>
      <w:r w:rsidRPr="00256D99">
        <w:rPr>
          <w:rFonts w:ascii="Times New Roman" w:hAnsi="Times New Roman"/>
          <w:sz w:val="28"/>
          <w:szCs w:val="28"/>
        </w:rPr>
        <w:t xml:space="preserve"> от 31.08.2016</w:t>
      </w:r>
      <w:r>
        <w:rPr>
          <w:rFonts w:ascii="Times New Roman" w:hAnsi="Times New Roman"/>
          <w:sz w:val="28"/>
          <w:szCs w:val="28"/>
        </w:rPr>
        <w:t xml:space="preserve"> № 646н « Об утверждении Правил </w:t>
      </w:r>
      <w:proofErr w:type="gramStart"/>
      <w:r w:rsidRPr="00256D99">
        <w:rPr>
          <w:rFonts w:ascii="Times New Roman" w:hAnsi="Times New Roman"/>
          <w:sz w:val="28"/>
          <w:szCs w:val="28"/>
        </w:rPr>
        <w:t>надлежащий</w:t>
      </w:r>
      <w:proofErr w:type="gramEnd"/>
      <w:r w:rsidRPr="00256D99">
        <w:rPr>
          <w:rFonts w:ascii="Times New Roman" w:hAnsi="Times New Roman"/>
          <w:sz w:val="28"/>
          <w:szCs w:val="28"/>
        </w:rPr>
        <w:t xml:space="preserve"> практики хранения и перевозки лекарственных препаратов для медицинского применения» </w:t>
      </w:r>
    </w:p>
    <w:p w:rsidR="0066146E" w:rsidRPr="0077617F" w:rsidRDefault="0066146E" w:rsidP="001132DE">
      <w:pPr>
        <w:jc w:val="both"/>
        <w:rPr>
          <w:rFonts w:ascii="Times New Roman" w:hAnsi="Times New Roman"/>
          <w:color w:val="000000"/>
          <w:sz w:val="28"/>
        </w:rPr>
      </w:pPr>
    </w:p>
    <w:p w:rsidR="001132DE" w:rsidRPr="00433BB8" w:rsidRDefault="001132DE" w:rsidP="001132DE">
      <w:pPr>
        <w:jc w:val="both"/>
        <w:rPr>
          <w:rFonts w:ascii="Times New Roman" w:hAnsi="Times New Roman"/>
          <w:b/>
          <w:color w:val="000000"/>
          <w:sz w:val="28"/>
        </w:rPr>
      </w:pPr>
      <w:r w:rsidRPr="00433BB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риказ</w:t>
      </w:r>
      <w:r w:rsidRPr="00433B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3BB8">
        <w:rPr>
          <w:rFonts w:ascii="Times New Roman" w:hAnsi="Times New Roman"/>
          <w:b/>
          <w:sz w:val="28"/>
          <w:szCs w:val="28"/>
        </w:rPr>
        <w:t>Минздравсоцразвития</w:t>
      </w:r>
      <w:proofErr w:type="spellEnd"/>
      <w:r w:rsidRPr="00433BB8">
        <w:rPr>
          <w:rFonts w:ascii="Times New Roman" w:hAnsi="Times New Roman"/>
          <w:b/>
          <w:sz w:val="28"/>
          <w:szCs w:val="28"/>
        </w:rPr>
        <w:t xml:space="preserve"> РФ от 23.08.2010 № 706н «Об утверждении Правил хранения лекарственных средств»</w:t>
      </w:r>
    </w:p>
    <w:p w:rsidR="001132DE" w:rsidRDefault="001132DE" w:rsidP="001132D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433BB8">
        <w:rPr>
          <w:rFonts w:ascii="Times New Roman" w:hAnsi="Times New Roman"/>
          <w:color w:val="000000"/>
          <w:sz w:val="28"/>
        </w:rPr>
        <w:t>Согласно №706н приказу</w:t>
      </w:r>
      <w:r>
        <w:rPr>
          <w:rFonts w:ascii="Times New Roman" w:hAnsi="Times New Roman"/>
          <w:color w:val="000000"/>
          <w:sz w:val="28"/>
        </w:rPr>
        <w:t xml:space="preserve"> устанавливаются требования  </w:t>
      </w:r>
      <w:r w:rsidRPr="00267E02">
        <w:rPr>
          <w:rFonts w:ascii="Times New Roman" w:hAnsi="Times New Roman"/>
          <w:sz w:val="28"/>
        </w:rPr>
        <w:t xml:space="preserve">к помещениям для хранения </w:t>
      </w:r>
      <w:r w:rsidR="00295909">
        <w:rPr>
          <w:rFonts w:ascii="Times New Roman" w:hAnsi="Times New Roman"/>
          <w:sz w:val="28"/>
        </w:rPr>
        <w:t xml:space="preserve">ЛС </w:t>
      </w:r>
      <w:r>
        <w:rPr>
          <w:rFonts w:ascii="Times New Roman" w:hAnsi="Times New Roman"/>
          <w:sz w:val="28"/>
        </w:rPr>
        <w:t xml:space="preserve">для медицинского применения и </w:t>
      </w:r>
      <w:r w:rsidRPr="00267E02">
        <w:rPr>
          <w:rFonts w:ascii="Times New Roman" w:hAnsi="Times New Roman"/>
          <w:sz w:val="28"/>
        </w:rPr>
        <w:t>регламентируют</w:t>
      </w:r>
      <w:r>
        <w:rPr>
          <w:rFonts w:ascii="Times New Roman" w:hAnsi="Times New Roman"/>
          <w:sz w:val="28"/>
        </w:rPr>
        <w:t>ся</w:t>
      </w:r>
      <w:r w:rsidRPr="00267E02">
        <w:rPr>
          <w:rFonts w:ascii="Times New Roman" w:hAnsi="Times New Roman"/>
          <w:sz w:val="28"/>
        </w:rPr>
        <w:t xml:space="preserve"> условия хранения</w:t>
      </w:r>
      <w:r w:rsidRPr="00433BB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указанных лекарственных средств.</w:t>
      </w:r>
    </w:p>
    <w:p w:rsidR="001132DE" w:rsidRDefault="001132DE" w:rsidP="001132D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 w:rsidRPr="00433BB8">
        <w:rPr>
          <w:rFonts w:ascii="Times New Roman" w:hAnsi="Times New Roman"/>
          <w:color w:val="000000"/>
          <w:sz w:val="28"/>
        </w:rPr>
        <w:t xml:space="preserve"> помещениях для хранения </w:t>
      </w:r>
      <w:r>
        <w:rPr>
          <w:rFonts w:ascii="Times New Roman" w:hAnsi="Times New Roman"/>
          <w:color w:val="000000"/>
          <w:sz w:val="28"/>
        </w:rPr>
        <w:t>ЛС</w:t>
      </w:r>
      <w:r w:rsidRPr="00433BB8">
        <w:rPr>
          <w:rFonts w:ascii="Times New Roman" w:hAnsi="Times New Roman"/>
          <w:color w:val="000000"/>
          <w:sz w:val="28"/>
        </w:rPr>
        <w:t xml:space="preserve"> поддерживается определенная температура и влажность воздуха в соответствии с требованиями на первичной и вторичной (потребительской) упаковке. Также эти помещения должны быть обеспечены стеллажами, шка</w:t>
      </w:r>
      <w:r>
        <w:rPr>
          <w:rFonts w:ascii="Times New Roman" w:hAnsi="Times New Roman"/>
          <w:color w:val="000000"/>
          <w:sz w:val="28"/>
        </w:rPr>
        <w:t xml:space="preserve">фами, поддонами, подтоварниками. </w:t>
      </w:r>
    </w:p>
    <w:p w:rsidR="001132DE" w:rsidRDefault="001132DE" w:rsidP="001132DE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Эти помещения</w:t>
      </w:r>
      <w:r w:rsidRPr="00433BB8">
        <w:rPr>
          <w:rFonts w:ascii="Times New Roman" w:hAnsi="Times New Roman"/>
          <w:color w:val="000000"/>
          <w:sz w:val="28"/>
        </w:rPr>
        <w:t xml:space="preserve"> оснащены приборами для регистрации параметров возд</w:t>
      </w:r>
      <w:r w:rsidR="00416C7D">
        <w:rPr>
          <w:rFonts w:ascii="Times New Roman" w:hAnsi="Times New Roman"/>
          <w:color w:val="000000"/>
          <w:sz w:val="28"/>
        </w:rPr>
        <w:t>уха (термометрами, гигрометрами</w:t>
      </w:r>
      <w:r w:rsidRPr="00433BB8">
        <w:rPr>
          <w:rFonts w:ascii="Times New Roman" w:hAnsi="Times New Roman"/>
          <w:color w:val="000000"/>
          <w:sz w:val="28"/>
        </w:rPr>
        <w:t xml:space="preserve"> или психрометрами),  которые размещаются на расстоянии не менее 3 м от дверей, окон и отопительных приборов и  располагаются на высоте 1,5 - 1,7 м от пола.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Приборы </w:t>
      </w:r>
      <w:r>
        <w:rPr>
          <w:rFonts w:ascii="Times New Roman" w:hAnsi="Times New Roman"/>
          <w:sz w:val="28"/>
        </w:rPr>
        <w:lastRenderedPageBreak/>
        <w:t xml:space="preserve">обязательно </w:t>
      </w:r>
      <w:r w:rsidRPr="00812D0E">
        <w:rPr>
          <w:rFonts w:ascii="Times New Roman" w:hAnsi="Times New Roman"/>
          <w:color w:val="000000"/>
          <w:sz w:val="28"/>
        </w:rPr>
        <w:t>должны быть сертифицированы, калиброваны и подвергаться поверке в 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:rsidR="001132DE" w:rsidRDefault="001132DE" w:rsidP="001132D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33BB8">
        <w:rPr>
          <w:rFonts w:ascii="Times New Roman" w:hAnsi="Times New Roman"/>
          <w:color w:val="000000"/>
          <w:sz w:val="28"/>
          <w:szCs w:val="28"/>
        </w:rPr>
        <w:t>специальном журнале (карте)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регистрации е</w:t>
      </w:r>
      <w:r w:rsidRPr="00433BB8">
        <w:rPr>
          <w:rFonts w:ascii="Times New Roman" w:hAnsi="Times New Roman"/>
          <w:color w:val="000000"/>
          <w:sz w:val="28"/>
          <w:szCs w:val="28"/>
        </w:rPr>
        <w:t>жедневно регистрир</w:t>
      </w:r>
      <w:r>
        <w:rPr>
          <w:rFonts w:ascii="Times New Roman" w:hAnsi="Times New Roman"/>
          <w:color w:val="000000"/>
          <w:sz w:val="28"/>
          <w:szCs w:val="28"/>
        </w:rPr>
        <w:t>уются п</w:t>
      </w:r>
      <w:r w:rsidRPr="00433BB8">
        <w:rPr>
          <w:rFonts w:ascii="Times New Roman" w:hAnsi="Times New Roman"/>
          <w:color w:val="000000"/>
          <w:sz w:val="28"/>
          <w:szCs w:val="28"/>
        </w:rPr>
        <w:t>оказания этих приборов</w:t>
      </w:r>
      <w:r>
        <w:rPr>
          <w:rFonts w:ascii="Times New Roman" w:hAnsi="Times New Roman"/>
          <w:color w:val="000000"/>
          <w:sz w:val="28"/>
          <w:szCs w:val="28"/>
        </w:rPr>
        <w:t xml:space="preserve"> (на бумажном носителе или  в электронном виде), </w:t>
      </w:r>
      <w:r w:rsidRPr="00433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BB8">
        <w:rPr>
          <w:rFonts w:ascii="Times New Roman" w:hAnsi="Times New Roman"/>
          <w:sz w:val="28"/>
        </w:rPr>
        <w:t>который ведется ответственным лицом.</w:t>
      </w:r>
      <w:r>
        <w:rPr>
          <w:rFonts w:ascii="Times New Roman" w:hAnsi="Times New Roman"/>
          <w:sz w:val="28"/>
        </w:rPr>
        <w:t xml:space="preserve"> Он </w:t>
      </w:r>
      <w:r w:rsidRPr="00433BB8">
        <w:rPr>
          <w:rFonts w:ascii="Times New Roman" w:hAnsi="Times New Roman"/>
          <w:sz w:val="28"/>
        </w:rPr>
        <w:t>хранится в течение одного года</w:t>
      </w:r>
      <w:r>
        <w:rPr>
          <w:rFonts w:ascii="Times New Roman" w:hAnsi="Times New Roman"/>
          <w:sz w:val="28"/>
        </w:rPr>
        <w:t xml:space="preserve">. </w:t>
      </w:r>
    </w:p>
    <w:p w:rsidR="001132DE" w:rsidRPr="002C00A3" w:rsidRDefault="00416C7D" w:rsidP="00416C7D">
      <w:pPr>
        <w:pStyle w:val="ConsPlusTitle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ЛС </w:t>
      </w:r>
      <w:r w:rsidR="001132DE" w:rsidRPr="002C00A3">
        <w:rPr>
          <w:rFonts w:ascii="Times New Roman" w:hAnsi="Times New Roman" w:cs="Times New Roman"/>
          <w:b w:val="0"/>
          <w:sz w:val="28"/>
          <w:szCs w:val="28"/>
        </w:rPr>
        <w:t>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1132DE" w:rsidRPr="002C00A3" w:rsidRDefault="001132DE" w:rsidP="00416C7D">
      <w:pPr>
        <w:pStyle w:val="ConsPlusTitl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>физико-химических свойств лекарственных средств;</w:t>
      </w:r>
    </w:p>
    <w:p w:rsidR="001132DE" w:rsidRPr="002C00A3" w:rsidRDefault="001132DE" w:rsidP="00416C7D">
      <w:pPr>
        <w:pStyle w:val="ConsPlusTitl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>фармакологических групп (для аптечных и медицинских организаций);</w:t>
      </w:r>
    </w:p>
    <w:p w:rsidR="001132DE" w:rsidRPr="002C00A3" w:rsidRDefault="001132DE" w:rsidP="00416C7D">
      <w:pPr>
        <w:pStyle w:val="ConsPlusTitl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>способа применения (внутреннее, наружное);</w:t>
      </w:r>
    </w:p>
    <w:p w:rsidR="001132DE" w:rsidRPr="002C00A3" w:rsidRDefault="001132DE" w:rsidP="00416C7D">
      <w:pPr>
        <w:pStyle w:val="ConsPlusTitl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00A3">
        <w:rPr>
          <w:rFonts w:ascii="Times New Roman" w:hAnsi="Times New Roman" w:cs="Times New Roman"/>
          <w:b w:val="0"/>
          <w:sz w:val="28"/>
          <w:szCs w:val="28"/>
        </w:rPr>
        <w:t>агрегатного состояния фармацевтических субстанций (жидкие, сыпучие, газообразные).</w:t>
      </w:r>
      <w:proofErr w:type="gramEnd"/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>Отдельно, в технически укрепленных помещениях, соответствующих требованиям Федерального закона от 8 января 1998 г. N 3-ФЗ "О наркотических средствах и пс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ихотропных веществах", хранятся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наркотические и псих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отропные лекарственные средства,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сильнодействующие и ядовитые </w:t>
      </w:r>
      <w:r>
        <w:rPr>
          <w:rFonts w:ascii="Times New Roman" w:hAnsi="Times New Roman" w:cs="Times New Roman"/>
          <w:b w:val="0"/>
          <w:sz w:val="28"/>
          <w:szCs w:val="28"/>
        </w:rPr>
        <w:t>ЛС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, находящиеся под контролем в соответствии с международными правовыми нормами.</w:t>
      </w:r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Стеллажи (шкафы) для хранения лекарственных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t>устана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вл</w:t>
      </w:r>
      <w:r>
        <w:rPr>
          <w:rFonts w:ascii="Times New Roman" w:hAnsi="Times New Roman" w:cs="Times New Roman"/>
          <w:b w:val="0"/>
          <w:sz w:val="28"/>
          <w:szCs w:val="28"/>
        </w:rPr>
        <w:t>иваются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 так,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Стеллажи, шкафы, полки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должны быть идентифицированы.</w:t>
      </w:r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екарственные средства должны быть также идентифицированы с помощью стеллажной карты,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которая содержит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содержащей информацию о </w:t>
      </w:r>
      <w:r>
        <w:rPr>
          <w:rFonts w:ascii="Times New Roman" w:hAnsi="Times New Roman" w:cs="Times New Roman"/>
          <w:b w:val="0"/>
          <w:sz w:val="28"/>
          <w:szCs w:val="28"/>
        </w:rPr>
        <w:t>них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 (наименование, форма выпуска и дозировка, номер серии, срок годности, производитель лекарственного средства). </w:t>
      </w:r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 и у индивидуальных предпринимателей </w:t>
      </w:r>
      <w:r>
        <w:rPr>
          <w:rFonts w:ascii="Times New Roman" w:hAnsi="Times New Roman" w:cs="Times New Roman"/>
          <w:b w:val="0"/>
          <w:sz w:val="28"/>
          <w:szCs w:val="28"/>
        </w:rPr>
        <w:t>ведут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 учет лекарственных средств с ограниченным сроком годности на бумажном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носителе или в электронном виде с архивацией. </w:t>
      </w:r>
      <w:proofErr w:type="gramStart"/>
      <w:r w:rsidRPr="002C00A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своевременной реализацией лекарственных средств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</w:t>
      </w:r>
    </w:p>
    <w:p w:rsidR="001132DE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0A3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b w:val="0"/>
          <w:sz w:val="28"/>
          <w:szCs w:val="28"/>
        </w:rPr>
        <w:t>ЛС</w:t>
      </w:r>
      <w:r w:rsidR="00416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0A3">
        <w:rPr>
          <w:rFonts w:ascii="Times New Roman" w:hAnsi="Times New Roman" w:cs="Times New Roman"/>
          <w:b w:val="0"/>
          <w:sz w:val="28"/>
          <w:szCs w:val="28"/>
        </w:rPr>
        <w:t>с истекшим сроком годности они должны храниться в специально выделенной и обозначенной (карантинной) зоне.</w:t>
      </w:r>
      <w:r w:rsidRPr="002C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DE" w:rsidRPr="002C00A3" w:rsidRDefault="001132DE" w:rsidP="001132DE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2DE" w:rsidRDefault="001132DE" w:rsidP="001132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 w:rsidRPr="00E84AD5">
        <w:rPr>
          <w:rFonts w:ascii="Times New Roman" w:hAnsi="Times New Roman"/>
          <w:b/>
          <w:sz w:val="28"/>
          <w:szCs w:val="28"/>
        </w:rPr>
        <w:t xml:space="preserve"> МЗ РФ от 31.08.2016 № 646н « Об утверждении Правил надлежащий практики хранения и перевозки лекарственных препаратов для медицинского применения»</w:t>
      </w:r>
    </w:p>
    <w:p w:rsidR="001132DE" w:rsidRPr="00CC204E" w:rsidRDefault="001132DE" w:rsidP="001132DE">
      <w:pPr>
        <w:spacing w:after="0"/>
        <w:ind w:firstLine="708"/>
        <w:jc w:val="both"/>
        <w:rPr>
          <w:rFonts w:ascii="Times New Roman" w:hAnsi="Times New Roman"/>
          <w:sz w:val="28"/>
          <w:szCs w:val="21"/>
          <w:lang w:eastAsia="ru-RU"/>
        </w:rPr>
      </w:pPr>
      <w:r w:rsidRPr="00BD77AA">
        <w:rPr>
          <w:rFonts w:ascii="Times New Roman" w:hAnsi="Times New Roman"/>
          <w:sz w:val="28"/>
          <w:lang w:eastAsia="ru-RU"/>
        </w:rPr>
        <w:t xml:space="preserve">Согласно этому приказу устанавливаются требования к условиям хранения и перевозки лекарственных препаратов. Это необходимо для обеспечения качества, безопасности и эффективности лекарственных препаратов и для </w:t>
      </w:r>
      <w:proofErr w:type="spellStart"/>
      <w:r w:rsidRPr="00BD77AA">
        <w:rPr>
          <w:rFonts w:ascii="Times New Roman" w:hAnsi="Times New Roman"/>
          <w:sz w:val="28"/>
          <w:lang w:eastAsia="ru-RU"/>
        </w:rPr>
        <w:t>избежания</w:t>
      </w:r>
      <w:proofErr w:type="spellEnd"/>
      <w:r w:rsidRPr="00BD77AA">
        <w:rPr>
          <w:rFonts w:ascii="Times New Roman" w:hAnsi="Times New Roman"/>
          <w:sz w:val="28"/>
          <w:lang w:eastAsia="ru-RU"/>
        </w:rPr>
        <w:t xml:space="preserve"> проникновения фальсифицированных, недоброкачественных, контрафактных лекарственных препаратов в гражданский оборот.</w:t>
      </w:r>
    </w:p>
    <w:p w:rsidR="001132DE" w:rsidRPr="00CC204E" w:rsidRDefault="001132DE" w:rsidP="001132D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Руководитель субъекта обращения ЛП следит за соблюдением его работниками настоящих Правил при хранении и (или) перевозке лекарственных препаратов, за счет утверждения документов, в которых прописываются:</w:t>
      </w:r>
    </w:p>
    <w:p w:rsidR="001132DE" w:rsidRPr="00CC204E" w:rsidRDefault="001132DE" w:rsidP="00113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порядок совершения работниками действий при осуществлении хранения и (или) перевозке лекарственных препаратов, </w:t>
      </w:r>
    </w:p>
    <w:p w:rsidR="001132DE" w:rsidRPr="00CC204E" w:rsidRDefault="001132DE" w:rsidP="00113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порядок обслуживания и поверки измерительных приборов и оборудования, </w:t>
      </w:r>
    </w:p>
    <w:p w:rsidR="001132DE" w:rsidRPr="00CC204E" w:rsidRDefault="001132DE" w:rsidP="00113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ведение записей, отчетов и их хранение, </w:t>
      </w:r>
    </w:p>
    <w:p w:rsidR="001132DE" w:rsidRPr="00CC204E" w:rsidRDefault="001132DE" w:rsidP="00113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прием, транспортировка, размещение лекарственных препаратов </w:t>
      </w:r>
    </w:p>
    <w:p w:rsidR="001132DE" w:rsidRPr="00174F93" w:rsidRDefault="001132DE" w:rsidP="001132DE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color w:val="000000"/>
          <w:szCs w:val="21"/>
          <w:lang w:eastAsia="ru-RU"/>
        </w:rPr>
      </w:pPr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организации </w:t>
      </w:r>
      <w:proofErr w:type="gramStart"/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контроля за</w:t>
      </w:r>
      <w:proofErr w:type="gramEnd"/>
      <w:r w:rsidRPr="00CC20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соблюдением стандартных операционных процедур.</w:t>
      </w:r>
    </w:p>
    <w:p w:rsidR="001132DE" w:rsidRPr="002304D1" w:rsidRDefault="001132DE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132DE" w:rsidRDefault="001132DE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Pr="001E4526" w:rsidRDefault="001E4526" w:rsidP="001132DE">
      <w:pPr>
        <w:spacing w:after="0" w:line="240" w:lineRule="auto"/>
        <w:ind w:left="1260"/>
        <w:jc w:val="both"/>
        <w:rPr>
          <w:rFonts w:ascii="Times New Roman" w:eastAsia="Times New Roman" w:hAnsi="Times New Roman"/>
          <w:b/>
          <w:i/>
          <w:color w:val="FF0000"/>
          <w:sz w:val="36"/>
          <w:szCs w:val="21"/>
          <w:lang w:eastAsia="ru-RU"/>
        </w:rPr>
      </w:pPr>
      <w:r w:rsidRPr="001E4526">
        <w:rPr>
          <w:rFonts w:ascii="Times New Roman" w:eastAsia="Times New Roman" w:hAnsi="Times New Roman"/>
          <w:b/>
          <w:i/>
          <w:color w:val="FF0000"/>
          <w:sz w:val="36"/>
          <w:szCs w:val="21"/>
          <w:lang w:eastAsia="ru-RU"/>
        </w:rPr>
        <w:t>5</w:t>
      </w: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Pr="00AE755B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C2115" w:rsidRPr="00AE755B" w:rsidRDefault="001C2115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C2115" w:rsidRPr="00AE755B" w:rsidRDefault="001C2115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C2115" w:rsidRPr="00AE755B" w:rsidRDefault="001C2115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C2115" w:rsidRPr="00AE755B" w:rsidRDefault="001C2115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1C2115" w:rsidRPr="00AE755B" w:rsidRDefault="001C2115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3E6552" w:rsidRPr="00AE755B" w:rsidRDefault="001C2115" w:rsidP="003E65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C2115">
        <w:rPr>
          <w:rFonts w:ascii="Times New Roman" w:eastAsia="Times New Roman" w:hAnsi="Times New Roman"/>
          <w:b/>
          <w:i/>
          <w:sz w:val="28"/>
          <w:szCs w:val="28"/>
          <w:highlight w:val="cyan"/>
        </w:rPr>
        <w:t>Тема № 3.</w:t>
      </w:r>
      <w:r w:rsidRPr="001C211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9E40D1" w:rsidRDefault="009E40D1" w:rsidP="009E40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2052E">
        <w:rPr>
          <w:rFonts w:ascii="Times New Roman" w:eastAsia="Times New Roman" w:hAnsi="Times New Roman"/>
          <w:b/>
          <w:bCs/>
          <w:sz w:val="28"/>
          <w:szCs w:val="28"/>
        </w:rPr>
        <w:t>Гомеопатические лекарственные препараты. Дать определение. Анализ ассортимента. Хранение. Реализация.</w:t>
      </w:r>
    </w:p>
    <w:p w:rsidR="009E40D1" w:rsidRPr="0092052E" w:rsidRDefault="009E40D1" w:rsidP="009E40D1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Cs w:val="21"/>
          <w:lang w:eastAsia="ru-RU"/>
        </w:rPr>
      </w:pPr>
    </w:p>
    <w:p w:rsidR="00295909" w:rsidRDefault="00AE755B" w:rsidP="002959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1) </w:t>
      </w:r>
      <w:r w:rsidR="009E40D1" w:rsidRPr="000A2E38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r w:rsidR="009E40D1" w:rsidRPr="0092052E">
        <w:rPr>
          <w:rFonts w:ascii="Times New Roman" w:eastAsia="Times New Roman" w:hAnsi="Times New Roman"/>
          <w:b/>
          <w:sz w:val="28"/>
          <w:szCs w:val="24"/>
          <w:lang w:eastAsia="ru-RU"/>
        </w:rPr>
        <w:t>омеопатический лекарственный препарат</w:t>
      </w:r>
      <w:r w:rsidR="009E40D1" w:rsidRPr="0092052E"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 w:rsidR="00295909" w:rsidRPr="003B7FB4">
        <w:rPr>
          <w:rFonts w:ascii="Times New Roman" w:hAnsi="Times New Roman"/>
          <w:sz w:val="28"/>
          <w:szCs w:val="28"/>
        </w:rPr>
        <w:t>это вещества растительного, животного, минерального происхождения (или их комбинации), содержащие чрезвычайно малые дозы активных соединений, которые производятся по специальной технологии и разрешаются для широкого клинического применения после их регистрации по правилам, установленным М3 РФ.</w:t>
      </w:r>
    </w:p>
    <w:p w:rsidR="00295909" w:rsidRPr="008F1572" w:rsidRDefault="00295909" w:rsidP="00295909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572">
        <w:rPr>
          <w:rFonts w:ascii="Times New Roman" w:hAnsi="Times New Roman"/>
          <w:sz w:val="28"/>
          <w:szCs w:val="28"/>
        </w:rPr>
        <w:t xml:space="preserve">К основным принципам гомеопатии относятся следующие: </w:t>
      </w:r>
    </w:p>
    <w:p w:rsidR="00295909" w:rsidRDefault="00295909" w:rsidP="002959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7FB4">
        <w:rPr>
          <w:rFonts w:ascii="Times New Roman" w:hAnsi="Times New Roman"/>
          <w:sz w:val="28"/>
          <w:szCs w:val="28"/>
        </w:rPr>
        <w:t xml:space="preserve">подобное лечится подобным, </w:t>
      </w:r>
    </w:p>
    <w:p w:rsidR="00295909" w:rsidRDefault="00295909" w:rsidP="002959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7FB4">
        <w:rPr>
          <w:rFonts w:ascii="Times New Roman" w:hAnsi="Times New Roman"/>
          <w:sz w:val="28"/>
          <w:szCs w:val="28"/>
        </w:rPr>
        <w:t xml:space="preserve">приготовление лекарств методом потенцирования, </w:t>
      </w:r>
    </w:p>
    <w:p w:rsidR="00295909" w:rsidRDefault="00295909" w:rsidP="002959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7FB4">
        <w:rPr>
          <w:rFonts w:ascii="Times New Roman" w:hAnsi="Times New Roman"/>
          <w:sz w:val="28"/>
          <w:szCs w:val="28"/>
        </w:rPr>
        <w:t>лечение мал</w:t>
      </w:r>
      <w:r>
        <w:rPr>
          <w:rFonts w:ascii="Times New Roman" w:hAnsi="Times New Roman"/>
          <w:sz w:val="28"/>
          <w:szCs w:val="28"/>
        </w:rPr>
        <w:t xml:space="preserve">ыми дозами, </w:t>
      </w:r>
    </w:p>
    <w:p w:rsidR="00295909" w:rsidRDefault="00295909" w:rsidP="002959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-комплексный (систем</w:t>
      </w:r>
      <w:r w:rsidRPr="003B7FB4">
        <w:rPr>
          <w:rFonts w:ascii="Times New Roman" w:hAnsi="Times New Roman"/>
          <w:sz w:val="28"/>
          <w:szCs w:val="28"/>
        </w:rPr>
        <w:t>ный) подход к пациенту, подбор лекарств на основе гомеопатической конституции пациента.</w:t>
      </w:r>
    </w:p>
    <w:p w:rsidR="00295909" w:rsidRDefault="00295909" w:rsidP="0029590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E40D1" w:rsidRDefault="009E40D1" w:rsidP="0029590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B5C36">
        <w:rPr>
          <w:rFonts w:ascii="Times New Roman" w:hAnsi="Times New Roman"/>
          <w:sz w:val="28"/>
        </w:rPr>
        <w:t xml:space="preserve">Гомеопатические ЛС </w:t>
      </w:r>
      <w:r>
        <w:rPr>
          <w:rFonts w:ascii="Times New Roman" w:hAnsi="Times New Roman"/>
          <w:sz w:val="28"/>
        </w:rPr>
        <w:t xml:space="preserve">почти не дают побочных эффектов и не вызывают привыкания. </w:t>
      </w:r>
    </w:p>
    <w:p w:rsidR="009E40D1" w:rsidRPr="0092052E" w:rsidRDefault="009E40D1" w:rsidP="009E40D1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 w:val="24"/>
          <w:szCs w:val="21"/>
          <w:lang w:eastAsia="ru-RU"/>
        </w:rPr>
      </w:pPr>
    </w:p>
    <w:p w:rsidR="009E40D1" w:rsidRDefault="00AE755B" w:rsidP="009E40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2) </w:t>
      </w:r>
      <w:r w:rsidR="009E40D1" w:rsidRPr="000A2E38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Анализ ассортимента</w:t>
      </w:r>
      <w:r w:rsidR="009E40D1" w:rsidRPr="000A2E38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9E40D1">
        <w:rPr>
          <w:rFonts w:ascii="Times New Roman" w:eastAsia="Times New Roman" w:hAnsi="Times New Roman"/>
          <w:b/>
          <w:bCs/>
          <w:sz w:val="28"/>
          <w:szCs w:val="28"/>
        </w:rPr>
        <w:t>гомеопатических</w:t>
      </w:r>
      <w:r w:rsidR="009E40D1" w:rsidRPr="000A2E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E40D1">
        <w:rPr>
          <w:rFonts w:ascii="Times New Roman" w:eastAsia="Times New Roman" w:hAnsi="Times New Roman"/>
          <w:b/>
          <w:bCs/>
          <w:sz w:val="28"/>
          <w:szCs w:val="28"/>
        </w:rPr>
        <w:t>лекарственных препаратов</w:t>
      </w:r>
    </w:p>
    <w:p w:rsidR="009E40D1" w:rsidRDefault="009E40D1" w:rsidP="009E40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544"/>
        <w:gridCol w:w="3402"/>
      </w:tblGrid>
      <w:tr w:rsidR="009E40D1" w:rsidRPr="009E40D1" w:rsidTr="009E40D1">
        <w:trPr>
          <w:trHeight w:val="336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544" w:type="dxa"/>
          </w:tcPr>
          <w:p w:rsidR="009E40D1" w:rsidRPr="00295909" w:rsidRDefault="009E40D1" w:rsidP="009E40D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Стодаль</w:t>
            </w:r>
            <w:proofErr w:type="spellEnd"/>
          </w:p>
        </w:tc>
        <w:tc>
          <w:tcPr>
            <w:tcW w:w="3402" w:type="dxa"/>
          </w:tcPr>
          <w:p w:rsidR="009E40D1" w:rsidRPr="00295909" w:rsidRDefault="009E40D1" w:rsidP="009E40D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Оцил</w:t>
            </w:r>
            <w:r w:rsidRPr="0029590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л</w:t>
            </w:r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ококцинум</w:t>
            </w:r>
            <w:proofErr w:type="spellEnd"/>
          </w:p>
        </w:tc>
      </w:tr>
      <w:tr w:rsidR="009E40D1" w:rsidRPr="009E40D1" w:rsidTr="009E40D1">
        <w:trPr>
          <w:trHeight w:val="336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9590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Форма выпуска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Сироп гомеопатический</w:t>
            </w: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Гранулы гомеопатические</w:t>
            </w:r>
          </w:p>
        </w:tc>
      </w:tr>
      <w:tr w:rsidR="009E40D1" w:rsidRPr="009E40D1" w:rsidTr="009E40D1">
        <w:trPr>
          <w:trHeight w:val="336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9590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40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9E40D1" w:rsidRPr="009E40D1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40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E40D1" w:rsidRPr="009E40D1" w:rsidTr="009E40D1">
        <w:trPr>
          <w:trHeight w:val="1513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флаконы 200 мл</w:t>
            </w:r>
          </w:p>
        </w:tc>
        <w:tc>
          <w:tcPr>
            <w:tcW w:w="3402" w:type="dxa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г (1 доза) - тубы (12 шт.) </w:t>
            </w:r>
          </w:p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г (1 доза) - тубы (30 шт.) </w:t>
            </w:r>
          </w:p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 (1 доза) - тубы (6 шт.)</w:t>
            </w:r>
          </w:p>
        </w:tc>
      </w:tr>
      <w:tr w:rsidR="009E40D1" w:rsidRPr="009E40D1" w:rsidTr="009E40D1">
        <w:trPr>
          <w:trHeight w:val="452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Фармако-терапевтическая</w:t>
            </w:r>
            <w:proofErr w:type="spellEnd"/>
            <w:proofErr w:type="gramEnd"/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3544" w:type="dxa"/>
          </w:tcPr>
          <w:p w:rsidR="009E40D1" w:rsidRPr="009E40D1" w:rsidRDefault="00295909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Гомеопатическое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ср-</w:t>
            </w:r>
            <w:r w:rsidR="009E40D1" w:rsidRPr="009E40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</w:p>
        </w:tc>
        <w:tc>
          <w:tcPr>
            <w:tcW w:w="3402" w:type="dxa"/>
          </w:tcPr>
          <w:p w:rsidR="009E40D1" w:rsidRPr="009E40D1" w:rsidRDefault="00295909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Гомеопатическое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ср-</w:t>
            </w:r>
            <w:r w:rsidR="009E40D1" w:rsidRPr="009E40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</w:p>
        </w:tc>
      </w:tr>
      <w:tr w:rsidR="009E40D1" w:rsidRPr="009E40D1" w:rsidTr="009E40D1">
        <w:trPr>
          <w:trHeight w:val="871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Показания к применению</w:t>
            </w:r>
          </w:p>
        </w:tc>
        <w:tc>
          <w:tcPr>
            <w:tcW w:w="3544" w:type="dxa"/>
          </w:tcPr>
          <w:p w:rsidR="009E40D1" w:rsidRPr="009E40D1" w:rsidRDefault="009E40D1" w:rsidP="0029590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Симптоматическое лечение кашля различной этиологии.</w:t>
            </w:r>
          </w:p>
        </w:tc>
        <w:tc>
          <w:tcPr>
            <w:tcW w:w="3402" w:type="dxa"/>
          </w:tcPr>
          <w:p w:rsidR="00295909" w:rsidRDefault="009E40D1" w:rsidP="00295909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Грипп л</w:t>
            </w:r>
            <w:r w:rsidR="002959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егкой и средней степени тяжести</w:t>
            </w: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40D1" w:rsidRPr="009E40D1" w:rsidRDefault="009E40D1" w:rsidP="00295909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ОРВИ</w:t>
            </w:r>
          </w:p>
        </w:tc>
      </w:tr>
      <w:tr w:rsidR="009E40D1" w:rsidRPr="009E40D1" w:rsidTr="009E40D1">
        <w:trPr>
          <w:trHeight w:val="1599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Способ применения и режим дозирования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color w:val="000000"/>
                <w:sz w:val="28"/>
                <w:szCs w:val="28"/>
              </w:rPr>
              <w:t>Препарат принимают внутрь.</w:t>
            </w:r>
          </w:p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bCs/>
                <w:color w:val="000000"/>
                <w:sz w:val="28"/>
                <w:szCs w:val="28"/>
              </w:rPr>
              <w:t>Взрослым</w:t>
            </w:r>
            <w:r w:rsidRPr="009E40D1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9E40D1">
              <w:rPr>
                <w:color w:val="000000"/>
                <w:sz w:val="28"/>
                <w:szCs w:val="28"/>
              </w:rPr>
              <w:t> по 15 мл с помощью мерного колпачка 3-5 раза/</w:t>
            </w:r>
            <w:proofErr w:type="spellStart"/>
            <w:r w:rsidRPr="009E40D1">
              <w:rPr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9E40D1" w:rsidRPr="009E40D1" w:rsidRDefault="00295909" w:rsidP="00295909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ЛП</w:t>
            </w:r>
            <w:r w:rsidR="009E40D1"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принимают внутрь, за 15 мин до приема пищи или час спустя. Следует положить под яз </w:t>
            </w:r>
            <w:r w:rsidR="009E40D1"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содержимое тубы и держать до полного растворения.</w:t>
            </w:r>
          </w:p>
        </w:tc>
      </w:tr>
      <w:tr w:rsidR="009E40D1" w:rsidRPr="009E40D1" w:rsidTr="009E40D1">
        <w:trPr>
          <w:trHeight w:val="375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Условия хранения</w:t>
            </w:r>
          </w:p>
        </w:tc>
        <w:tc>
          <w:tcPr>
            <w:tcW w:w="3544" w:type="dxa"/>
          </w:tcPr>
          <w:p w:rsidR="009E40D1" w:rsidRPr="005D0E33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0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Препарат следует хранить в недоступном для детей месте при температуре не выше 25°С.</w:t>
            </w:r>
          </w:p>
          <w:p w:rsidR="009E40D1" w:rsidRPr="009E40D1" w:rsidRDefault="009E40D1" w:rsidP="009E40D1">
            <w:pPr>
              <w:pStyle w:val="a5"/>
              <w:spacing w:before="0" w:beforeAutospacing="0"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  <w:tr w:rsidR="009E40D1" w:rsidRPr="009E40D1" w:rsidTr="009E40D1">
        <w:trPr>
          <w:trHeight w:val="553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Побочное действие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FFFFFF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40D1" w:rsidRPr="009E40D1" w:rsidTr="009E40D1">
        <w:trPr>
          <w:trHeight w:val="405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Противопоказания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color w:val="000000"/>
                <w:sz w:val="28"/>
                <w:szCs w:val="28"/>
              </w:rPr>
              <w:t>повышенная индивидуальная чувствительность к отдельным компонентам препарата.</w:t>
            </w:r>
          </w:p>
        </w:tc>
        <w:tc>
          <w:tcPr>
            <w:tcW w:w="3402" w:type="dxa"/>
            <w:shd w:val="clear" w:color="auto" w:fill="FFFFFF"/>
          </w:tcPr>
          <w:p w:rsidR="009E40D1" w:rsidRPr="005D0E33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0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повышенная индивидуальная</w:t>
            </w: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D0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непереносимость лактозы, дефицит лакт</w:t>
            </w: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озы</w:t>
            </w:r>
          </w:p>
          <w:p w:rsidR="009E40D1" w:rsidRPr="009E40D1" w:rsidRDefault="009E40D1" w:rsidP="009E40D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D1" w:rsidRPr="009E40D1" w:rsidTr="009E40D1">
        <w:trPr>
          <w:trHeight w:val="527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Отпуск из аптек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color w:val="000000"/>
                <w:sz w:val="28"/>
                <w:szCs w:val="28"/>
              </w:rPr>
              <w:t>Без рецепта</w:t>
            </w:r>
          </w:p>
        </w:tc>
        <w:tc>
          <w:tcPr>
            <w:tcW w:w="3402" w:type="dxa"/>
            <w:shd w:val="clear" w:color="auto" w:fill="FFFFFF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рецепта</w:t>
            </w:r>
          </w:p>
        </w:tc>
      </w:tr>
      <w:tr w:rsidR="009E40D1" w:rsidRPr="009E40D1" w:rsidTr="009E40D1">
        <w:trPr>
          <w:trHeight w:val="527"/>
        </w:trPr>
        <w:tc>
          <w:tcPr>
            <w:tcW w:w="3403" w:type="dxa"/>
          </w:tcPr>
          <w:p w:rsidR="009E40D1" w:rsidRPr="00295909" w:rsidRDefault="009E40D1" w:rsidP="009E4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9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3544" w:type="dxa"/>
          </w:tcPr>
          <w:p w:rsidR="009E40D1" w:rsidRPr="009E40D1" w:rsidRDefault="009E40D1" w:rsidP="009E40D1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40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402" w:type="dxa"/>
            <w:shd w:val="clear" w:color="auto" w:fill="FFFFFF"/>
          </w:tcPr>
          <w:p w:rsidR="009E40D1" w:rsidRPr="009E40D1" w:rsidRDefault="009E40D1" w:rsidP="009E40D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</w:tbl>
    <w:p w:rsidR="009E40D1" w:rsidRDefault="009E40D1" w:rsidP="009E40D1">
      <w:pPr>
        <w:spacing w:after="0" w:line="240" w:lineRule="auto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AE755B" w:rsidRDefault="00AE755B" w:rsidP="00AE755B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E755B" w:rsidRDefault="00AE755B" w:rsidP="00AE755B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  <w:r w:rsidRPr="00FA5AB3">
        <w:rPr>
          <w:b/>
          <w:color w:val="000000" w:themeColor="text1"/>
          <w:sz w:val="28"/>
          <w:szCs w:val="28"/>
        </w:rPr>
        <w:t>3.Хранение</w:t>
      </w:r>
      <w:r>
        <w:rPr>
          <w:b/>
          <w:color w:val="000000" w:themeColor="text1"/>
          <w:sz w:val="28"/>
          <w:szCs w:val="28"/>
        </w:rPr>
        <w:t xml:space="preserve"> и реализация гомеопатических лекарственных средств.</w:t>
      </w:r>
    </w:p>
    <w:p w:rsidR="009E40D1" w:rsidRPr="00CC204E" w:rsidRDefault="009E40D1" w:rsidP="009E40D1">
      <w:pPr>
        <w:spacing w:after="0" w:line="240" w:lineRule="auto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Pr="00AE755B" w:rsidRDefault="009E40D1" w:rsidP="00AE755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 w:rsidRPr="00AE755B">
        <w:rPr>
          <w:rFonts w:ascii="Times New Roman" w:hAnsi="Times New Roman"/>
          <w:color w:val="000000"/>
          <w:sz w:val="28"/>
        </w:rPr>
        <w:t>Ассортимент гомеопатических лекарственных сре</w:t>
      </w:r>
      <w:proofErr w:type="gramStart"/>
      <w:r w:rsidRPr="00AE755B">
        <w:rPr>
          <w:rFonts w:ascii="Times New Roman" w:hAnsi="Times New Roman"/>
          <w:color w:val="000000"/>
          <w:sz w:val="28"/>
        </w:rPr>
        <w:t>дств вкл</w:t>
      </w:r>
      <w:proofErr w:type="gramEnd"/>
      <w:r w:rsidRPr="00AE755B">
        <w:rPr>
          <w:rFonts w:ascii="Times New Roman" w:hAnsi="Times New Roman"/>
          <w:color w:val="000000"/>
          <w:sz w:val="28"/>
        </w:rPr>
        <w:t xml:space="preserve">ючает две категории препаратов: </w:t>
      </w:r>
    </w:p>
    <w:p w:rsidR="009E40D1" w:rsidRDefault="009E40D1" w:rsidP="009E40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231C87">
        <w:rPr>
          <w:rFonts w:ascii="Times New Roman" w:hAnsi="Times New Roman"/>
          <w:color w:val="000000"/>
          <w:sz w:val="28"/>
        </w:rPr>
        <w:t>1) мон</w:t>
      </w:r>
      <w:proofErr w:type="gramStart"/>
      <w:r w:rsidRPr="00231C87">
        <w:rPr>
          <w:rFonts w:ascii="Times New Roman" w:hAnsi="Times New Roman"/>
          <w:color w:val="000000"/>
          <w:sz w:val="28"/>
        </w:rPr>
        <w:t>о(</w:t>
      </w:r>
      <w:proofErr w:type="gramEnd"/>
      <w:r w:rsidRPr="00231C87">
        <w:rPr>
          <w:rFonts w:ascii="Times New Roman" w:hAnsi="Times New Roman"/>
          <w:color w:val="000000"/>
          <w:sz w:val="28"/>
        </w:rPr>
        <w:t xml:space="preserve">одно) компонентные; </w:t>
      </w:r>
    </w:p>
    <w:p w:rsidR="009E40D1" w:rsidRDefault="009E40D1" w:rsidP="009E40D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231C87">
        <w:rPr>
          <w:rFonts w:ascii="Times New Roman" w:hAnsi="Times New Roman"/>
          <w:color w:val="000000"/>
          <w:sz w:val="28"/>
        </w:rPr>
        <w:t>2) комплексные</w:t>
      </w:r>
    </w:p>
    <w:p w:rsidR="009E40D1" w:rsidRDefault="009E40D1" w:rsidP="009E40D1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FB5C36">
        <w:rPr>
          <w:rFonts w:ascii="Times New Roman" w:hAnsi="Times New Roman"/>
          <w:sz w:val="28"/>
        </w:rPr>
        <w:t xml:space="preserve">Гомеопатические препараты выпускаются в лекарственных формах: гранулы, таблетки </w:t>
      </w:r>
      <w:proofErr w:type="spellStart"/>
      <w:r w:rsidRPr="00FB5C36">
        <w:rPr>
          <w:rFonts w:ascii="Times New Roman" w:hAnsi="Times New Roman"/>
          <w:sz w:val="28"/>
        </w:rPr>
        <w:t>сублингвальные</w:t>
      </w:r>
      <w:proofErr w:type="spellEnd"/>
      <w:r w:rsidRPr="00FB5C36">
        <w:rPr>
          <w:rFonts w:ascii="Times New Roman" w:hAnsi="Times New Roman"/>
          <w:sz w:val="28"/>
        </w:rPr>
        <w:t xml:space="preserve">, суппозитории, мази, кремы, гели, капли для внутреннего применения, растворы для инъекций, драже для рассасывания, растворы оральные в ампулах, пластыри, настойки, сиропы, масло, карамель, </w:t>
      </w:r>
      <w:proofErr w:type="spellStart"/>
      <w:r w:rsidRPr="00FB5C36">
        <w:rPr>
          <w:rFonts w:ascii="Times New Roman" w:hAnsi="Times New Roman"/>
          <w:sz w:val="28"/>
        </w:rPr>
        <w:t>спрей</w:t>
      </w:r>
      <w:proofErr w:type="spellEnd"/>
      <w:r w:rsidRPr="00FB5C36">
        <w:rPr>
          <w:rFonts w:ascii="Times New Roman" w:hAnsi="Times New Roman"/>
          <w:sz w:val="28"/>
        </w:rPr>
        <w:t xml:space="preserve"> назальный</w:t>
      </w:r>
      <w:r>
        <w:rPr>
          <w:rFonts w:ascii="Times New Roman" w:hAnsi="Times New Roman"/>
          <w:sz w:val="28"/>
        </w:rPr>
        <w:t>.</w:t>
      </w:r>
      <w:proofErr w:type="gramEnd"/>
    </w:p>
    <w:p w:rsidR="00AE755B" w:rsidRDefault="00AE755B" w:rsidP="009E40D1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E755B" w:rsidRDefault="00AE755B" w:rsidP="00AE7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A98">
        <w:rPr>
          <w:rFonts w:ascii="Times New Roman" w:hAnsi="Times New Roman"/>
          <w:sz w:val="28"/>
          <w:szCs w:val="28"/>
        </w:rPr>
        <w:t>Хранение гомеопатических лекарственных средств производится в соответствии с указаниями на упаковке (инструкциями по применению)</w:t>
      </w:r>
      <w:r>
        <w:rPr>
          <w:rFonts w:ascii="Times New Roman" w:hAnsi="Times New Roman"/>
          <w:sz w:val="28"/>
          <w:szCs w:val="28"/>
        </w:rPr>
        <w:t xml:space="preserve">, избегая воздействия прямых солнечных лучей, повышенной температуры и влажности, вдали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пахучих ЛС. В аптеке – размещены на витрине, в соответствии с требованиями хранения. </w:t>
      </w:r>
    </w:p>
    <w:p w:rsidR="00AE755B" w:rsidRPr="00BC0A98" w:rsidRDefault="00AE755B" w:rsidP="00AE75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5B" w:rsidRDefault="00AE755B" w:rsidP="00AE755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FB4">
        <w:rPr>
          <w:rFonts w:ascii="Times New Roman" w:hAnsi="Times New Roman"/>
          <w:sz w:val="28"/>
          <w:szCs w:val="28"/>
        </w:rPr>
        <w:t>В соответствии с прика</w:t>
      </w:r>
      <w:r>
        <w:rPr>
          <w:rFonts w:ascii="Times New Roman" w:hAnsi="Times New Roman"/>
          <w:sz w:val="28"/>
          <w:szCs w:val="28"/>
        </w:rPr>
        <w:t xml:space="preserve">зом М3 РФ </w:t>
      </w:r>
      <w:r w:rsidRPr="003B7F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FB4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 xml:space="preserve"> - гомеопатические ЛС</w:t>
      </w:r>
      <w:r w:rsidRPr="003B7FB4">
        <w:rPr>
          <w:rFonts w:ascii="Times New Roman" w:hAnsi="Times New Roman"/>
          <w:sz w:val="28"/>
          <w:szCs w:val="28"/>
        </w:rPr>
        <w:t xml:space="preserve"> отпускаются без рецепта врача за исключение</w:t>
      </w:r>
      <w:r>
        <w:rPr>
          <w:rFonts w:ascii="Times New Roman" w:hAnsi="Times New Roman"/>
          <w:sz w:val="28"/>
          <w:szCs w:val="28"/>
        </w:rPr>
        <w:t>м инъекционных форм</w:t>
      </w:r>
      <w:r w:rsidRPr="003B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B7FB4">
        <w:rPr>
          <w:rFonts w:ascii="Times New Roman" w:hAnsi="Times New Roman"/>
          <w:sz w:val="28"/>
          <w:szCs w:val="28"/>
        </w:rPr>
        <w:t xml:space="preserve">на что есть особое </w:t>
      </w:r>
      <w:r w:rsidRPr="003B7FB4">
        <w:rPr>
          <w:rFonts w:ascii="Times New Roman" w:hAnsi="Times New Roman"/>
          <w:sz w:val="28"/>
          <w:szCs w:val="28"/>
        </w:rPr>
        <w:lastRenderedPageBreak/>
        <w:t>указание в соответствующих инструкция</w:t>
      </w:r>
      <w:r>
        <w:rPr>
          <w:rFonts w:ascii="Times New Roman" w:hAnsi="Times New Roman"/>
          <w:sz w:val="28"/>
          <w:szCs w:val="28"/>
        </w:rPr>
        <w:t xml:space="preserve">х по применению этих препаратов) и </w:t>
      </w:r>
      <w:proofErr w:type="spellStart"/>
      <w:r>
        <w:rPr>
          <w:rFonts w:ascii="Times New Roman" w:hAnsi="Times New Roman"/>
          <w:sz w:val="28"/>
          <w:szCs w:val="28"/>
        </w:rPr>
        <w:t>экстемпоральных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ЛС.</w:t>
      </w:r>
    </w:p>
    <w:p w:rsidR="00AE755B" w:rsidRDefault="00AE755B" w:rsidP="00AE755B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AE755B" w:rsidRPr="00FA5AB3" w:rsidRDefault="00AE755B" w:rsidP="00AE755B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9E40D1" w:rsidRDefault="009E40D1" w:rsidP="001132DE">
      <w:pPr>
        <w:spacing w:after="0" w:line="240" w:lineRule="auto"/>
        <w:ind w:left="1260"/>
        <w:jc w:val="both"/>
        <w:rPr>
          <w:rFonts w:ascii="Verdana" w:eastAsia="Times New Roman" w:hAnsi="Verdana"/>
          <w:color w:val="000000"/>
          <w:szCs w:val="21"/>
          <w:lang w:eastAsia="ru-RU"/>
        </w:rPr>
      </w:pPr>
    </w:p>
    <w:p w:rsidR="009E40D1" w:rsidRPr="001E4526" w:rsidRDefault="001E4526" w:rsidP="001132DE">
      <w:pPr>
        <w:spacing w:after="0" w:line="240" w:lineRule="auto"/>
        <w:ind w:left="1260"/>
        <w:jc w:val="both"/>
        <w:rPr>
          <w:rFonts w:ascii="Times New Roman" w:eastAsia="Times New Roman" w:hAnsi="Times New Roman"/>
          <w:b/>
          <w:i/>
          <w:color w:val="FF0000"/>
          <w:sz w:val="36"/>
          <w:szCs w:val="21"/>
          <w:lang w:eastAsia="ru-RU"/>
        </w:rPr>
      </w:pPr>
      <w:r w:rsidRPr="001E4526">
        <w:rPr>
          <w:rFonts w:ascii="Times New Roman" w:eastAsia="Times New Roman" w:hAnsi="Times New Roman"/>
          <w:b/>
          <w:i/>
          <w:color w:val="FF0000"/>
          <w:sz w:val="36"/>
          <w:szCs w:val="21"/>
          <w:lang w:eastAsia="ru-RU"/>
        </w:rPr>
        <w:t>5</w:t>
      </w:r>
    </w:p>
    <w:p w:rsidR="001132DE" w:rsidRPr="00CC204E" w:rsidRDefault="001132DE" w:rsidP="001132DE">
      <w:pPr>
        <w:ind w:firstLine="708"/>
        <w:jc w:val="both"/>
        <w:rPr>
          <w:rFonts w:ascii="Times New Roman" w:hAnsi="Times New Roman"/>
          <w:b/>
          <w:color w:val="000000"/>
          <w:sz w:val="32"/>
          <w:szCs w:val="21"/>
          <w:lang w:eastAsia="ru-RU"/>
        </w:rPr>
      </w:pPr>
    </w:p>
    <w:p w:rsidR="001132DE" w:rsidRPr="00E84AD5" w:rsidRDefault="001132DE" w:rsidP="001132D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8E25B1" w:rsidRPr="00D608A4" w:rsidRDefault="008E25B1" w:rsidP="00D608A4">
      <w:pPr>
        <w:ind w:firstLine="360"/>
        <w:rPr>
          <w:rFonts w:ascii="Times New Roman" w:hAnsi="Times New Roman"/>
          <w:sz w:val="28"/>
        </w:rPr>
      </w:pPr>
    </w:p>
    <w:sectPr w:rsidR="008E25B1" w:rsidRPr="00D608A4" w:rsidSect="0023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F1"/>
    <w:multiLevelType w:val="hybridMultilevel"/>
    <w:tmpl w:val="E1AC3D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765FA"/>
    <w:multiLevelType w:val="hybridMultilevel"/>
    <w:tmpl w:val="9184E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30E"/>
    <w:multiLevelType w:val="hybridMultilevel"/>
    <w:tmpl w:val="3FC2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7FE"/>
    <w:multiLevelType w:val="hybridMultilevel"/>
    <w:tmpl w:val="6ECA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19E"/>
    <w:multiLevelType w:val="hybridMultilevel"/>
    <w:tmpl w:val="D452F3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D6564C"/>
    <w:multiLevelType w:val="hybridMultilevel"/>
    <w:tmpl w:val="CB78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4E96"/>
    <w:multiLevelType w:val="hybridMultilevel"/>
    <w:tmpl w:val="B31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4DD"/>
    <w:multiLevelType w:val="hybridMultilevel"/>
    <w:tmpl w:val="132A8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EC5"/>
    <w:multiLevelType w:val="hybridMultilevel"/>
    <w:tmpl w:val="5D6E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3EC4"/>
    <w:multiLevelType w:val="hybridMultilevel"/>
    <w:tmpl w:val="2968BE4C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3CD"/>
    <w:multiLevelType w:val="hybridMultilevel"/>
    <w:tmpl w:val="F5EA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0163"/>
    <w:multiLevelType w:val="hybridMultilevel"/>
    <w:tmpl w:val="9C0E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283"/>
    <w:multiLevelType w:val="hybridMultilevel"/>
    <w:tmpl w:val="A114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4958"/>
    <w:multiLevelType w:val="hybridMultilevel"/>
    <w:tmpl w:val="E54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C3855"/>
    <w:multiLevelType w:val="hybridMultilevel"/>
    <w:tmpl w:val="99FE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F6EBE"/>
    <w:multiLevelType w:val="hybridMultilevel"/>
    <w:tmpl w:val="2CB2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05BFE"/>
    <w:multiLevelType w:val="hybridMultilevel"/>
    <w:tmpl w:val="B626613E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6FF"/>
    <w:multiLevelType w:val="hybridMultilevel"/>
    <w:tmpl w:val="2C62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62C36"/>
    <w:multiLevelType w:val="hybridMultilevel"/>
    <w:tmpl w:val="AC2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11099"/>
    <w:multiLevelType w:val="hybridMultilevel"/>
    <w:tmpl w:val="430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45FE8"/>
    <w:multiLevelType w:val="hybridMultilevel"/>
    <w:tmpl w:val="D6A4EB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5E6EA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13A34"/>
    <w:multiLevelType w:val="hybridMultilevel"/>
    <w:tmpl w:val="97CA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A1580"/>
    <w:multiLevelType w:val="hybridMultilevel"/>
    <w:tmpl w:val="AD564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54BC0"/>
    <w:multiLevelType w:val="hybridMultilevel"/>
    <w:tmpl w:val="913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049E2"/>
    <w:multiLevelType w:val="hybridMultilevel"/>
    <w:tmpl w:val="3606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6165"/>
    <w:multiLevelType w:val="hybridMultilevel"/>
    <w:tmpl w:val="E248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74349"/>
    <w:multiLevelType w:val="hybridMultilevel"/>
    <w:tmpl w:val="9CD8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42A"/>
    <w:multiLevelType w:val="hybridMultilevel"/>
    <w:tmpl w:val="29C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031EA"/>
    <w:multiLevelType w:val="hybridMultilevel"/>
    <w:tmpl w:val="42343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800A8"/>
    <w:multiLevelType w:val="hybridMultilevel"/>
    <w:tmpl w:val="C73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672CE"/>
    <w:multiLevelType w:val="hybridMultilevel"/>
    <w:tmpl w:val="E604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26"/>
  </w:num>
  <w:num w:numId="12">
    <w:abstractNumId w:val="11"/>
  </w:num>
  <w:num w:numId="13">
    <w:abstractNumId w:val="21"/>
  </w:num>
  <w:num w:numId="14">
    <w:abstractNumId w:val="25"/>
  </w:num>
  <w:num w:numId="15">
    <w:abstractNumId w:val="30"/>
  </w:num>
  <w:num w:numId="16">
    <w:abstractNumId w:val="14"/>
  </w:num>
  <w:num w:numId="17">
    <w:abstractNumId w:val="20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23"/>
  </w:num>
  <w:num w:numId="24">
    <w:abstractNumId w:val="18"/>
  </w:num>
  <w:num w:numId="25">
    <w:abstractNumId w:val="24"/>
  </w:num>
  <w:num w:numId="26">
    <w:abstractNumId w:val="0"/>
  </w:num>
  <w:num w:numId="27">
    <w:abstractNumId w:val="22"/>
  </w:num>
  <w:num w:numId="28">
    <w:abstractNumId w:val="9"/>
  </w:num>
  <w:num w:numId="29">
    <w:abstractNumId w:val="3"/>
  </w:num>
  <w:num w:numId="30">
    <w:abstractNumId w:val="2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08A4"/>
    <w:rsid w:val="001132DE"/>
    <w:rsid w:val="001C2115"/>
    <w:rsid w:val="001C5F41"/>
    <w:rsid w:val="001E4526"/>
    <w:rsid w:val="00231A6E"/>
    <w:rsid w:val="002716F0"/>
    <w:rsid w:val="00295909"/>
    <w:rsid w:val="002A13CF"/>
    <w:rsid w:val="002D12CE"/>
    <w:rsid w:val="003D05BC"/>
    <w:rsid w:val="003E396B"/>
    <w:rsid w:val="003E6552"/>
    <w:rsid w:val="00416C7D"/>
    <w:rsid w:val="00450E6B"/>
    <w:rsid w:val="006271A4"/>
    <w:rsid w:val="0066146E"/>
    <w:rsid w:val="00694102"/>
    <w:rsid w:val="006B70FD"/>
    <w:rsid w:val="007922AA"/>
    <w:rsid w:val="007B0BAD"/>
    <w:rsid w:val="0089157D"/>
    <w:rsid w:val="008E25B1"/>
    <w:rsid w:val="00990B07"/>
    <w:rsid w:val="009D042F"/>
    <w:rsid w:val="009E40D1"/>
    <w:rsid w:val="00A22158"/>
    <w:rsid w:val="00AA0A2B"/>
    <w:rsid w:val="00AA1306"/>
    <w:rsid w:val="00AA5195"/>
    <w:rsid w:val="00AE3809"/>
    <w:rsid w:val="00AE4FB1"/>
    <w:rsid w:val="00AE755B"/>
    <w:rsid w:val="00BE4264"/>
    <w:rsid w:val="00CA2F7D"/>
    <w:rsid w:val="00D50BB3"/>
    <w:rsid w:val="00D608A4"/>
    <w:rsid w:val="00D61422"/>
    <w:rsid w:val="00EA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A4"/>
    <w:pPr>
      <w:ind w:left="720"/>
      <w:contextualSpacing/>
    </w:pPr>
  </w:style>
  <w:style w:type="paragraph" w:styleId="a4">
    <w:name w:val="No Spacing"/>
    <w:uiPriority w:val="1"/>
    <w:qFormat/>
    <w:rsid w:val="00D608A4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7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-content">
    <w:name w:val="block-content"/>
    <w:basedOn w:val="a0"/>
    <w:rsid w:val="001132DE"/>
  </w:style>
  <w:style w:type="character" w:styleId="a6">
    <w:name w:val="Hyperlink"/>
    <w:basedOn w:val="a0"/>
    <w:uiPriority w:val="99"/>
    <w:semiHidden/>
    <w:unhideWhenUsed/>
    <w:rsid w:val="001132DE"/>
    <w:rPr>
      <w:color w:val="0000FF"/>
      <w:u w:val="single"/>
    </w:rPr>
  </w:style>
  <w:style w:type="paragraph" w:customStyle="1" w:styleId="ConsPlusTitle">
    <w:name w:val="ConsPlusTitle"/>
    <w:uiPriority w:val="99"/>
    <w:rsid w:val="0011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9E40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B70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0F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atc/n01ba02" TargetMode="External"/><Relationship Id="rId13" Type="http://schemas.openxmlformats.org/officeDocument/2006/relationships/hyperlink" Target="https://www.vidal.ru/drugs/pharm-group/5" TargetMode="External"/><Relationship Id="rId18" Type="http://schemas.openxmlformats.org/officeDocument/2006/relationships/hyperlink" Target="https://www.vidal.ru/drugs/molecule/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dal.ru/drugs/molecule/43" TargetMode="External"/><Relationship Id="rId7" Type="http://schemas.openxmlformats.org/officeDocument/2006/relationships/hyperlink" Target="https://www.vidal.ru/drugs/molecule/884" TargetMode="External"/><Relationship Id="rId12" Type="http://schemas.openxmlformats.org/officeDocument/2006/relationships/hyperlink" Target="https://www.vidal.ru/drugs/atc/c01bd01" TargetMode="External"/><Relationship Id="rId17" Type="http://schemas.openxmlformats.org/officeDocument/2006/relationships/hyperlink" Target="https://www.vidal.ru/drugs/atc/r06ae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dal.ru/drugs/pharm-group/813" TargetMode="External"/><Relationship Id="rId20" Type="http://schemas.openxmlformats.org/officeDocument/2006/relationships/hyperlink" Target="https://www.vidal.ru/drugs/atc/j05ab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dal.ru/drugs/atc/m01ae01" TargetMode="External"/><Relationship Id="rId11" Type="http://schemas.openxmlformats.org/officeDocument/2006/relationships/hyperlink" Target="https://www.vidal.ru/drugs/atc/a07b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idal.ru/drugs/atc/s01ec01" TargetMode="External"/><Relationship Id="rId15" Type="http://schemas.openxmlformats.org/officeDocument/2006/relationships/hyperlink" Target="https://www.vidal.ru/drugs/atc/d08a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dal.ru/drugs/atc/a07bc" TargetMode="External"/><Relationship Id="rId19" Type="http://schemas.openxmlformats.org/officeDocument/2006/relationships/hyperlink" Target="https://www.vidal.ru/drugs/atc/d01ac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al.ru/drugs/atc/n05bb01" TargetMode="External"/><Relationship Id="rId14" Type="http://schemas.openxmlformats.org/officeDocument/2006/relationships/hyperlink" Target="https://www.vidal.ru/drugs/atc/n05ch01" TargetMode="External"/><Relationship Id="rId22" Type="http://schemas.openxmlformats.org/officeDocument/2006/relationships/hyperlink" Target="https://www.vidal.ru/drugs/atc/a02ab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Links>
    <vt:vector size="126" baseType="variant">
      <vt:variant>
        <vt:i4>6226003</vt:i4>
      </vt:variant>
      <vt:variant>
        <vt:i4>60</vt:i4>
      </vt:variant>
      <vt:variant>
        <vt:i4>0</vt:i4>
      </vt:variant>
      <vt:variant>
        <vt:i4>5</vt:i4>
      </vt:variant>
      <vt:variant>
        <vt:lpwstr>https://www.vidal.ru/drugs/atc/d08ax</vt:lpwstr>
      </vt:variant>
      <vt:variant>
        <vt:lpwstr/>
      </vt:variant>
      <vt:variant>
        <vt:i4>5570631</vt:i4>
      </vt:variant>
      <vt:variant>
        <vt:i4>57</vt:i4>
      </vt:variant>
      <vt:variant>
        <vt:i4>0</vt:i4>
      </vt:variant>
      <vt:variant>
        <vt:i4>5</vt:i4>
      </vt:variant>
      <vt:variant>
        <vt:lpwstr>https://www.vidal.ru/drugs/molecule/1558</vt:lpwstr>
      </vt:variant>
      <vt:variant>
        <vt:lpwstr/>
      </vt:variant>
      <vt:variant>
        <vt:i4>8323174</vt:i4>
      </vt:variant>
      <vt:variant>
        <vt:i4>54</vt:i4>
      </vt:variant>
      <vt:variant>
        <vt:i4>0</vt:i4>
      </vt:variant>
      <vt:variant>
        <vt:i4>5</vt:i4>
      </vt:variant>
      <vt:variant>
        <vt:lpwstr>https://www.vidal.ru/drugs/atc/a07da03</vt:lpwstr>
      </vt:variant>
      <vt:variant>
        <vt:lpwstr/>
      </vt:variant>
      <vt:variant>
        <vt:i4>7929953</vt:i4>
      </vt:variant>
      <vt:variant>
        <vt:i4>51</vt:i4>
      </vt:variant>
      <vt:variant>
        <vt:i4>0</vt:i4>
      </vt:variant>
      <vt:variant>
        <vt:i4>5</vt:i4>
      </vt:variant>
      <vt:variant>
        <vt:lpwstr>https://www.vidal.ru/drugs/atc/n05ch01</vt:lpwstr>
      </vt:variant>
      <vt:variant>
        <vt:lpwstr/>
      </vt:variant>
      <vt:variant>
        <vt:i4>4718662</vt:i4>
      </vt:variant>
      <vt:variant>
        <vt:i4>48</vt:i4>
      </vt:variant>
      <vt:variant>
        <vt:i4>0</vt:i4>
      </vt:variant>
      <vt:variant>
        <vt:i4>5</vt:i4>
      </vt:variant>
      <vt:variant>
        <vt:lpwstr>https://www.vidal.ru/drugs/pharm-group/5</vt:lpwstr>
      </vt:variant>
      <vt:variant>
        <vt:lpwstr/>
      </vt:variant>
      <vt:variant>
        <vt:i4>8126560</vt:i4>
      </vt:variant>
      <vt:variant>
        <vt:i4>45</vt:i4>
      </vt:variant>
      <vt:variant>
        <vt:i4>0</vt:i4>
      </vt:variant>
      <vt:variant>
        <vt:i4>5</vt:i4>
      </vt:variant>
      <vt:variant>
        <vt:lpwstr>https://www.vidal.ru/drugs/atc/c01bd01</vt:lpwstr>
      </vt:variant>
      <vt:variant>
        <vt:lpwstr/>
      </vt:variant>
      <vt:variant>
        <vt:i4>7929955</vt:i4>
      </vt:variant>
      <vt:variant>
        <vt:i4>42</vt:i4>
      </vt:variant>
      <vt:variant>
        <vt:i4>0</vt:i4>
      </vt:variant>
      <vt:variant>
        <vt:i4>5</vt:i4>
      </vt:variant>
      <vt:variant>
        <vt:lpwstr>https://www.vidal.ru/drugs/atc/a02ab03</vt:lpwstr>
      </vt:variant>
      <vt:variant>
        <vt:lpwstr/>
      </vt:variant>
      <vt:variant>
        <vt:i4>7012471</vt:i4>
      </vt:variant>
      <vt:variant>
        <vt:i4>39</vt:i4>
      </vt:variant>
      <vt:variant>
        <vt:i4>0</vt:i4>
      </vt:variant>
      <vt:variant>
        <vt:i4>5</vt:i4>
      </vt:variant>
      <vt:variant>
        <vt:lpwstr>https://www.vidal.ru/drugs/molecule/43</vt:lpwstr>
      </vt:variant>
      <vt:variant>
        <vt:lpwstr/>
      </vt:variant>
      <vt:variant>
        <vt:i4>5111888</vt:i4>
      </vt:variant>
      <vt:variant>
        <vt:i4>36</vt:i4>
      </vt:variant>
      <vt:variant>
        <vt:i4>0</vt:i4>
      </vt:variant>
      <vt:variant>
        <vt:i4>5</vt:i4>
      </vt:variant>
      <vt:variant>
        <vt:lpwstr>https://www.vidal.ru/drugs/atc/a07bc</vt:lpwstr>
      </vt:variant>
      <vt:variant>
        <vt:lpwstr/>
      </vt:variant>
      <vt:variant>
        <vt:i4>8192098</vt:i4>
      </vt:variant>
      <vt:variant>
        <vt:i4>33</vt:i4>
      </vt:variant>
      <vt:variant>
        <vt:i4>0</vt:i4>
      </vt:variant>
      <vt:variant>
        <vt:i4>5</vt:i4>
      </vt:variant>
      <vt:variant>
        <vt:lpwstr>https://www.vidal.ru/drugs/atc/d01ac10</vt:lpwstr>
      </vt:variant>
      <vt:variant>
        <vt:lpwstr/>
      </vt:variant>
      <vt:variant>
        <vt:i4>6946930</vt:i4>
      </vt:variant>
      <vt:variant>
        <vt:i4>30</vt:i4>
      </vt:variant>
      <vt:variant>
        <vt:i4>0</vt:i4>
      </vt:variant>
      <vt:variant>
        <vt:i4>5</vt:i4>
      </vt:variant>
      <vt:variant>
        <vt:lpwstr>https://www.vidal.ru/drugs/molecule/123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https://www.vidal.ru/drugs/atc/n05bb01</vt:lpwstr>
      </vt:variant>
      <vt:variant>
        <vt:lpwstr/>
      </vt:variant>
      <vt:variant>
        <vt:i4>6881398</vt:i4>
      </vt:variant>
      <vt:variant>
        <vt:i4>24</vt:i4>
      </vt:variant>
      <vt:variant>
        <vt:i4>0</vt:i4>
      </vt:variant>
      <vt:variant>
        <vt:i4>5</vt:i4>
      </vt:variant>
      <vt:variant>
        <vt:lpwstr>https://www.vidal.ru/drugs/molecule/516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https://www.vidal.ru/drugs/atc/j05ab01</vt:lpwstr>
      </vt:variant>
      <vt:variant>
        <vt:lpwstr/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https://www.vidal.ru/drugs/atc/n01ba02</vt:lpwstr>
      </vt:variant>
      <vt:variant>
        <vt:lpwstr/>
      </vt:variant>
      <vt:variant>
        <vt:i4>6291579</vt:i4>
      </vt:variant>
      <vt:variant>
        <vt:i4>15</vt:i4>
      </vt:variant>
      <vt:variant>
        <vt:i4>0</vt:i4>
      </vt:variant>
      <vt:variant>
        <vt:i4>5</vt:i4>
      </vt:variant>
      <vt:variant>
        <vt:lpwstr>https://www.vidal.ru/drugs/molecule/884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https://www.vidal.ru/drugs/atc/c09aa01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https://www.vidal.ru/drugs/atc/m01ae01</vt:lpwstr>
      </vt:variant>
      <vt:variant>
        <vt:lpwstr/>
      </vt:variant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https://www.vidal.ru/drugs/atc/s01ec01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https://www.vidal.ru/drugs/atc/r06ae07</vt:lpwstr>
      </vt:variant>
      <vt:variant>
        <vt:lpwstr/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https://www.vidal.ru/drugs/pharm-group/813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Дешифратор</dc:creator>
  <cp:lastModifiedBy>Ирина</cp:lastModifiedBy>
  <cp:revision>3</cp:revision>
  <dcterms:created xsi:type="dcterms:W3CDTF">2020-05-22T16:15:00Z</dcterms:created>
  <dcterms:modified xsi:type="dcterms:W3CDTF">2020-05-25T08:54:00Z</dcterms:modified>
</cp:coreProperties>
</file>