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Министерства здравоохранения России</w:t>
      </w: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Кафедра поликлинической терапии и семейной медицины с курсом </w:t>
      </w:r>
      <w:proofErr w:type="gramStart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Зав. кафедрой: ДМН, проф. Петрова М.М.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Реферат на тему:</w:t>
      </w:r>
    </w:p>
    <w:p w:rsidR="002F0FA9" w:rsidRPr="00B833DD" w:rsidRDefault="00B833DD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833DD">
        <w:rPr>
          <w:rFonts w:ascii="Times New Roman" w:hAnsi="Times New Roman" w:cs="Times New Roman"/>
          <w:sz w:val="28"/>
          <w:szCs w:val="28"/>
        </w:rPr>
        <w:t>«</w:t>
      </w:r>
      <w:r w:rsidR="00BB0237">
        <w:rPr>
          <w:rFonts w:ascii="Times New Roman" w:hAnsi="Times New Roman" w:cs="Times New Roman"/>
          <w:sz w:val="28"/>
          <w:szCs w:val="28"/>
        </w:rPr>
        <w:t>Язвенная болезнь желудка и двенадцатиперстной кишки</w:t>
      </w:r>
      <w:r w:rsidRPr="00B833DD">
        <w:rPr>
          <w:rFonts w:ascii="Times New Roman" w:hAnsi="Times New Roman" w:cs="Times New Roman"/>
          <w:sz w:val="28"/>
          <w:szCs w:val="28"/>
        </w:rPr>
        <w:t>»</w:t>
      </w:r>
      <w:r w:rsidR="00EA01B4">
        <w:rPr>
          <w:rFonts w:ascii="Times New Roman" w:hAnsi="Times New Roman" w:cs="Times New Roman"/>
          <w:sz w:val="28"/>
          <w:szCs w:val="28"/>
        </w:rPr>
        <w:t>.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A23082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Выполнил: ординатор 2 года,2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10 группы, </w:t>
      </w: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специальности «Общая врачебная практика»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Гринев А.П.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EA093A" w:rsidP="002F0FA9">
      <w:pPr>
        <w:spacing w:after="160"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Красноярск 2023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3F2DA3" w:rsidRDefault="002F0FA9" w:rsidP="002F0FA9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F2DA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Содержание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1.Введение</w:t>
      </w:r>
      <w:r w:rsidR="007462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</w:p>
    <w:p w:rsidR="002F0FA9" w:rsidRPr="002F0FA9" w:rsidRDefault="0074627A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2.Определение</w:t>
      </w:r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этиология, патогенез___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__________________________________________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</w:p>
    <w:p w:rsidR="002F0FA9" w:rsidRPr="001619F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Роль </w:t>
      </w:r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="00BE6E8A" w:rsidRP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pylory</w:t>
      </w:r>
      <w:proofErr w:type="spellEnd"/>
      <w:r w:rsidR="00BE6E8A" w:rsidRP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</w:t>
      </w:r>
      <w:r w:rsidR="007462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</w:t>
      </w:r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BE6E8A" w:rsidRP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</w:t>
      </w:r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Эпидемиология</w:t>
      </w:r>
      <w:r w:rsidR="007462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</w:t>
      </w:r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_______________________________7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  <w:r w:rsidR="001E2A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Кодировка________________________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</w:t>
      </w:r>
      <w:r w:rsid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_______________________________8</w:t>
      </w:r>
    </w:p>
    <w:p w:rsidR="002F0FA9" w:rsidRPr="002F0FA9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 Классификация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</w:p>
    <w:p w:rsidR="002F0FA9" w:rsidRPr="002F0FA9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7.Симптоматика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</w:t>
      </w:r>
    </w:p>
    <w:p w:rsidR="002F0FA9" w:rsidRPr="002F0FA9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8.Лабораторная диагностика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________________________________14</w:t>
      </w:r>
    </w:p>
    <w:p w:rsidR="002F0FA9" w:rsidRDefault="003F2DA3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9. </w:t>
      </w:r>
      <w:r w:rsid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Инструментальная диагностика_______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</w:t>
      </w:r>
      <w:r w:rsid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</w:t>
      </w:r>
    </w:p>
    <w:p w:rsidR="003F2DA3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10.Дифференциальная диагностика____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</w:p>
    <w:p w:rsidR="001619F9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11.Лечение__________________________________________________________________19</w:t>
      </w:r>
    </w:p>
    <w:p w:rsidR="001619F9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12. Медикаментозная терапия__________________________________________________20</w:t>
      </w:r>
    </w:p>
    <w:p w:rsidR="001619F9" w:rsidRPr="002F0FA9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13. Выводы_________________________________________________________________25</w:t>
      </w:r>
    </w:p>
    <w:p w:rsidR="002F0FA9" w:rsidRPr="002F0FA9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Список литературы________________________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________________________________25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2F0FA9">
      <w:pPr>
        <w:rPr>
          <w:rFonts w:ascii="Times New Roman" w:hAnsi="Times New Roman" w:cs="Times New Roman"/>
          <w:sz w:val="28"/>
          <w:szCs w:val="28"/>
        </w:rPr>
      </w:pPr>
    </w:p>
    <w:p w:rsidR="0074627A" w:rsidRDefault="0074627A" w:rsidP="002F0FA9">
      <w:pPr>
        <w:rPr>
          <w:rFonts w:ascii="Times New Roman" w:hAnsi="Times New Roman" w:cs="Times New Roman"/>
          <w:sz w:val="28"/>
          <w:szCs w:val="28"/>
        </w:rPr>
      </w:pPr>
    </w:p>
    <w:p w:rsidR="00BB0237" w:rsidRDefault="00BB0237" w:rsidP="00BE6E8A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3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B0237" w:rsidRDefault="00BB0237" w:rsidP="00BB023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болезни желудочно-кишечного тракта занимают одну из ведущих ролей в практике врача общей практики, работающего в сельской местности, наряду с заболеваниями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и другими. Вовремя заподозрить и распознать данный вид заболевания, является одна из главных задач доктора. Язвенная болезнь чревата </w:t>
      </w:r>
      <w:r w:rsidR="00060C22">
        <w:rPr>
          <w:rFonts w:ascii="Times New Roman" w:hAnsi="Times New Roman" w:cs="Times New Roman"/>
          <w:sz w:val="28"/>
          <w:szCs w:val="28"/>
        </w:rPr>
        <w:t>многими</w:t>
      </w:r>
      <w:r>
        <w:rPr>
          <w:rFonts w:ascii="Times New Roman" w:hAnsi="Times New Roman" w:cs="Times New Roman"/>
          <w:sz w:val="28"/>
          <w:szCs w:val="28"/>
        </w:rPr>
        <w:t xml:space="preserve"> осложнениями, вплоть до летального исхода. Консервативное лечение, произведенное в надлежащие сроки, является приоритетом в лечении данной патологии. </w:t>
      </w:r>
    </w:p>
    <w:p w:rsidR="00060C22" w:rsidRDefault="00BB0237" w:rsidP="00BB023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Диспансерный учет пациентов с язвенной болезнью позволяет контролировать последствия и </w:t>
      </w:r>
      <w:r w:rsidR="00060C22">
        <w:rPr>
          <w:rFonts w:ascii="Times New Roman" w:hAnsi="Times New Roman" w:cs="Times New Roman"/>
          <w:sz w:val="28"/>
          <w:szCs w:val="28"/>
        </w:rPr>
        <w:t xml:space="preserve">своевременно назначить лечение при обострении. </w:t>
      </w:r>
    </w:p>
    <w:p w:rsidR="00BB0237" w:rsidRDefault="00060C22" w:rsidP="00BB023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проводить </w:t>
      </w:r>
      <w:r w:rsidR="00BB02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по питанию пациентов из группы риска, во избежание осложнений. </w:t>
      </w:r>
      <w:r w:rsidR="00BB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Просвещение населения позволяет предотвратить не только осложнение заболевания, то и свести к минимуму возникновение заболеваний ЖКТ. </w:t>
      </w:r>
    </w:p>
    <w:p w:rsidR="00DF5C35" w:rsidRDefault="00DF5C35" w:rsidP="00BB023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60C22" w:rsidRPr="00DF5C35" w:rsidRDefault="00DF5C35" w:rsidP="001619F9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Определение, этиология, патогенез.</w:t>
      </w:r>
    </w:p>
    <w:p w:rsidR="00DF5C35" w:rsidRDefault="00BB0237" w:rsidP="00DF5C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Язвенная болезнь (ЯБ) – хроническое рецидивирующее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мультифакторное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заболевание, проявляющееся образованием язвенных дефектов в желудке и/или двенадцатиперстной кишке (ДПК) с возможным прогрессирова</w:t>
      </w:r>
      <w:r w:rsidR="00DF5C35">
        <w:rPr>
          <w:rFonts w:ascii="Times New Roman" w:hAnsi="Times New Roman" w:cs="Times New Roman"/>
          <w:sz w:val="28"/>
          <w:szCs w:val="28"/>
        </w:rPr>
        <w:t xml:space="preserve">нием и развитием осложнений. </w:t>
      </w:r>
    </w:p>
    <w:p w:rsidR="00DF5C35" w:rsidRDefault="00BB0237" w:rsidP="00DF5C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 Этиология и патогенез заболевания или состояния (группы заболеваний или состояний)</w:t>
      </w:r>
      <w:r w:rsidR="00DF5C35">
        <w:rPr>
          <w:rFonts w:ascii="Times New Roman" w:hAnsi="Times New Roman" w:cs="Times New Roman"/>
          <w:sz w:val="28"/>
          <w:szCs w:val="28"/>
        </w:rPr>
        <w:t>. Патогенез язвенной болезни</w:t>
      </w:r>
      <w:r w:rsidRPr="00DF5C35">
        <w:rPr>
          <w:rFonts w:ascii="Times New Roman" w:hAnsi="Times New Roman" w:cs="Times New Roman"/>
          <w:sz w:val="28"/>
          <w:szCs w:val="28"/>
        </w:rPr>
        <w:t xml:space="preserve"> сводится к нарушению равновесия между факторами защиты слизистой оболочки желудка и ДПК и агрессивными свойствами желудочного</w:t>
      </w:r>
      <w:r w:rsidR="00DF5C35">
        <w:rPr>
          <w:rFonts w:ascii="Times New Roman" w:hAnsi="Times New Roman" w:cs="Times New Roman"/>
          <w:sz w:val="28"/>
          <w:szCs w:val="28"/>
        </w:rPr>
        <w:t xml:space="preserve"> и дуоденального содержимого</w:t>
      </w:r>
      <w:r w:rsidRPr="00DF5C35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Pr="00DF5C35">
        <w:rPr>
          <w:rFonts w:ascii="Times New Roman" w:hAnsi="Times New Roman" w:cs="Times New Roman"/>
          <w:i/>
          <w:sz w:val="28"/>
          <w:szCs w:val="28"/>
        </w:rPr>
        <w:t>факторами</w:t>
      </w:r>
      <w:r w:rsidRPr="00DF5C35">
        <w:rPr>
          <w:rFonts w:ascii="Times New Roman" w:hAnsi="Times New Roman" w:cs="Times New Roman"/>
          <w:sz w:val="28"/>
          <w:szCs w:val="28"/>
        </w:rPr>
        <w:t xml:space="preserve">, усиливающими агрессивные свойства желудочного и дуоденального содержимого, являются: 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увеличение массы обкладочных клеток желудка (часто наследственно обусловленное); 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гиперпродукция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; нарушение нервной и гуморальной регуляции желудочной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кислотопродукции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выработки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пепсиногена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и пепсина; 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моторики (замедление или ускорение);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 заброс желчи в желудок</w:t>
      </w:r>
      <w:proofErr w:type="gramStart"/>
      <w:r w:rsidRPr="00DF5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5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5C35">
        <w:rPr>
          <w:rFonts w:ascii="Times New Roman" w:hAnsi="Times New Roman" w:cs="Times New Roman"/>
          <w:sz w:val="28"/>
          <w:szCs w:val="28"/>
        </w:rPr>
        <w:t xml:space="preserve">бсеменение слизистой оболочки желудка H.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5C35">
        <w:rPr>
          <w:rFonts w:ascii="Times New Roman" w:hAnsi="Times New Roman" w:cs="Times New Roman"/>
          <w:sz w:val="28"/>
          <w:szCs w:val="28"/>
        </w:rPr>
        <w:t>Основными факторами, ослабляющими защитные свойства слизистой оболочки желудка и ДПК являются</w:t>
      </w:r>
      <w:proofErr w:type="gramEnd"/>
      <w:r w:rsidRPr="00DF5C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>нарушение клеточной регенерации; нарушение местного кровотока (локальная ишемия);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 снижение продукции слизи и интенсивности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муцинообразования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и продукции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сиаловых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кислот;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 снижение продукции бикарбонатов поджелудочной железой;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антродуоденальный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кислотный тормоз;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 уменьшение содержания простагландинов в слизистой оболочке желудка и ДПК;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 прием препаратов групп «Другие анальгетики и антипиретики» и/или «Нестероидные противовоспалительные и противоревматические препараты» (нестероидные противовоспалительные препараты – НПВП). Кроме НПВП причиной развития язвенного процесса является прием анаболических стероидов (стероидных препаратов), противоопухолевых препаратов (цитостатических преп</w:t>
      </w:r>
      <w:r w:rsidR="00DF5C35">
        <w:rPr>
          <w:rFonts w:ascii="Times New Roman" w:hAnsi="Times New Roman" w:cs="Times New Roman"/>
          <w:sz w:val="28"/>
          <w:szCs w:val="28"/>
        </w:rPr>
        <w:t>аратов) и иммунодепрессантов</w:t>
      </w:r>
      <w:r w:rsidRPr="00DF5C35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DF5C35">
        <w:rPr>
          <w:rFonts w:ascii="Times New Roman" w:hAnsi="Times New Roman" w:cs="Times New Roman"/>
          <w:sz w:val="28"/>
          <w:szCs w:val="28"/>
        </w:rPr>
        <w:t>На состояние равновесия между факторами защиты и агрессии также влияют такие</w:t>
      </w:r>
      <w:r>
        <w:t xml:space="preserve"> 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инфекционные агенты, как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albicans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5C35">
        <w:rPr>
          <w:rFonts w:ascii="Times New Roman" w:hAnsi="Times New Roman" w:cs="Times New Roman"/>
          <w:sz w:val="28"/>
          <w:szCs w:val="28"/>
        </w:rPr>
        <w:t>герпес-вирусы</w:t>
      </w:r>
      <w:proofErr w:type="gramEnd"/>
      <w:r w:rsidRPr="00DF5C35">
        <w:rPr>
          <w:rFonts w:ascii="Times New Roman" w:hAnsi="Times New Roman" w:cs="Times New Roman"/>
          <w:sz w:val="28"/>
          <w:szCs w:val="28"/>
        </w:rPr>
        <w:t xml:space="preserve"> (HHV 1 и 2 типа, EBV, CMV). Представители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Prevotella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. в составе бактериальных сообществ могут принимать участие в развитии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патологии</w:t>
      </w:r>
      <w:r w:rsidR="00DF5C35" w:rsidRPr="00DF5C35">
        <w:rPr>
          <w:rFonts w:ascii="Times New Roman" w:hAnsi="Times New Roman" w:cs="Times New Roman"/>
          <w:sz w:val="28"/>
          <w:szCs w:val="28"/>
        </w:rPr>
        <w:t xml:space="preserve">. </w:t>
      </w:r>
      <w:r w:rsidRPr="00DF5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>Большое значение в развитии ЯБ имеет наследственная предрасположенность: при ЯБЖ она составляет 15-40%, а при ЯБДПК она мо</w:t>
      </w:r>
      <w:r w:rsidR="00DF5C35">
        <w:rPr>
          <w:rFonts w:ascii="Times New Roman" w:hAnsi="Times New Roman" w:cs="Times New Roman"/>
          <w:sz w:val="28"/>
          <w:szCs w:val="28"/>
        </w:rPr>
        <w:t>жет достигать 60-80%</w:t>
      </w:r>
      <w:r w:rsidRPr="00DF5C35">
        <w:rPr>
          <w:rFonts w:ascii="Times New Roman" w:hAnsi="Times New Roman" w:cs="Times New Roman"/>
          <w:sz w:val="28"/>
          <w:szCs w:val="28"/>
        </w:rPr>
        <w:t xml:space="preserve">. Наследственно-генетические факторы ассоциированы с увеличением желудочной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кислотопродукции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(генетически детерминированное увеличение массы обкладочных клеток 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секреторного аппарата </w:t>
      </w:r>
      <w:proofErr w:type="gramStart"/>
      <w:r w:rsidRPr="00DF5C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5C3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2F4A" w:rsidRPr="00452F4A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увеличением уровня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пепсиногена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(сывороточного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пепсиногена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I), которое передаётся по аутосомно-доминантному типу; дефектом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слизеобразования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СОЖ и СОДК, проявляющимся в виде дефицита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мукополисахаридов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lastRenderedPageBreak/>
        <w:t>фукогликопротеинов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синдрохондроитинсульфатов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глюкозаминогликанов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>;</w:t>
      </w:r>
    </w:p>
    <w:p w:rsidR="00452F4A" w:rsidRPr="00452F4A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 наличием определенных фенотипических полиморфизмов (группа крови I и II, </w:t>
      </w:r>
      <w:proofErr w:type="gramStart"/>
      <w:r w:rsidRPr="00DF5C35">
        <w:rPr>
          <w:rFonts w:ascii="Times New Roman" w:hAnsi="Times New Roman" w:cs="Times New Roman"/>
          <w:sz w:val="28"/>
          <w:szCs w:val="28"/>
        </w:rPr>
        <w:t>отрицательный</w:t>
      </w:r>
      <w:proofErr w:type="gramEnd"/>
      <w:r w:rsidRPr="00DF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-фактор, определенные виды HLA антигенов); </w:t>
      </w:r>
    </w:p>
    <w:p w:rsidR="00452F4A" w:rsidRPr="00452F4A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>в формировании ЯБ имеет значение полиморфизм генов матриксных металлопротеиназ-1, -3, -9 и тканевого ингибитора металлопротеиназ-3, носительство 607</w:t>
      </w:r>
      <w:proofErr w:type="gramStart"/>
      <w:r w:rsidRPr="00DF5C3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F5C35">
        <w:rPr>
          <w:rFonts w:ascii="Times New Roman" w:hAnsi="Times New Roman" w:cs="Times New Roman"/>
          <w:sz w:val="28"/>
          <w:szCs w:val="28"/>
        </w:rPr>
        <w:t xml:space="preserve"> и -251Т/А-аллелей гена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провоспалительного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IL-8, полиморфизм HLA – (HLA-DQB1*0602, DQB1*0301), особенности строения TLR-9 и TLR-4, бел</w:t>
      </w:r>
      <w:r w:rsidR="00452F4A">
        <w:rPr>
          <w:rFonts w:ascii="Times New Roman" w:hAnsi="Times New Roman" w:cs="Times New Roman"/>
          <w:sz w:val="28"/>
          <w:szCs w:val="28"/>
        </w:rPr>
        <w:t>ка теплового шока 70-2 .</w:t>
      </w:r>
    </w:p>
    <w:p w:rsidR="00452F4A" w:rsidRPr="00452F4A" w:rsidRDefault="00452F4A" w:rsidP="001619F9">
      <w:pPr>
        <w:pStyle w:val="a9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F4A" w:rsidRPr="00452F4A" w:rsidRDefault="00452F4A" w:rsidP="001619F9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H.pylory</w:t>
      </w:r>
      <w:proofErr w:type="spellEnd"/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C35">
        <w:rPr>
          <w:rFonts w:ascii="Times New Roman" w:hAnsi="Times New Roman" w:cs="Times New Roman"/>
          <w:sz w:val="28"/>
          <w:szCs w:val="28"/>
        </w:rPr>
        <w:t>В современной гастроэнтерологии решающая роль в разв</w:t>
      </w:r>
      <w:r w:rsidR="00452F4A">
        <w:rPr>
          <w:rFonts w:ascii="Times New Roman" w:hAnsi="Times New Roman" w:cs="Times New Roman"/>
          <w:sz w:val="28"/>
          <w:szCs w:val="28"/>
        </w:rPr>
        <w:t>итии язвенной болезни</w:t>
      </w:r>
      <w:r w:rsidRPr="00DF5C35">
        <w:rPr>
          <w:rFonts w:ascii="Times New Roman" w:hAnsi="Times New Roman" w:cs="Times New Roman"/>
          <w:sz w:val="28"/>
          <w:szCs w:val="28"/>
        </w:rPr>
        <w:t xml:space="preserve"> отводится микроорганизму H.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>, обнаруженному в 1983 г. австралийскими</w:t>
      </w:r>
      <w:r>
        <w:t xml:space="preserve"> </w:t>
      </w:r>
      <w:r w:rsidRPr="00452F4A">
        <w:rPr>
          <w:rFonts w:ascii="Times New Roman" w:hAnsi="Times New Roman" w:cs="Times New Roman"/>
          <w:sz w:val="28"/>
          <w:szCs w:val="28"/>
        </w:rPr>
        <w:t>учеными Б. Маршаллом (B.</w:t>
      </w:r>
      <w:proofErr w:type="gramEnd"/>
      <w:r w:rsidRPr="00452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) и Дж. Уорреном (J.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Warren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); позднее была доказана роль этой </w:t>
      </w:r>
      <w:proofErr w:type="gramStart"/>
      <w:r w:rsidRPr="00452F4A">
        <w:rPr>
          <w:rFonts w:ascii="Times New Roman" w:hAnsi="Times New Roman" w:cs="Times New Roman"/>
          <w:sz w:val="28"/>
          <w:szCs w:val="28"/>
        </w:rPr>
        <w:t>бактерии</w:t>
      </w:r>
      <w:proofErr w:type="gramEnd"/>
      <w:r w:rsidRPr="00452F4A">
        <w:rPr>
          <w:rFonts w:ascii="Times New Roman" w:hAnsi="Times New Roman" w:cs="Times New Roman"/>
          <w:sz w:val="28"/>
          <w:szCs w:val="28"/>
        </w:rPr>
        <w:t xml:space="preserve"> в том числе и в развитии язвенной болезни. Следует подчеркнуть, что у детей в отличие от взрослых инфицирование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намного реже сопровождается изъязвлением слизистой оболочки желудка и двенадцатиперстной кишки. По данным крупного европейского многоцентрового исследования, у 1233 детей с симптоматической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-инфекцией, ЯБ была диагностирована менее чем у 5% детей до 12 </w:t>
      </w:r>
      <w:r w:rsidR="00452F4A">
        <w:rPr>
          <w:rFonts w:ascii="Times New Roman" w:hAnsi="Times New Roman" w:cs="Times New Roman"/>
          <w:sz w:val="28"/>
          <w:szCs w:val="28"/>
        </w:rPr>
        <w:t>лет и лишь у 10% подростков</w:t>
      </w:r>
      <w:r w:rsidRPr="00452F4A">
        <w:rPr>
          <w:rFonts w:ascii="Times New Roman" w:hAnsi="Times New Roman" w:cs="Times New Roman"/>
          <w:sz w:val="28"/>
          <w:szCs w:val="28"/>
        </w:rPr>
        <w:t xml:space="preserve">. Доказано как прямое повреждающее действие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на слизистую оболочку желудка и ДПК за счет выработки комплекса ферментов (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уреаза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протеазы,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фосфолипазы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цитотоксинов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VacA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CagA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), так и опосредованное повреждение слизистой оболочки за счет высвобождения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лизосомальных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энзимов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фактора некроза опухоли с развитием воспалительных процессов. Развитие в процессе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персистирования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в слизистой и подслизистой оболочках желудка и ДПК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приводит к формированию хронического гастрита и дуоденита с повышением продукции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усиливающего секрецию соляной кислоты. В то же время, избыточное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закисление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ДПК соляной кислотой при относительном дефиците панкреатических бикарбонатов, приводит к поддержанию воспалительного процесса в ДПК (прежде всего в луковице), появлению участков метаплазии слизистой оболочки ДПК с замещением кишечного эпителия на </w:t>
      </w:r>
      <w:r w:rsidRPr="00452F4A">
        <w:rPr>
          <w:rFonts w:ascii="Times New Roman" w:hAnsi="Times New Roman" w:cs="Times New Roman"/>
          <w:sz w:val="28"/>
          <w:szCs w:val="28"/>
        </w:rPr>
        <w:lastRenderedPageBreak/>
        <w:t xml:space="preserve">желудочный, который в свою очередь заселяется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. В дальнейшем при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персистировании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именно на участках с метаплазией эпителия желудочного типа формируются язвенные дефекты. У детей до 18 лет обсеменённость слизистой оболочки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антрального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отдела желудка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при обострении </w:t>
      </w:r>
      <w:r w:rsidR="00452F4A">
        <w:rPr>
          <w:rFonts w:ascii="Times New Roman" w:hAnsi="Times New Roman" w:cs="Times New Roman"/>
          <w:sz w:val="28"/>
          <w:szCs w:val="28"/>
        </w:rPr>
        <w:t>язвенной болезни двенадцатиперстной кишки</w:t>
      </w:r>
      <w:r w:rsidRPr="00452F4A">
        <w:rPr>
          <w:rFonts w:ascii="Times New Roman" w:hAnsi="Times New Roman" w:cs="Times New Roman"/>
          <w:sz w:val="28"/>
          <w:szCs w:val="28"/>
        </w:rPr>
        <w:t xml:space="preserve"> отмечается у 33-</w:t>
      </w:r>
      <w:r w:rsidR="00452F4A">
        <w:rPr>
          <w:rFonts w:ascii="Times New Roman" w:hAnsi="Times New Roman" w:cs="Times New Roman"/>
          <w:sz w:val="28"/>
          <w:szCs w:val="28"/>
        </w:rPr>
        <w:t>100% (медиана 92%), при язвенной болезни желудка</w:t>
      </w:r>
      <w:r w:rsidRPr="00452F4A">
        <w:rPr>
          <w:rFonts w:ascii="Times New Roman" w:hAnsi="Times New Roman" w:cs="Times New Roman"/>
          <w:sz w:val="28"/>
          <w:szCs w:val="28"/>
        </w:rPr>
        <w:t xml:space="preserve"> – у 11-75% (медиана 25%); обсеменённость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при рецидивирующем язвенном процессе фиксируется от 0 </w:t>
      </w:r>
      <w:r w:rsidR="00452F4A">
        <w:rPr>
          <w:rFonts w:ascii="Times New Roman" w:hAnsi="Times New Roman" w:cs="Times New Roman"/>
          <w:sz w:val="28"/>
          <w:szCs w:val="28"/>
        </w:rPr>
        <w:t>до 81% случаев (медиана 22%)</w:t>
      </w:r>
      <w:r w:rsidRPr="00452F4A">
        <w:rPr>
          <w:rFonts w:ascii="Times New Roman" w:hAnsi="Times New Roman" w:cs="Times New Roman"/>
          <w:sz w:val="28"/>
          <w:szCs w:val="28"/>
        </w:rPr>
        <w:t xml:space="preserve">. Более 2/3 детей развивающихся стран инфицируются до 2 летнего </w:t>
      </w:r>
      <w:proofErr w:type="gramStart"/>
      <w:r w:rsidRPr="00452F4A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452F4A">
        <w:rPr>
          <w:rFonts w:ascii="Times New Roman" w:hAnsi="Times New Roman" w:cs="Times New Roman"/>
          <w:sz w:val="28"/>
          <w:szCs w:val="28"/>
        </w:rPr>
        <w:t xml:space="preserve"> и распространенность инфекции достигает 80-100% при этом наиболее важными факторами распространения являются плохие социально-экономические условия и плохо</w:t>
      </w:r>
      <w:r w:rsidR="00452F4A">
        <w:rPr>
          <w:rFonts w:ascii="Times New Roman" w:hAnsi="Times New Roman" w:cs="Times New Roman"/>
          <w:sz w:val="28"/>
          <w:szCs w:val="28"/>
        </w:rPr>
        <w:t>е гигиеническое состояние. В развитии язвенной болезни</w:t>
      </w:r>
      <w:r w:rsidRPr="00452F4A">
        <w:rPr>
          <w:rFonts w:ascii="Times New Roman" w:hAnsi="Times New Roman" w:cs="Times New Roman"/>
          <w:sz w:val="28"/>
          <w:szCs w:val="28"/>
        </w:rPr>
        <w:t xml:space="preserve"> немаловажную роль играет состояние иммунитета ребенка и связано как с дефектами иммунной реактивности организма (наследственной или приобретённой природы), так и воздействием на иммунную систему факторов патогенности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Н.pylori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и расстройством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верхних отделов пищеварительного тракта (ВОПТ). Исследования состояния иммунной системы у детей с ЯБДК, ассоциированной с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инфекцией, выявили наличие нарушений иммунного статуса, связанных с дисбалансом в системе цитокинов (IL-1, IL-4, IL-6, IL-8, IL-10, IL-12, TGF-β, IFN-γ), повышением уровня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-антител к тканевым (органоспецифическим 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органонеспецифическим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) и бактериальным антигенам, усилением продукции нейтрофилами активных форм кислорода (АФК). Выявленная у детей с ЯБДК продукция антител класса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к структурам тканей организма (эластину, коллагену, денатурированной ДНК) и к антигенам тканей желудочно-кишечного тракта (ЖКТ) – к антигенам желудка, тонкой и толстой кишки, поджелудочной железы, может служить указанием на развитие аутоиммунного процесса при обострении </w:t>
      </w:r>
      <w:r w:rsidR="0030549B">
        <w:rPr>
          <w:rFonts w:ascii="Times New Roman" w:hAnsi="Times New Roman" w:cs="Times New Roman"/>
          <w:sz w:val="28"/>
          <w:szCs w:val="28"/>
        </w:rPr>
        <w:t>язвенной болезни двенадцатиперстной кишки</w:t>
      </w:r>
      <w:r w:rsidRPr="00452F4A">
        <w:rPr>
          <w:rFonts w:ascii="Times New Roman" w:hAnsi="Times New Roman" w:cs="Times New Roman"/>
          <w:sz w:val="28"/>
          <w:szCs w:val="28"/>
        </w:rPr>
        <w:t xml:space="preserve"> у детей. Выработка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к тканям желудка при инфицировании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доказана и у взрослых. Усиление продукции АФК нейтрофилами у детей с ЯБДК указывает на участие секретируемых нейтрофилами токсических веществ в деструктивном процессе при </w:t>
      </w:r>
      <w:r w:rsidR="0030549B">
        <w:rPr>
          <w:rFonts w:ascii="Times New Roman" w:hAnsi="Times New Roman" w:cs="Times New Roman"/>
          <w:sz w:val="28"/>
          <w:szCs w:val="28"/>
        </w:rPr>
        <w:t>язвенной болезни двенадцатиперстной кишки.</w:t>
      </w:r>
      <w:r w:rsidRPr="00452F4A">
        <w:rPr>
          <w:rFonts w:ascii="Times New Roman" w:hAnsi="Times New Roman" w:cs="Times New Roman"/>
          <w:sz w:val="28"/>
          <w:szCs w:val="28"/>
        </w:rPr>
        <w:t xml:space="preserve"> Неблагоприятное течение может быть обусловлено такими дополнительными факторами как, </w:t>
      </w:r>
      <w:proofErr w:type="gramStart"/>
      <w:r w:rsidRPr="00452F4A">
        <w:rPr>
          <w:rFonts w:ascii="Times New Roman" w:hAnsi="Times New Roman" w:cs="Times New Roman"/>
          <w:sz w:val="28"/>
          <w:szCs w:val="28"/>
        </w:rPr>
        <w:t>нейроэндокринные</w:t>
      </w:r>
      <w:proofErr w:type="gramEnd"/>
      <w:r w:rsidRPr="00452F4A">
        <w:rPr>
          <w:rFonts w:ascii="Times New Roman" w:hAnsi="Times New Roman" w:cs="Times New Roman"/>
          <w:sz w:val="28"/>
          <w:szCs w:val="28"/>
        </w:rPr>
        <w:t xml:space="preserve"> — реализуются факторами APUD-системы </w:t>
      </w:r>
      <w:r w:rsidRPr="00452F4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гастрин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бомбезин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соматостатин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секретин,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холецистокинин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мотилин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энкефалины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ацетилхолин), мелатонин; нейропсихические – связаны с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психотравмами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>, устойчивыми стрессами, в том числе конфликтами в семье. Выявляются особенности реагирова</w:t>
      </w:r>
      <w:r w:rsidR="0030549B">
        <w:rPr>
          <w:rFonts w:ascii="Times New Roman" w:hAnsi="Times New Roman" w:cs="Times New Roman"/>
          <w:sz w:val="28"/>
          <w:szCs w:val="28"/>
        </w:rPr>
        <w:t>ния нервной системы больных с язвенной болезнью</w:t>
      </w:r>
      <w:r w:rsidRPr="00452F4A">
        <w:rPr>
          <w:rFonts w:ascii="Times New Roman" w:hAnsi="Times New Roman" w:cs="Times New Roman"/>
          <w:sz w:val="28"/>
          <w:szCs w:val="28"/>
        </w:rPr>
        <w:t xml:space="preserve"> (астенический 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астеноневротический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ипохондрический, депрессивный синдромы),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интраверсия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и экстраверсия, эмоциональная неустойчивость,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дистимические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расстройства;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52F4A">
        <w:rPr>
          <w:rFonts w:ascii="Times New Roman" w:hAnsi="Times New Roman" w:cs="Times New Roman"/>
          <w:sz w:val="28"/>
          <w:szCs w:val="28"/>
        </w:rPr>
        <w:t xml:space="preserve">Этиологическая роль алиментарных факторов, ассоциированных с нерегулярным приёмом пищи, употреблением жареной, копчёной пищи, продуктов с большим содержанием соли, экстрактивных веществ,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ксенобиотиков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(консервантов, усилителей вкуса и др.) хотя и обсуждается, однако в настоящее время не доказана. Выде</w:t>
      </w:r>
      <w:r w:rsidR="0030549B">
        <w:rPr>
          <w:rFonts w:ascii="Times New Roman" w:hAnsi="Times New Roman" w:cs="Times New Roman"/>
          <w:sz w:val="28"/>
          <w:szCs w:val="28"/>
        </w:rPr>
        <w:t>ляется особая форма первичной язвенной болезни</w:t>
      </w:r>
      <w:r w:rsidRPr="00452F4A">
        <w:rPr>
          <w:rFonts w:ascii="Times New Roman" w:hAnsi="Times New Roman" w:cs="Times New Roman"/>
          <w:sz w:val="28"/>
          <w:szCs w:val="28"/>
        </w:rPr>
        <w:t xml:space="preserve">, называемая «идиопатической», развитие которой не ассоциировано с доказанным инфекционным процессом. Распространённость этой формы ЯБ по данным различных авторов колеблется от 39% до 73%. Причина развития язвенного процесса у этих больных до конца не выяснена и возможно связана с нарушением процессов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>-гуморально-эндокринно-иммунной регуляции слизистой оболочки ЖКТ</w:t>
      </w:r>
      <w:r w:rsidR="0030549B">
        <w:rPr>
          <w:rFonts w:ascii="Times New Roman" w:hAnsi="Times New Roman" w:cs="Times New Roman"/>
          <w:sz w:val="28"/>
          <w:szCs w:val="28"/>
        </w:rPr>
        <w:t>. Таким образом, формирование язвенной болезни</w:t>
      </w:r>
      <w:r w:rsidRPr="00452F4A">
        <w:rPr>
          <w:rFonts w:ascii="Times New Roman" w:hAnsi="Times New Roman" w:cs="Times New Roman"/>
          <w:sz w:val="28"/>
          <w:szCs w:val="28"/>
        </w:rPr>
        <w:t xml:space="preserve"> или возникновение рецидива заболевания может быть связано с течением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инфекции, у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иммунокомпрометированных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пациентов -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персистированием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герпетической инфекции, воздействием изменённых сигнальных систем на местном и системном уровне, нарушением баланса между факторами агрессии и защиты слизистой оболочки ВОПТ. Наличие индивидуальных особенностей естественной резистентности слизистой оболочки, в том числе и к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позволяет нейтрализовать или уменьшить «агрессивность» триггерных факторов развития </w:t>
      </w:r>
      <w:r w:rsidR="0030549B">
        <w:rPr>
          <w:rFonts w:ascii="Times New Roman" w:hAnsi="Times New Roman" w:cs="Times New Roman"/>
          <w:sz w:val="28"/>
          <w:szCs w:val="28"/>
        </w:rPr>
        <w:t>язвенной болезни.</w:t>
      </w:r>
    </w:p>
    <w:p w:rsidR="0030549B" w:rsidRDefault="0030549B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</w:p>
    <w:p w:rsidR="0030549B" w:rsidRPr="0030549B" w:rsidRDefault="0030549B" w:rsidP="001619F9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9B">
        <w:rPr>
          <w:rFonts w:ascii="Times New Roman" w:hAnsi="Times New Roman" w:cs="Times New Roman"/>
          <w:b/>
          <w:sz w:val="28"/>
          <w:szCs w:val="28"/>
        </w:rPr>
        <w:t>Эпидемиология.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52F4A">
        <w:rPr>
          <w:rFonts w:ascii="Times New Roman" w:hAnsi="Times New Roman" w:cs="Times New Roman"/>
          <w:sz w:val="28"/>
          <w:szCs w:val="28"/>
        </w:rPr>
        <w:t xml:space="preserve"> Эпидемиология заболевания или состояния (группы заболеваний или состояний) По данным эпидемиологических исследований инфекция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в РФ обнаруживается у 65– 92% взрослого населения. Инфицирование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среди детей РФ в возрасте 5–10 лет было выявлено у 29%, в возрасте 11–14</w:t>
      </w:r>
      <w:r w:rsidR="0030549B">
        <w:rPr>
          <w:rFonts w:ascii="Times New Roman" w:hAnsi="Times New Roman" w:cs="Times New Roman"/>
          <w:sz w:val="28"/>
          <w:szCs w:val="28"/>
        </w:rPr>
        <w:t xml:space="preserve"> лет – у 56% </w:t>
      </w:r>
      <w:r w:rsidRPr="00452F4A">
        <w:rPr>
          <w:rFonts w:ascii="Times New Roman" w:hAnsi="Times New Roman" w:cs="Times New Roman"/>
          <w:sz w:val="28"/>
          <w:szCs w:val="28"/>
        </w:rPr>
        <w:t>.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52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F4A">
        <w:rPr>
          <w:rFonts w:ascii="Times New Roman" w:hAnsi="Times New Roman" w:cs="Times New Roman"/>
          <w:sz w:val="28"/>
          <w:szCs w:val="28"/>
        </w:rPr>
        <w:t xml:space="preserve">По данным зарубежных авторов, риск развития ЯБДК или ЯБЖ у инфицированных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в течение жизни варьир</w:t>
      </w:r>
      <w:r w:rsidR="0030549B">
        <w:rPr>
          <w:rFonts w:ascii="Times New Roman" w:hAnsi="Times New Roman" w:cs="Times New Roman"/>
          <w:sz w:val="28"/>
          <w:szCs w:val="28"/>
        </w:rPr>
        <w:t xml:space="preserve">ует от 3% в </w:t>
      </w:r>
      <w:r w:rsidR="0030549B">
        <w:rPr>
          <w:rFonts w:ascii="Times New Roman" w:hAnsi="Times New Roman" w:cs="Times New Roman"/>
          <w:sz w:val="28"/>
          <w:szCs w:val="28"/>
        </w:rPr>
        <w:lastRenderedPageBreak/>
        <w:t>США до 25% в Японии</w:t>
      </w:r>
      <w:r w:rsidRPr="00452F4A">
        <w:rPr>
          <w:rFonts w:ascii="Times New Roman" w:hAnsi="Times New Roman" w:cs="Times New Roman"/>
          <w:sz w:val="28"/>
          <w:szCs w:val="28"/>
        </w:rPr>
        <w:t>; В Российской Федерации распространенность ЯБ у детей в последнее десятилетие снизилась в 1,5 раза и составляет 1,1</w:t>
      </w:r>
      <w:r w:rsidR="0030549B">
        <w:rPr>
          <w:rFonts w:ascii="Times New Roman" w:hAnsi="Times New Roman" w:cs="Times New Roman"/>
          <w:sz w:val="28"/>
          <w:szCs w:val="28"/>
        </w:rPr>
        <w:t>-1,5 на 1000 детского населения</w:t>
      </w:r>
      <w:r w:rsidRPr="00452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2F4A">
        <w:rPr>
          <w:rFonts w:ascii="Times New Roman" w:hAnsi="Times New Roman" w:cs="Times New Roman"/>
          <w:sz w:val="28"/>
          <w:szCs w:val="28"/>
        </w:rPr>
        <w:t xml:space="preserve"> ЯБЖ выявляется у 2 из 10 000 детей (в 8 раз реже, чем ЯБДПК). ЯБЖ и ЯБДК преимущественно встречаются у детей старше 7 лет. Единичные случаи обнаружения язв в дошкольном и раннем возрасте наиболее часто могут быть отнес</w:t>
      </w:r>
      <w:r w:rsidR="0030549B">
        <w:rPr>
          <w:rFonts w:ascii="Times New Roman" w:hAnsi="Times New Roman" w:cs="Times New Roman"/>
          <w:sz w:val="28"/>
          <w:szCs w:val="28"/>
        </w:rPr>
        <w:t>ены к симптоматическим язвам</w:t>
      </w:r>
      <w:r w:rsidRPr="00452F4A">
        <w:rPr>
          <w:rFonts w:ascii="Times New Roman" w:hAnsi="Times New Roman" w:cs="Times New Roman"/>
          <w:sz w:val="28"/>
          <w:szCs w:val="28"/>
        </w:rPr>
        <w:t>. В тоже время следует отметить, что, например, в США частота пептической язвы у детей снизилась в период 2000 г – 2012 г с 2,07 на 100 000 до 1,66 на 100 0</w:t>
      </w:r>
      <w:r w:rsidR="0030549B">
        <w:rPr>
          <w:rFonts w:ascii="Times New Roman" w:hAnsi="Times New Roman" w:cs="Times New Roman"/>
          <w:sz w:val="28"/>
          <w:szCs w:val="28"/>
        </w:rPr>
        <w:t>00 детского населения</w:t>
      </w:r>
      <w:r w:rsidRPr="00452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52F4A">
        <w:rPr>
          <w:rFonts w:ascii="Times New Roman" w:hAnsi="Times New Roman" w:cs="Times New Roman"/>
          <w:sz w:val="28"/>
          <w:szCs w:val="28"/>
        </w:rPr>
        <w:t xml:space="preserve">В структуре заболеваний ВОПТ ЯБ составляет 7-12%, встречается в 7 раз чаще в школьном возрасте и в 2 раза чаще среди жителей крупных городов. ЯБДПК диагностируется в 3-4 раза чаще, чем ЯБЖ. Дуоденальная локализация язвенного дефекта отмечается в 81-87% случаев (из них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постбульбарная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– в 2,4-2,8%), желудочная локализация – в 11-13%, двойна</w:t>
      </w:r>
      <w:r w:rsidR="0030549B">
        <w:rPr>
          <w:rFonts w:ascii="Times New Roman" w:hAnsi="Times New Roman" w:cs="Times New Roman"/>
          <w:sz w:val="28"/>
          <w:szCs w:val="28"/>
        </w:rPr>
        <w:t>я локализация – в 4-6% случаев</w:t>
      </w:r>
      <w:r w:rsidRPr="00452F4A">
        <w:rPr>
          <w:rFonts w:ascii="Times New Roman" w:hAnsi="Times New Roman" w:cs="Times New Roman"/>
          <w:sz w:val="28"/>
          <w:szCs w:val="28"/>
        </w:rPr>
        <w:t xml:space="preserve">. Максимальная частота ЯДПК отмечается у девочек в 12-13 лет, а у мальчиков – в 14-15 лет. Половые различия в распространённости ЯБ у детей 4-8 летнего возраста отсутствуют, к 12-14 годам отмечается преобладание мальчиков над девочками 3:1, а к 18 </w:t>
      </w:r>
      <w:r w:rsidR="0030549B">
        <w:rPr>
          <w:rFonts w:ascii="Times New Roman" w:hAnsi="Times New Roman" w:cs="Times New Roman"/>
          <w:sz w:val="28"/>
          <w:szCs w:val="28"/>
        </w:rPr>
        <w:t>годам оно составляет 5:1</w:t>
      </w:r>
      <w:r w:rsidRPr="00452F4A">
        <w:rPr>
          <w:rFonts w:ascii="Times New Roman" w:hAnsi="Times New Roman" w:cs="Times New Roman"/>
          <w:sz w:val="28"/>
          <w:szCs w:val="28"/>
        </w:rPr>
        <w:t>.</w:t>
      </w:r>
    </w:p>
    <w:p w:rsidR="0030549B" w:rsidRDefault="0030549B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</w:p>
    <w:p w:rsidR="0030549B" w:rsidRPr="0030549B" w:rsidRDefault="0030549B" w:rsidP="001619F9">
      <w:pPr>
        <w:pStyle w:val="a9"/>
        <w:ind w:left="1065" w:firstLine="3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9B">
        <w:rPr>
          <w:rFonts w:ascii="Times New Roman" w:hAnsi="Times New Roman" w:cs="Times New Roman"/>
          <w:b/>
          <w:sz w:val="28"/>
          <w:szCs w:val="28"/>
        </w:rPr>
        <w:t>5. Кодировка.</w:t>
      </w:r>
    </w:p>
    <w:p w:rsidR="0030549B" w:rsidRDefault="0030549B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 </w:t>
      </w:r>
      <w:r w:rsidR="00BB0237" w:rsidRPr="0030549B">
        <w:rPr>
          <w:rFonts w:ascii="Times New Roman" w:hAnsi="Times New Roman" w:cs="Times New Roman"/>
          <w:sz w:val="28"/>
          <w:szCs w:val="28"/>
        </w:rPr>
        <w:t xml:space="preserve"> Особенности кодирования заболевания или состояния (группы заболеваний или состояний) </w:t>
      </w:r>
      <w:proofErr w:type="gramStart"/>
      <w:r w:rsidR="00BB0237" w:rsidRPr="003054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0237" w:rsidRPr="0030549B">
        <w:rPr>
          <w:rFonts w:ascii="Times New Roman" w:hAnsi="Times New Roman" w:cs="Times New Roman"/>
          <w:sz w:val="28"/>
          <w:szCs w:val="28"/>
        </w:rPr>
        <w:t xml:space="preserve"> Международной статической </w:t>
      </w:r>
      <w:proofErr w:type="spellStart"/>
      <w:r w:rsidR="00BB0237" w:rsidRPr="0030549B">
        <w:rPr>
          <w:rFonts w:ascii="Times New Roman" w:hAnsi="Times New Roman" w:cs="Times New Roman"/>
          <w:sz w:val="28"/>
          <w:szCs w:val="28"/>
        </w:rPr>
        <w:t>класификации</w:t>
      </w:r>
      <w:proofErr w:type="spellEnd"/>
      <w:r w:rsidR="00BB0237" w:rsidRPr="0030549B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 Язва желудка (К25):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 K25.0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 кровотечением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K25.1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 прободением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 K25.2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 кровотечением и прободением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K25.3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без кровотечения или прободения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 K25.4 -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или неуточненная с кровотечением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K25.5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или неуточненная с прободением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K25.6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или неуточненная с кровотечением и прободением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K25.7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без кровотечения или прободения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K25.9 – Не уточненная как острая или хроническая без кровотечения или прободения Язва двенадцатиперстной кишки (K26):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lastRenderedPageBreak/>
        <w:t xml:space="preserve">K26.0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 кровотечением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K26.1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 прободением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K26.2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 кровотечением и прободением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K26.3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без кровотечения или прободения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K26.4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или неуточненная с кровотечением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K26.5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или неуточненная с прободением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K26.6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или неуточненная с кровотечением и прободением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K26.7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без кровотечения или прободения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K26.9 – Не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уточненная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как острая или хроническая без кровотечения или прободения </w:t>
      </w:r>
    </w:p>
    <w:p w:rsidR="0030549B" w:rsidRPr="0030549B" w:rsidRDefault="0030549B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0549B" w:rsidRPr="004257AC" w:rsidRDefault="0030549B" w:rsidP="001619F9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>Классификация.</w:t>
      </w:r>
    </w:p>
    <w:p w:rsidR="0030549B" w:rsidRPr="0030549B" w:rsidRDefault="0030549B" w:rsidP="0030549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0549B">
        <w:rPr>
          <w:rFonts w:ascii="Times New Roman" w:hAnsi="Times New Roman" w:cs="Times New Roman"/>
          <w:sz w:val="28"/>
          <w:szCs w:val="28"/>
        </w:rPr>
        <w:t>Классификация заболевания или состояния (группы заболеваний или состояний) Общепринятой классификации ЯБ не существует. В педиатрической практике наибольшее распространение получила кл</w:t>
      </w:r>
      <w:r w:rsidR="0030549B">
        <w:rPr>
          <w:rFonts w:ascii="Times New Roman" w:hAnsi="Times New Roman" w:cs="Times New Roman"/>
          <w:sz w:val="28"/>
          <w:szCs w:val="28"/>
        </w:rPr>
        <w:t>ассификация ЯБ по А.В. Мазурину</w:t>
      </w:r>
      <w:r w:rsidR="0030549B" w:rsidRPr="0030549B">
        <w:rPr>
          <w:rFonts w:ascii="Times New Roman" w:hAnsi="Times New Roman" w:cs="Times New Roman"/>
          <w:sz w:val="28"/>
          <w:szCs w:val="28"/>
        </w:rPr>
        <w:t>.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 Классификация язвенной болезни (по А.В. Мазурину 1984 г., с дополнениями В.Ф.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Приворотского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и Н.Е. Лупповой 2005 г., Цветковой Л.Н., 2009 г.)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b/>
          <w:sz w:val="28"/>
          <w:szCs w:val="28"/>
        </w:rPr>
        <w:t>Фазы</w:t>
      </w:r>
      <w:r w:rsidRPr="003054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1. Обострение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2. Неполная клиническая ремиссия </w:t>
      </w:r>
    </w:p>
    <w:p w:rsidR="0030549B" w:rsidRDefault="0030549B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0237" w:rsidRPr="0030549B">
        <w:rPr>
          <w:rFonts w:ascii="Times New Roman" w:hAnsi="Times New Roman" w:cs="Times New Roman"/>
          <w:sz w:val="28"/>
          <w:szCs w:val="28"/>
        </w:rPr>
        <w:t xml:space="preserve">Клиническая ремиссия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b/>
          <w:sz w:val="28"/>
          <w:szCs w:val="28"/>
        </w:rPr>
        <w:t>Локализация:</w:t>
      </w:r>
      <w:r w:rsidRPr="0030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Желудок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>Двенадцатиперстная кишка</w:t>
      </w:r>
      <w:r w:rsidR="004257AC">
        <w:rPr>
          <w:rFonts w:ascii="Times New Roman" w:hAnsi="Times New Roman" w:cs="Times New Roman"/>
          <w:sz w:val="28"/>
          <w:szCs w:val="28"/>
        </w:rPr>
        <w:t>.</w:t>
      </w:r>
      <w:r w:rsidRPr="00305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Постбульбарные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отделы Двойная локализация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>Форма:</w:t>
      </w:r>
      <w:r w:rsidRPr="0030549B">
        <w:rPr>
          <w:rFonts w:ascii="Times New Roman" w:hAnsi="Times New Roman" w:cs="Times New Roman"/>
          <w:sz w:val="28"/>
          <w:szCs w:val="28"/>
        </w:rPr>
        <w:t xml:space="preserve"> 1. Неосложнённая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2. Осложнённая Кровотечение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Пенетрация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Перфорация Стеноз привратника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Перивисцерит</w:t>
      </w:r>
      <w:proofErr w:type="spellEnd"/>
      <w:r w:rsidR="004257AC">
        <w:rPr>
          <w:rFonts w:ascii="Times New Roman" w:hAnsi="Times New Roman" w:cs="Times New Roman"/>
          <w:sz w:val="28"/>
          <w:szCs w:val="28"/>
        </w:rPr>
        <w:t>.</w:t>
      </w:r>
      <w:r w:rsidRPr="0030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 xml:space="preserve">Инфицирование H. </w:t>
      </w:r>
      <w:proofErr w:type="spellStart"/>
      <w:r w:rsidRPr="004257AC">
        <w:rPr>
          <w:rFonts w:ascii="Times New Roman" w:hAnsi="Times New Roman" w:cs="Times New Roman"/>
          <w:b/>
          <w:sz w:val="28"/>
          <w:szCs w:val="28"/>
        </w:rPr>
        <w:t>pylori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1. H.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– позитивная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2. H.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– негативная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 </w:t>
      </w:r>
      <w:r w:rsidRPr="004257AC">
        <w:rPr>
          <w:rFonts w:ascii="Times New Roman" w:hAnsi="Times New Roman" w:cs="Times New Roman"/>
          <w:b/>
          <w:sz w:val="28"/>
          <w:szCs w:val="28"/>
        </w:rPr>
        <w:t>Течение</w:t>
      </w:r>
      <w:r w:rsidRPr="003054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1. Впервые выявленная </w:t>
      </w:r>
    </w:p>
    <w:p w:rsidR="004257AC" w:rsidRDefault="004257AC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0237" w:rsidRPr="0030549B">
        <w:rPr>
          <w:rFonts w:ascii="Times New Roman" w:hAnsi="Times New Roman" w:cs="Times New Roman"/>
          <w:sz w:val="28"/>
          <w:szCs w:val="28"/>
        </w:rPr>
        <w:t xml:space="preserve">Редко рецидивирующая (ремиссия более 3-х лет)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3. Непрерывно рецидивирующая (ремиссия менее 1 года) </w:t>
      </w:r>
    </w:p>
    <w:p w:rsidR="004257AC" w:rsidRDefault="004257AC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i/>
          <w:sz w:val="28"/>
          <w:szCs w:val="28"/>
        </w:rPr>
        <w:t xml:space="preserve">Функциональная характеристика: Кислотность желудочного содержимого и моторика могут быть </w:t>
      </w:r>
      <w:proofErr w:type="gramStart"/>
      <w:r w:rsidRPr="004257AC">
        <w:rPr>
          <w:rFonts w:ascii="Times New Roman" w:hAnsi="Times New Roman" w:cs="Times New Roman"/>
          <w:i/>
          <w:sz w:val="28"/>
          <w:szCs w:val="28"/>
        </w:rPr>
        <w:t>повышены</w:t>
      </w:r>
      <w:proofErr w:type="gramEnd"/>
      <w:r w:rsidRPr="004257AC">
        <w:rPr>
          <w:rFonts w:ascii="Times New Roman" w:hAnsi="Times New Roman" w:cs="Times New Roman"/>
          <w:i/>
          <w:sz w:val="28"/>
          <w:szCs w:val="28"/>
        </w:rPr>
        <w:t>, понижены или нормальными</w:t>
      </w:r>
      <w:r w:rsidRPr="0030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>Клинико-эндоскопические стадии язвенной болезни</w:t>
      </w:r>
      <w:r w:rsidRPr="003054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1 стадия – свежая язва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2 стадия – начало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язвенного дефекта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3 стадия – заживление язвенного дефекта при выраженном гастродуодените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4 стадия – клинико-эндоскопическая ремиссия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>По клиническому течению:</w:t>
      </w:r>
      <w:r w:rsidRPr="0030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1. Классическое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2. Атипичное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3. Бессимптомное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>Сопутствующие заболевания</w:t>
      </w:r>
      <w:r w:rsidRPr="0030549B">
        <w:rPr>
          <w:rFonts w:ascii="Times New Roman" w:hAnsi="Times New Roman" w:cs="Times New Roman"/>
          <w:sz w:val="28"/>
          <w:szCs w:val="28"/>
        </w:rPr>
        <w:t xml:space="preserve">: Панкреатит Эзофагит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Холецистохолангит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Также различают ЯБ,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возникают на фоне других заболеваний и связаны с особыми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этиопатогенетическими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факторами</w:t>
      </w:r>
      <w:r w:rsidR="004257AC">
        <w:rPr>
          <w:rFonts w:ascii="Times New Roman" w:hAnsi="Times New Roman" w:cs="Times New Roman"/>
          <w:sz w:val="28"/>
          <w:szCs w:val="28"/>
        </w:rPr>
        <w:t>.</w:t>
      </w:r>
      <w:r w:rsidRPr="0030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Типы язв Причины Клинические проявления Стрессовые (вследствие ишемии слизистой оболочки) Локализация в желудке Травма, в том числе черепно-мозговая (язвы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), при ожогах (язвы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Курлинга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), шоке, обморожениях и т.д. </w:t>
      </w:r>
    </w:p>
    <w:p w:rsidR="004257AC" w:rsidRDefault="004257AC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</w:p>
    <w:p w:rsidR="004257AC" w:rsidRPr="004257AC" w:rsidRDefault="004257AC" w:rsidP="001619F9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>Симптоматика.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Болевой синдром чаще отсутствует, первым признаком является остро возникшее кровотечение, реже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>ерфорация. Медикаментозные (вследствие нарушения выработки простагландинов и слизи, снижения темпов регенерации) Терапия НПВП, кортикостероидами системного действия Противоопухолевыми препаратами (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цитостатиками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) и др.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Чаще протекают бессимптомно, проявляются внезапно возникшим кровотечением. Иногда сопровождаются изжогой, болями в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, тошнотой Эндокринные Сахарный диабет (изменяются сосуды подслизистого слоя по типу микроангиопатии, снижается уровень трофических процессов) Синдром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ЗоллингераЭллисона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(выявляется выраженная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гиперацидность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, повышение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в сыворотке крови)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Гиперпаратиреоз</w:t>
      </w:r>
      <w:proofErr w:type="spellEnd"/>
      <w:proofErr w:type="gramStart"/>
      <w:r w:rsidRPr="0030549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окализуются в желудке,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малосимптомны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, иногда осложняются </w:t>
      </w:r>
      <w:r w:rsidRPr="0030549B">
        <w:rPr>
          <w:rFonts w:ascii="Times New Roman" w:hAnsi="Times New Roman" w:cs="Times New Roman"/>
          <w:sz w:val="28"/>
          <w:szCs w:val="28"/>
        </w:rPr>
        <w:lastRenderedPageBreak/>
        <w:t xml:space="preserve">кровотечением. Имеет крайне тяжёлое течение, множественная локализация язв, упорная диарея. Локализация чаще в ДПК, тяжёлое течение с частыми рецидивами и склонностью к кровотечению и перфорации, характерны признаки повышенной функции паращитовидных желёз: мышечная слабость, боли в костях, чувство жажды, полиурия. Гепатогенные (нарушение кровотока в воротной вене, нарушение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гистамина в печени, трофические и микроциркуляторные расстройства) Цирроз печени, хронический гепатит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окализуются чаще в желудке, реже в ДПК. Клиническая картина обычно стерта и атипична, язвы плохо поддаются терапии, отличаются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торпидностью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течения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Панкреатогенные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(нарушение поступления бикарбонатов в кишечник при одновременном увеличении высвобождения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кининов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>) Панкреатит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окализуются обычно в ДПК. Для язв характерен выраженный болевой синдром, связь с приемом пищи. Течение язвенного процесса упорное, но осложнения наблюдаются редко. Гипоксические (длительная гипоксия желудка) Хронические заболевания легких и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системы Выраженная клиническая симптоматика, склонность к кровотечению</w:t>
      </w:r>
      <w:r w:rsidR="004257AC">
        <w:rPr>
          <w:rFonts w:ascii="Times New Roman" w:hAnsi="Times New Roman" w:cs="Times New Roman"/>
          <w:sz w:val="28"/>
          <w:szCs w:val="28"/>
        </w:rPr>
        <w:t>.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 По числу язвенных дефектов различают одиночные и множественные язвы; в зависимости от размеров язвенного дефекта выделяют язвы малых (до 0,5 см в диаметре), средних (0,6-1,9 см в диаметре) и больших (более 2,0 см в диаметре) размеров.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49B">
        <w:rPr>
          <w:rFonts w:ascii="Times New Roman" w:hAnsi="Times New Roman" w:cs="Times New Roman"/>
          <w:sz w:val="28"/>
          <w:szCs w:val="28"/>
        </w:rPr>
        <w:t xml:space="preserve">В диагнозе указывается стадия течения заболевания (обострения, заживления, рубцевания, ремиссия), а также наличие осложнений ЯБ (кровотечения, прободения, рубцово-язвенная деформация/стенозы желудка, двенадцатиперстной кишки. 1.6 Клиническая картина заболевания или состояния (группы заболеваний или состояний) Клинические симптомы обострения ЯБ (боль в животе,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диспептические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расстройства и функциональные нарушения ВНС) не являются строго специфичными.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Наиболее частым, но наименее специфичным симптомом ЯБ является боль в животе. Только у 15-20% детей с болями в животе при обращении к врачам-гастроэнтерологам выявляются эрозивно-язвенные процессы. Боль при типичном течении ЯБ достаточно интенсивная, локализуются в основном в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параумбиликальной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области, возникает регулярно. Боль принимает ночной, «голодный» характер. Боль может быть ранней (возникает после приема пищи в течение 30-60 мин) и поздней (через 2-3 часа после еды). Возможна </w:t>
      </w:r>
      <w:r w:rsidRPr="0030549B">
        <w:rPr>
          <w:rFonts w:ascii="Times New Roman" w:hAnsi="Times New Roman" w:cs="Times New Roman"/>
          <w:sz w:val="28"/>
          <w:szCs w:val="28"/>
        </w:rPr>
        <w:lastRenderedPageBreak/>
        <w:t>иррадиация боли в спину, правое плечо, лопатку, «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мойнигановский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>» ритм боли: голо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боль-прием пищи – облегчение и т.д.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По характеру боли могут быть различными от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ноющих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до режущих и приступообразных, часто выявляется положительный симптом Менделя. Характер АБС зависит от возраста, индивидуальных особенностей больного, состояния его нервной и эндокринной систем, анатомических особенностей язвенного дефекта, степени выраженности функциональных нарушений ЖКТ. У 50% больных детей отсутствует параллелизм между эндоскопической стадией язвенного процесса и его клиническими проявлениями. При атипичном течении заболевания (чаще в младшем возрасте) не определяется какая-либо закономерность возникновения и трансформации АБС, могут отсутствовать диспепсические жалобы, клиническая картина ЯБ протекает под «маской» болей в груди, холецистита, панкреатита, печёночной или почечной колики. Согласно последним исследованиям, у 3% детей с впервые выявленной ЯБДК имеет место отсутствие АБС, что расценивается как первично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безболевое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течение заболевания, а у 27% детей отмечается вторично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безболевое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течение, когда на фоне повторного обострения язвенного процесса у детей, ранее получивш</w:t>
      </w:r>
      <w:r w:rsidR="004257AC">
        <w:rPr>
          <w:rFonts w:ascii="Times New Roman" w:hAnsi="Times New Roman" w:cs="Times New Roman"/>
          <w:sz w:val="28"/>
          <w:szCs w:val="28"/>
        </w:rPr>
        <w:t>их терапию, АБС отсутствует</w:t>
      </w:r>
      <w:proofErr w:type="gramStart"/>
      <w:r w:rsidR="004257AC">
        <w:rPr>
          <w:rFonts w:ascii="Times New Roman" w:hAnsi="Times New Roman" w:cs="Times New Roman"/>
          <w:sz w:val="28"/>
          <w:szCs w:val="28"/>
        </w:rPr>
        <w:t xml:space="preserve"> </w:t>
      </w:r>
      <w:r w:rsidRPr="003054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Желудочная диспепсия при ЯБ проявляется в виде рвоты, чувства тяжести или давления в подложечной области после еды, отрыжки, тошноты, жжения в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и изжоги. В то же время следует отметить, что диспепсические расстройства у детей встречаются реже, чем у взрослых. С увеличением продолжительности заболевания частота симптомов диспепсии возрастает. У части больных ЯБДК имеет место снижение аппетита, задержка физического развития, а также склонность к запорам или неустойчивый характер стула. Прогрессирование заболевания так же, как и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персистирование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АБС сопровождается усилением эмоциональной лабильности, нарушением сна, повышенной утомляемостью и другими проявлениями астенического и депрессивного синдромов. Рецидив ЯБДК проявляется аналогичной клинической картиной, однако самостоятельный АБС выявляется реже, а болезненность при пальпации живота от</w:t>
      </w:r>
      <w:r w:rsidR="004257AC">
        <w:rPr>
          <w:rFonts w:ascii="Times New Roman" w:hAnsi="Times New Roman" w:cs="Times New Roman"/>
          <w:sz w:val="28"/>
          <w:szCs w:val="28"/>
        </w:rPr>
        <w:t>мечается примерно у / детей</w:t>
      </w:r>
      <w:r w:rsidRPr="0030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Диагностика заболевания или состояния (группы заболеваний или состояний) медицинские показания и противопоказания к </w:t>
      </w:r>
      <w:r w:rsidRPr="0030549B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применению методов диагностики Критерии установления диагноза/состояния.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При постановке диагноза следует обратить внимание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1. анамнестические данные (характерные жалобы, рефрактерная к терапии железодефицитная анемия, семейный анамнез);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обследование (обнаружение болезненности с характерной локализацией, диспепсические расстройства, снижение веса);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i/>
          <w:sz w:val="28"/>
          <w:szCs w:val="28"/>
        </w:rPr>
        <w:t>Диагноз подтверждается</w:t>
      </w:r>
      <w:r w:rsidRPr="0030549B">
        <w:rPr>
          <w:rFonts w:ascii="Times New Roman" w:hAnsi="Times New Roman" w:cs="Times New Roman"/>
          <w:sz w:val="28"/>
          <w:szCs w:val="28"/>
        </w:rPr>
        <w:t xml:space="preserve"> инструментальным обследованием (обнаружение язвенного дефекта при эндоскопическом исследовании желудка </w:t>
      </w:r>
      <w:r w:rsidR="004257AC">
        <w:rPr>
          <w:rFonts w:ascii="Times New Roman" w:hAnsi="Times New Roman" w:cs="Times New Roman"/>
          <w:sz w:val="28"/>
          <w:szCs w:val="28"/>
        </w:rPr>
        <w:t xml:space="preserve">и двенадцатиперстной кишки). </w:t>
      </w:r>
      <w:r w:rsidRPr="0030549B">
        <w:rPr>
          <w:rFonts w:ascii="Times New Roman" w:hAnsi="Times New Roman" w:cs="Times New Roman"/>
          <w:sz w:val="28"/>
          <w:szCs w:val="28"/>
        </w:rPr>
        <w:t>Жалобы и анамнез</w:t>
      </w:r>
      <w:r w:rsidR="004257AC">
        <w:rPr>
          <w:rFonts w:ascii="Times New Roman" w:hAnsi="Times New Roman" w:cs="Times New Roman"/>
          <w:sz w:val="28"/>
          <w:szCs w:val="28"/>
        </w:rPr>
        <w:t>.</w:t>
      </w:r>
      <w:r w:rsidRPr="0030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>Клинические проявления ЯБ многообразны, типичная картина наблюдается не всегда, что значительно затрудняет диагностику. Так, у детей раннего возраста заболевание нередко протекает атипично. При этом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чем моложе ребенок, тем менее специфичны жалобы. В старшем возрасте симптоматика ЯБДПК сходна с таковой у взрослых, хотя может быть и более стертой. Нередко отсутствует характерный «язвенный» анамнез, что объясняется отчасти тем, что дети быстро забывают боли, не умеют их дифференцировать, не могут указать их локализацию и причину, их вызвавшую.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49B">
        <w:rPr>
          <w:rFonts w:ascii="Times New Roman" w:hAnsi="Times New Roman" w:cs="Times New Roman"/>
          <w:sz w:val="28"/>
          <w:szCs w:val="28"/>
        </w:rPr>
        <w:t xml:space="preserve">Увеличение числа нетипичных форм заболевания, отсутствие настороженности в формировании язвенного процесса, особенно у детей с отягощенной наследственностью по патологии ВОПТ, способствует росту процента пациентов с поздней диагностикой ЯБ, что приводит к более частому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рецидивированию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заболевания у этой категории пациентов и раннему формированию его осложнений, приводящих к снижению качества жизни детей с ЯБ. 2.2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обследование </w:t>
      </w:r>
      <w:proofErr w:type="gramEnd"/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При осмотре следует обратить внимание на наличие белого налета на языке.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При пальпации следует обратить внимание на болезненность в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пилородуоденальной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зоне. Независимо от локализации язвы у детей очень часто отмечается болезненность в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области и в правом подреберье.</w:t>
      </w:r>
    </w:p>
    <w:p w:rsidR="009B1DCD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257AC">
        <w:rPr>
          <w:rFonts w:ascii="Times New Roman" w:hAnsi="Times New Roman" w:cs="Times New Roman"/>
          <w:sz w:val="28"/>
          <w:szCs w:val="28"/>
        </w:rPr>
        <w:t xml:space="preserve">В фазе обострения ЯБ следует оценить наличие положительного симптома Менделя (локальная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перкуторная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болезнен</w:t>
      </w:r>
      <w:r w:rsidR="004257AC">
        <w:rPr>
          <w:rFonts w:ascii="Times New Roman" w:hAnsi="Times New Roman" w:cs="Times New Roman"/>
          <w:sz w:val="28"/>
          <w:szCs w:val="28"/>
        </w:rPr>
        <w:t xml:space="preserve">ность в </w:t>
      </w:r>
      <w:proofErr w:type="spellStart"/>
      <w:r w:rsidR="004257AC">
        <w:rPr>
          <w:rFonts w:ascii="Times New Roman" w:hAnsi="Times New Roman" w:cs="Times New Roman"/>
          <w:sz w:val="28"/>
          <w:szCs w:val="28"/>
        </w:rPr>
        <w:lastRenderedPageBreak/>
        <w:t>эпигастральной</w:t>
      </w:r>
      <w:proofErr w:type="spellEnd"/>
      <w:r w:rsidR="004257AC">
        <w:rPr>
          <w:rFonts w:ascii="Times New Roman" w:hAnsi="Times New Roman" w:cs="Times New Roman"/>
          <w:sz w:val="28"/>
          <w:szCs w:val="28"/>
        </w:rPr>
        <w:t xml:space="preserve"> области)</w:t>
      </w:r>
      <w:r w:rsidRPr="004257AC">
        <w:rPr>
          <w:rFonts w:ascii="Times New Roman" w:hAnsi="Times New Roman" w:cs="Times New Roman"/>
          <w:sz w:val="28"/>
          <w:szCs w:val="28"/>
        </w:rPr>
        <w:t xml:space="preserve">. </w:t>
      </w:r>
      <w:r w:rsidR="004257AC">
        <w:rPr>
          <w:rFonts w:ascii="Times New Roman" w:hAnsi="Times New Roman" w:cs="Times New Roman"/>
          <w:sz w:val="28"/>
          <w:szCs w:val="28"/>
        </w:rPr>
        <w:t>С</w:t>
      </w:r>
      <w:r w:rsidRPr="004257AC">
        <w:rPr>
          <w:rFonts w:ascii="Times New Roman" w:hAnsi="Times New Roman" w:cs="Times New Roman"/>
          <w:sz w:val="28"/>
          <w:szCs w:val="28"/>
        </w:rPr>
        <w:t xml:space="preserve">имптом мышечной защиты передней брюшной стенки выявляется редко, </w:t>
      </w:r>
      <w:r w:rsidR="004257AC">
        <w:rPr>
          <w:rFonts w:ascii="Times New Roman" w:hAnsi="Times New Roman" w:cs="Times New Roman"/>
          <w:sz w:val="28"/>
          <w:szCs w:val="28"/>
        </w:rPr>
        <w:t>чаще во время сильных болей.</w:t>
      </w:r>
    </w:p>
    <w:p w:rsidR="009B1DCD" w:rsidRDefault="009B1DCD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</w:p>
    <w:p w:rsidR="009B1DCD" w:rsidRPr="009B1DCD" w:rsidRDefault="009B1DCD" w:rsidP="001619F9">
      <w:pPr>
        <w:pStyle w:val="a9"/>
        <w:ind w:left="1065" w:firstLine="3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B1DCD">
        <w:rPr>
          <w:rFonts w:ascii="Times New Roman" w:hAnsi="Times New Roman" w:cs="Times New Roman"/>
          <w:b/>
          <w:sz w:val="28"/>
          <w:szCs w:val="28"/>
        </w:rPr>
        <w:t>Лабораторная диагностика.</w:t>
      </w:r>
    </w:p>
    <w:p w:rsidR="009B1DCD" w:rsidRDefault="004257AC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Лабораторные диагностические исследования Патогномоничных для язвенной болезни лабораторных маркеров нет. Лабораторные исследования детям с ЯБ проводятся для исключения/подтверждения осложнений. Рекомендовано проведение всем пациентам с ЯБ общего (клинического) анализа крови развернутого с целью комплексной диагностики анемии (гемоглобин, гематокрит, эритроциты, тромбоциты)</w:t>
      </w:r>
      <w:r w:rsidR="009B1DCD">
        <w:rPr>
          <w:rFonts w:ascii="Times New Roman" w:hAnsi="Times New Roman" w:cs="Times New Roman"/>
          <w:sz w:val="28"/>
          <w:szCs w:val="28"/>
        </w:rPr>
        <w:t>.</w:t>
      </w:r>
      <w:r w:rsidR="00BB0237" w:rsidRPr="004257AC">
        <w:rPr>
          <w:rFonts w:ascii="Times New Roman" w:hAnsi="Times New Roman" w:cs="Times New Roman"/>
          <w:sz w:val="28"/>
          <w:szCs w:val="28"/>
        </w:rPr>
        <w:t xml:space="preserve"> </w:t>
      </w:r>
      <w:r w:rsidR="009B1DCD">
        <w:rPr>
          <w:rFonts w:ascii="Times New Roman" w:hAnsi="Times New Roman" w:cs="Times New Roman"/>
          <w:sz w:val="28"/>
          <w:szCs w:val="28"/>
        </w:rPr>
        <w:t>И</w:t>
      </w:r>
      <w:r w:rsidR="00BB0237" w:rsidRPr="004257AC">
        <w:rPr>
          <w:rFonts w:ascii="Times New Roman" w:hAnsi="Times New Roman" w:cs="Times New Roman"/>
          <w:sz w:val="28"/>
          <w:szCs w:val="28"/>
        </w:rPr>
        <w:t>сследование проводится также в процессе динамического наблюдения – частота определяется клинической ситуацией. Пациентам с ЯБ с дефицитом железа/анемией рекомендовано проведение исследования кала на скрытую кровь с целью ди</w:t>
      </w:r>
      <w:r w:rsidR="009B1DCD">
        <w:rPr>
          <w:rFonts w:ascii="Times New Roman" w:hAnsi="Times New Roman" w:cs="Times New Roman"/>
          <w:sz w:val="28"/>
          <w:szCs w:val="28"/>
        </w:rPr>
        <w:t>агностики скрытого кровотечения. П</w:t>
      </w:r>
      <w:r w:rsidR="00BB0237" w:rsidRPr="004257AC">
        <w:rPr>
          <w:rFonts w:ascii="Times New Roman" w:hAnsi="Times New Roman" w:cs="Times New Roman"/>
          <w:sz w:val="28"/>
          <w:szCs w:val="28"/>
        </w:rPr>
        <w:t xml:space="preserve">ри интерпретации исследования кала на скрытую кровь необходимо учитывать, что положительная реакция может встречаться при многих других заболеваниях, приеме некоторых лекарственных препаратов, употреблении в пищу мяса, зеленых частей растений. При рефрактерном течении ЯБ с целью исключения синдрома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Золлингера-Эллисона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рекомендуется исследование уровня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в сыворотке крови и внутрижелудочное определение концентрации водородных ионов (рН) в желудочном содержимом (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тощакового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в сыворотке крови и определение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в желудочном содержимом)</w:t>
      </w:r>
      <w:r w:rsidR="009B1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CD" w:rsidRDefault="009B1DCD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0237" w:rsidRPr="004257AC">
        <w:rPr>
          <w:rFonts w:ascii="Times New Roman" w:hAnsi="Times New Roman" w:cs="Times New Roman"/>
          <w:sz w:val="28"/>
          <w:szCs w:val="28"/>
        </w:rPr>
        <w:t xml:space="preserve">индром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Золлингера-Эллисона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proofErr w:type="gramStart"/>
      <w:r w:rsidR="00BB0237" w:rsidRPr="004257AC">
        <w:rPr>
          <w:rFonts w:ascii="Times New Roman" w:hAnsi="Times New Roman" w:cs="Times New Roman"/>
          <w:sz w:val="28"/>
          <w:szCs w:val="28"/>
        </w:rPr>
        <w:t>резким</w:t>
      </w:r>
      <w:proofErr w:type="gram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увеличеним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секреции соляной кислоты в результате развития у пациента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гастринпродуцирующей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опухоли, которая чаще всего локализуется, либо в проксимальной части 12-перстной кишки, либо в поджелудочной железе. В большинстве случаев синдром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Золлингера-Эллисона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ассоциируется </w:t>
      </w:r>
      <w:r>
        <w:rPr>
          <w:rFonts w:ascii="Times New Roman" w:hAnsi="Times New Roman" w:cs="Times New Roman"/>
          <w:sz w:val="28"/>
          <w:szCs w:val="28"/>
        </w:rPr>
        <w:t>с MEN-1 (синдромом Вермера)</w:t>
      </w:r>
      <w:r w:rsidR="00BB0237" w:rsidRPr="004257AC">
        <w:rPr>
          <w:rFonts w:ascii="Times New Roman" w:hAnsi="Times New Roman" w:cs="Times New Roman"/>
          <w:sz w:val="28"/>
          <w:szCs w:val="28"/>
        </w:rPr>
        <w:t xml:space="preserve">. При синдроме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Золлингера-Эллисона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часто развиваются множественные язвы с локализацией не только в желудке и ДПК, но и в тощей кишке и пищеводе, протекающие с выраженным болевым синдромом и диареей. Обследование таких пациентов выявляет резкое повышение базального уровня желудочной секреции соляной кислоты и увеличение концентрации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в сыворотке крови натощак в 10 раз и более относительно верхней границы нормы. Уровень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тощакового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/мл в сочетании с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в </w:t>
      </w:r>
      <w:r w:rsidR="00BB0237" w:rsidRPr="004257AC">
        <w:rPr>
          <w:rFonts w:ascii="Times New Roman" w:hAnsi="Times New Roman" w:cs="Times New Roman"/>
          <w:sz w:val="28"/>
          <w:szCs w:val="28"/>
        </w:rPr>
        <w:lastRenderedPageBreak/>
        <w:t>желудке ниже 2 является диагностическим критер</w:t>
      </w:r>
      <w:r>
        <w:rPr>
          <w:rFonts w:ascii="Times New Roman" w:hAnsi="Times New Roman" w:cs="Times New Roman"/>
          <w:sz w:val="28"/>
          <w:szCs w:val="28"/>
        </w:rPr>
        <w:t>ием для постановки диагноза</w:t>
      </w:r>
      <w:r w:rsidR="00BB0237" w:rsidRPr="00425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CD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7AC">
        <w:rPr>
          <w:rFonts w:ascii="Times New Roman" w:hAnsi="Times New Roman" w:cs="Times New Roman"/>
          <w:sz w:val="28"/>
          <w:szCs w:val="28"/>
        </w:rPr>
        <w:t xml:space="preserve">Всем пациентам с ЯБ для определения показаний к проведению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терапии показано обследование на наличие инфицированности H.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с помощью С-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дыхательного теста и/или определения антигена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хеликобактера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пилори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в фекалиях или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Иммунохроматографическое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экспресс-исследование кала на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геликобактер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пилори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Helicobacter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), при одновременном проведении в ходе ЭГДС быстрого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теста 13 (БУТ).</w:t>
      </w:r>
      <w:proofErr w:type="gramEnd"/>
      <w:r w:rsidRPr="004257AC">
        <w:rPr>
          <w:rFonts w:ascii="Times New Roman" w:hAnsi="Times New Roman" w:cs="Times New Roman"/>
          <w:sz w:val="28"/>
          <w:szCs w:val="28"/>
        </w:rPr>
        <w:t xml:space="preserve"> Для контроля успешности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через 4-6 недель после окончания лечения рекомендовано применение С-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дыхательного теста или определение антигена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хеликобактера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пилори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в фека</w:t>
      </w:r>
      <w:r w:rsidR="009B1DCD">
        <w:rPr>
          <w:rFonts w:ascii="Times New Roman" w:hAnsi="Times New Roman" w:cs="Times New Roman"/>
          <w:sz w:val="28"/>
          <w:szCs w:val="28"/>
        </w:rPr>
        <w:t>лиях.</w:t>
      </w:r>
    </w:p>
    <w:p w:rsidR="009B1DCD" w:rsidRDefault="009B1DCD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237" w:rsidRPr="004257AC">
        <w:rPr>
          <w:rFonts w:ascii="Times New Roman" w:hAnsi="Times New Roman" w:cs="Times New Roman"/>
          <w:sz w:val="28"/>
          <w:szCs w:val="28"/>
        </w:rPr>
        <w:t>Чувствительность С-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уреазного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дыхательного теста по данным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Кокрейновского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обзора и </w:t>
      </w:r>
      <w:proofErr w:type="gramStart"/>
      <w:r w:rsidR="00BB0237" w:rsidRPr="004257AC">
        <w:rPr>
          <w:rFonts w:ascii="Times New Roman" w:hAnsi="Times New Roman" w:cs="Times New Roman"/>
          <w:sz w:val="28"/>
          <w:szCs w:val="28"/>
        </w:rPr>
        <w:t>мета-анализа</w:t>
      </w:r>
      <w:proofErr w:type="gram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составляет 94% (95% ДИ: 0,89-0,97), а определение антигена H.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в кале – 83% (95% ДИ: 0,73-0,90) при фиксированной</w:t>
      </w:r>
      <w:r>
        <w:rPr>
          <w:rFonts w:ascii="Times New Roman" w:hAnsi="Times New Roman" w:cs="Times New Roman"/>
          <w:sz w:val="28"/>
          <w:szCs w:val="28"/>
        </w:rPr>
        <w:t xml:space="preserve"> специфичности в 90%</w:t>
      </w:r>
      <w:r w:rsidR="00BB0237" w:rsidRPr="00425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CD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sz w:val="28"/>
          <w:szCs w:val="28"/>
        </w:rPr>
        <w:t>Следует помнить, что проведение С-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дыхательного теста может дать ложноположительный результат у детей младше 6 лет из-за меньшего объема распределения и д</w:t>
      </w:r>
      <w:r w:rsidR="009B1DCD">
        <w:rPr>
          <w:rFonts w:ascii="Times New Roman" w:hAnsi="Times New Roman" w:cs="Times New Roman"/>
          <w:sz w:val="28"/>
          <w:szCs w:val="28"/>
        </w:rPr>
        <w:t>ругой скорости продукции CO2</w:t>
      </w:r>
      <w:r w:rsidRPr="004257AC">
        <w:rPr>
          <w:rFonts w:ascii="Times New Roman" w:hAnsi="Times New Roman" w:cs="Times New Roman"/>
          <w:sz w:val="28"/>
          <w:szCs w:val="28"/>
        </w:rPr>
        <w:t xml:space="preserve">. При использовании быстрого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теста для диагностики H.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во время эндоскопического вмешательства необходимо осуществлять забор не менее 2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>: 1- из тела и 1 - из</w:t>
      </w:r>
      <w:r w:rsidR="009B1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DCD">
        <w:rPr>
          <w:rFonts w:ascii="Times New Roman" w:hAnsi="Times New Roman" w:cs="Times New Roman"/>
          <w:sz w:val="28"/>
          <w:szCs w:val="28"/>
        </w:rPr>
        <w:t>антрального</w:t>
      </w:r>
      <w:proofErr w:type="spellEnd"/>
      <w:r w:rsidR="009B1DCD">
        <w:rPr>
          <w:rFonts w:ascii="Times New Roman" w:hAnsi="Times New Roman" w:cs="Times New Roman"/>
          <w:sz w:val="28"/>
          <w:szCs w:val="28"/>
        </w:rPr>
        <w:t xml:space="preserve"> отдела желудка</w:t>
      </w:r>
      <w:r w:rsidRPr="004257AC">
        <w:rPr>
          <w:rFonts w:ascii="Times New Roman" w:hAnsi="Times New Roman" w:cs="Times New Roman"/>
          <w:sz w:val="28"/>
          <w:szCs w:val="28"/>
        </w:rPr>
        <w:t>. Использование микробиологического (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культурального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) исследования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стенки желудка на H.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с определением чувствительности к антибактериальным препаратам (в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., при необходимости и возможности, молекулярно-биологическими методами (ПЦР) и методами флуоресцентной гибридизации) возможно в случае неэффективности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те</w:t>
      </w:r>
      <w:r w:rsidR="009B1DCD">
        <w:rPr>
          <w:rFonts w:ascii="Times New Roman" w:hAnsi="Times New Roman" w:cs="Times New Roman"/>
          <w:sz w:val="28"/>
          <w:szCs w:val="28"/>
        </w:rPr>
        <w:t>рапии первой и второй линии</w:t>
      </w:r>
      <w:r w:rsidRPr="004257AC">
        <w:rPr>
          <w:rFonts w:ascii="Times New Roman" w:hAnsi="Times New Roman" w:cs="Times New Roman"/>
          <w:sz w:val="28"/>
          <w:szCs w:val="28"/>
        </w:rPr>
        <w:t>.</w:t>
      </w:r>
    </w:p>
    <w:p w:rsidR="009B1DCD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sz w:val="28"/>
          <w:szCs w:val="28"/>
        </w:rPr>
        <w:t xml:space="preserve"> Также при наличии возможности, следует сделать тесты для определения чувствительности или резистентности к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(таблетки с 12 лет** и #гранулы для приготовления суспензии для приема внутрь**) и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метрони</w:t>
      </w:r>
      <w:r w:rsidR="009B1DCD">
        <w:rPr>
          <w:rFonts w:ascii="Times New Roman" w:hAnsi="Times New Roman" w:cs="Times New Roman"/>
          <w:sz w:val="28"/>
          <w:szCs w:val="28"/>
        </w:rPr>
        <w:t>дазолу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CD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sz w:val="28"/>
          <w:szCs w:val="28"/>
        </w:rPr>
        <w:t xml:space="preserve">С этой целью при исследовании полученных в ходе ЭГДС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, могут быть </w:t>
      </w:r>
      <w:proofErr w:type="gramStart"/>
      <w:r w:rsidRPr="004257AC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4257AC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>, диско-диффузионный метод, ПЦ</w:t>
      </w:r>
      <w:r w:rsidR="009B1DCD">
        <w:rPr>
          <w:rFonts w:ascii="Times New Roman" w:hAnsi="Times New Roman" w:cs="Times New Roman"/>
          <w:sz w:val="28"/>
          <w:szCs w:val="28"/>
        </w:rPr>
        <w:t>Р в реальном времени, FISH-тест</w:t>
      </w:r>
      <w:r w:rsidRPr="004257AC">
        <w:rPr>
          <w:rFonts w:ascii="Times New Roman" w:hAnsi="Times New Roman" w:cs="Times New Roman"/>
          <w:sz w:val="28"/>
          <w:szCs w:val="28"/>
        </w:rPr>
        <w:t xml:space="preserve">. Не рекомендуется применение серологических тестов для первичной диагностики H.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инфекции и контроля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у детей в связи с недостаточной информативностью. Клиническое применение теста </w:t>
      </w:r>
      <w:r w:rsidRPr="004257AC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ограничено тем, что он не позволяет дифференцировать факт инфицирования в анамнезе от наличия H.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в настоящий момент и контролировать эффективность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CD" w:rsidRDefault="00BB0237" w:rsidP="009B1DCD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sz w:val="28"/>
          <w:szCs w:val="28"/>
        </w:rPr>
        <w:t xml:space="preserve">Не все серологические тесты равноценны. </w:t>
      </w:r>
      <w:proofErr w:type="gramStart"/>
      <w:r w:rsidRPr="004257AC">
        <w:rPr>
          <w:rFonts w:ascii="Times New Roman" w:hAnsi="Times New Roman" w:cs="Times New Roman"/>
          <w:sz w:val="28"/>
          <w:szCs w:val="28"/>
        </w:rPr>
        <w:t xml:space="preserve">У пациентов, которые получают ингибиторы протонного насоса (ИПН) и/или антибактериальные препараты системного действия, рекомендовано приостановить прием ИПН на 2 недели, а антибактериальных препаратов системного действия и препаратов висмута на 4 недели перед тестированием с помощью бактериологического, патолого13 13 13 2 анатомического (гистологического) методов, быстрого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теста, С-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дыхательного теста или выяв</w:t>
      </w:r>
      <w:r w:rsidR="009B1DCD">
        <w:rPr>
          <w:rFonts w:ascii="Times New Roman" w:hAnsi="Times New Roman" w:cs="Times New Roman"/>
          <w:sz w:val="28"/>
          <w:szCs w:val="28"/>
        </w:rPr>
        <w:t xml:space="preserve">ления антигена H. </w:t>
      </w:r>
      <w:proofErr w:type="spellStart"/>
      <w:r w:rsidR="009B1DCD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9B1DCD">
        <w:rPr>
          <w:rFonts w:ascii="Times New Roman" w:hAnsi="Times New Roman" w:cs="Times New Roman"/>
          <w:sz w:val="28"/>
          <w:szCs w:val="28"/>
        </w:rPr>
        <w:t xml:space="preserve"> в кале</w:t>
      </w:r>
      <w:r w:rsidRPr="009B1D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B1DCD" w:rsidRDefault="00BB0237" w:rsidP="009B1DCD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При наличии у пациента язвенного кровотечения для определения инфицированности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H.pylori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рекомендуется проведение С-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уреазного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дыхательного теста в связи с низкой чувствительностью БУТ и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патолого-анатомического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(гистологического) исследования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слизистой оболочки желудка</w:t>
      </w:r>
      <w:r w:rsidR="009B1DCD">
        <w:rPr>
          <w:rFonts w:ascii="Times New Roman" w:hAnsi="Times New Roman" w:cs="Times New Roman"/>
          <w:sz w:val="28"/>
          <w:szCs w:val="28"/>
        </w:rPr>
        <w:t>.</w:t>
      </w:r>
      <w:r w:rsidRPr="009B1DCD">
        <w:rPr>
          <w:rFonts w:ascii="Times New Roman" w:hAnsi="Times New Roman" w:cs="Times New Roman"/>
          <w:sz w:val="28"/>
          <w:szCs w:val="28"/>
        </w:rPr>
        <w:t xml:space="preserve"> На фоне кровотечения чувствительность диагностики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H.pylori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снижается, поэтому при отрицательном результате теста рекомендуется обследование и лечение инфекции в период ремиссии</w:t>
      </w:r>
      <w:r w:rsidR="009B1DCD">
        <w:rPr>
          <w:rFonts w:ascii="Times New Roman" w:hAnsi="Times New Roman" w:cs="Times New Roman"/>
          <w:sz w:val="28"/>
          <w:szCs w:val="28"/>
        </w:rPr>
        <w:t>.</w:t>
      </w:r>
      <w:r w:rsidRPr="009B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CD" w:rsidRPr="009B1DCD" w:rsidRDefault="00BB0237" w:rsidP="001619F9">
      <w:pPr>
        <w:pStyle w:val="a9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CD">
        <w:rPr>
          <w:rFonts w:ascii="Times New Roman" w:hAnsi="Times New Roman" w:cs="Times New Roman"/>
          <w:b/>
          <w:sz w:val="28"/>
          <w:szCs w:val="28"/>
        </w:rPr>
        <w:t>Инструментальные диагностические исследования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Всем пациентам с подозрением на ЯБ, при отсутствии противопоказаний, для подтверждения диагноза рекомендуется проведение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эзофагогастродуоденоскопии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(ЭГДС)</w:t>
      </w:r>
      <w:r w:rsidR="009B1DCD">
        <w:rPr>
          <w:rFonts w:ascii="Times New Roman" w:hAnsi="Times New Roman" w:cs="Times New Roman"/>
          <w:sz w:val="28"/>
          <w:szCs w:val="28"/>
        </w:rPr>
        <w:t>.</w:t>
      </w:r>
      <w:r w:rsidRPr="009B1DCD">
        <w:rPr>
          <w:rFonts w:ascii="Times New Roman" w:hAnsi="Times New Roman" w:cs="Times New Roman"/>
          <w:sz w:val="28"/>
          <w:szCs w:val="28"/>
        </w:rPr>
        <w:t xml:space="preserve"> ЭГДС позволяет достоверно диагностировать и охарактеризовать язвенный дефект, контролировать его локализацию, форму, размеры, глубину, состояние дна и краев язвы, заживление дефекта, позволяет выявить признаки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пенетрации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, рубцовой деформации 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стенозирования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просвета органа, проводить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патолого-анатомическую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(гистологическую) оценку морфологической структуры слизистой оболочки, исключать злокачественный характер изъязвления. 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При локализации язвенного процесса в желудке рекомендуется проведение биопсий из краев язвенного дефекта с последующим патологоанатомическим исследованием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материала, позволяющим исключить злокачественный характер язвенного поражения. Контрольное эндоскопическое исследование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взятием биопсии по окончании курса консервативного лечения ЯБЖ проводится </w:t>
      </w:r>
      <w:r w:rsidRPr="009B1DCD">
        <w:rPr>
          <w:rFonts w:ascii="Times New Roman" w:hAnsi="Times New Roman" w:cs="Times New Roman"/>
          <w:sz w:val="28"/>
          <w:szCs w:val="28"/>
        </w:rPr>
        <w:lastRenderedPageBreak/>
        <w:t>пациентам, у которых сохраняются симптомы язвенной болезни или этиологическая причина язвенного процесса остается недостаточно ясной.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 Контрольное эндоскопическое исследование со взятием биопсии по окончании курса консервативного лечения ЯБЖ следует проводить при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персистировании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симптомов для исключения рефрактерной язвы, если этиология язвы не была установлена при первичном обследовании и в том случае, если язва была диагностирована рентгенологически, а лечение было назначен</w:t>
      </w:r>
      <w:r w:rsidR="009B1DCD">
        <w:rPr>
          <w:rFonts w:ascii="Times New Roman" w:hAnsi="Times New Roman" w:cs="Times New Roman"/>
          <w:sz w:val="28"/>
          <w:szCs w:val="28"/>
        </w:rPr>
        <w:t>о без проведения эндоскопии</w:t>
      </w:r>
      <w:proofErr w:type="gramStart"/>
      <w:r w:rsidR="009B1DCD">
        <w:rPr>
          <w:rFonts w:ascii="Times New Roman" w:hAnsi="Times New Roman" w:cs="Times New Roman"/>
          <w:sz w:val="28"/>
          <w:szCs w:val="28"/>
        </w:rPr>
        <w:t xml:space="preserve"> </w:t>
      </w:r>
      <w:r w:rsidRPr="009B1D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При локализации язвенного процесса в ДПК, выполнение биопсии из краев язвенного дефекта не рекомендуется, так как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озлокачествление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язв ДПК является редким. В то же время, проведение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патолого-анатомического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(гистологического) исследования обязательно при подозрении на наличие изъязвленных формах нейроэндокринных и субэпителиальных опухолей, прорастание в ДПК опухолей соседних органов. 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Контрольное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патолого-анатомическое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(гистологическое) исследование при ЯБДПК рекомендуется выполнить для исключения рефрактерной язвенной болезни 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непептической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этиологии язвы, если в процессе лечения сохраняется клиническая симптоматика. Эндоскопическая картина стадий язвенного поражения приводится в Приложении А3.3. Проведение ЭГДС пациентам с язвенным кровотечением с целью верификации источника кровотечения и выполнения эндоскопического гемостаза рекомендуется проводить в течение 24 часов после госпитализации и только после стабилизации гемодинамики (при наличии гемодинамических нарушений)</w:t>
      </w:r>
      <w:r w:rsidR="009B1DCD">
        <w:rPr>
          <w:rFonts w:ascii="Times New Roman" w:hAnsi="Times New Roman" w:cs="Times New Roman"/>
          <w:sz w:val="28"/>
          <w:szCs w:val="28"/>
        </w:rPr>
        <w:t>.</w:t>
      </w:r>
      <w:r w:rsidRPr="009B1DCD">
        <w:rPr>
          <w:rFonts w:ascii="Times New Roman" w:hAnsi="Times New Roman" w:cs="Times New Roman"/>
          <w:sz w:val="28"/>
          <w:szCs w:val="28"/>
        </w:rPr>
        <w:t xml:space="preserve"> Более раннее проведение ЭГДС показано при отсутствии контроля над кровотечением на фоне консервативной терапии. 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В случае невозможности выполнения эндоскопического исследования пациенту с подозрением на ЯБ, с целью подтверждения диагноза рекомендуется проведение рентгенографии желудка и двенадцатиперстной кишки с контрастом (Рентгенография желудка и двенадцатиперстной кишки,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двойным контрастированием)</w:t>
      </w:r>
      <w:r w:rsidR="009B1DCD">
        <w:rPr>
          <w:rFonts w:ascii="Times New Roman" w:hAnsi="Times New Roman" w:cs="Times New Roman"/>
          <w:sz w:val="28"/>
          <w:szCs w:val="28"/>
        </w:rPr>
        <w:t>.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DCD">
        <w:rPr>
          <w:rFonts w:ascii="Times New Roman" w:hAnsi="Times New Roman" w:cs="Times New Roman"/>
          <w:sz w:val="28"/>
          <w:szCs w:val="28"/>
        </w:rPr>
        <w:t xml:space="preserve">Основным признаком ЯБ при проведении рентгенологического исследования является выявление «ниши» на контуре или на рельефе слизистой оболочки, а косвенными признаками являются: выявление местного циркулярного спазма мышечных волокон на контралатеральной </w:t>
      </w:r>
      <w:r w:rsidRPr="009B1DCD">
        <w:rPr>
          <w:rFonts w:ascii="Times New Roman" w:hAnsi="Times New Roman" w:cs="Times New Roman"/>
          <w:sz w:val="28"/>
          <w:szCs w:val="28"/>
        </w:rPr>
        <w:lastRenderedPageBreak/>
        <w:t xml:space="preserve">по отношению к язвенному дефекту стенке желудка в виде «указующего перста», конвергенция складок слизистой оболочки к «нише», рубцово-язвенная деформация желудка и луковицы ДПК, гиперсекреция натощак, нарушения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моторики. </w:t>
      </w:r>
      <w:proofErr w:type="gramEnd"/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В то же время рентгенологическое исследование позволяет оценить выраженность сужения просвета кишки, нарушения моторики и эвакуации из желудка и ДПК. Для диагностики осложнений и при подозрении на перфорацию или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пенетрацию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язвы рекомендуется выполнение ультразвукового исследования брюшной полости комплексного (УЗИ)</w:t>
      </w:r>
      <w:r w:rsidR="009B1DCD">
        <w:rPr>
          <w:rFonts w:ascii="Times New Roman" w:hAnsi="Times New Roman" w:cs="Times New Roman"/>
          <w:sz w:val="28"/>
          <w:szCs w:val="28"/>
        </w:rPr>
        <w:t>.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 По данным УЗИ обращается вниманием на наличие пузырьков газа над передней поверхностью печени, что свидетельствует о наличии перфорации. Основным признаком является также наличие свободной жидкости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взвесью в левом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поддиафрагмальном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пространстве, вокруг селезенки, в полости малого сальника (при перфорации задней стенки желудка) и в малом тазу. При подозрении на наличие перечисленных ультразвуковых признаков показано выполнение компьютерной томографии органов брюшной полости. Чувствительность и специфичность ультразвуковой диагностики ниже таковых по сравнению с компьютерной томографией и во многом зависит от квалификации специалиста по ультразвуковой диагностике, однако данный метод является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неинвазивным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>, не несет лучевую нагрузку и</w:t>
      </w:r>
      <w:r w:rsidR="009B1DCD">
        <w:rPr>
          <w:rFonts w:ascii="Times New Roman" w:hAnsi="Times New Roman" w:cs="Times New Roman"/>
          <w:sz w:val="28"/>
          <w:szCs w:val="28"/>
        </w:rPr>
        <w:t xml:space="preserve"> может применяться повторно</w:t>
      </w:r>
      <w:r w:rsidRPr="009B1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>При подозрении на перфорацию язвы с целью подтверждения диагноза рекомендуется проведение компьютерной томографии органов брюшной</w:t>
      </w:r>
      <w:r w:rsidR="009B1DCD">
        <w:rPr>
          <w:rFonts w:ascii="Times New Roman" w:hAnsi="Times New Roman" w:cs="Times New Roman"/>
          <w:sz w:val="28"/>
          <w:szCs w:val="28"/>
        </w:rPr>
        <w:t>.</w:t>
      </w:r>
    </w:p>
    <w:p w:rsidR="00FF4B71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 Компьютерная томография позволяет определить наличие и локализацию перфорационного отверстия, наличие свободного газа в брюшной полости, объем и характер выпота и друг</w:t>
      </w:r>
      <w:r w:rsidR="00FF4B71">
        <w:rPr>
          <w:rFonts w:ascii="Times New Roman" w:hAnsi="Times New Roman" w:cs="Times New Roman"/>
          <w:sz w:val="28"/>
          <w:szCs w:val="28"/>
        </w:rPr>
        <w:t xml:space="preserve">их патологических изменений. </w:t>
      </w:r>
      <w:r w:rsidRPr="009B1DCD">
        <w:rPr>
          <w:rFonts w:ascii="Times New Roman" w:hAnsi="Times New Roman" w:cs="Times New Roman"/>
          <w:sz w:val="28"/>
          <w:szCs w:val="28"/>
        </w:rPr>
        <w:t xml:space="preserve"> Иные диагнос</w:t>
      </w:r>
      <w:r w:rsidR="00FF4B71">
        <w:rPr>
          <w:rFonts w:ascii="Times New Roman" w:hAnsi="Times New Roman" w:cs="Times New Roman"/>
          <w:sz w:val="28"/>
          <w:szCs w:val="28"/>
        </w:rPr>
        <w:t>тические исследования.</w:t>
      </w:r>
      <w:r w:rsidRPr="009B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B71" w:rsidRPr="00FF4B71" w:rsidRDefault="00FF4B71" w:rsidP="001619F9">
      <w:pPr>
        <w:pStyle w:val="a9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71">
        <w:rPr>
          <w:rFonts w:ascii="Times New Roman" w:hAnsi="Times New Roman" w:cs="Times New Roman"/>
          <w:b/>
          <w:sz w:val="28"/>
          <w:szCs w:val="28"/>
        </w:rPr>
        <w:t>Дифференциальная диагностика.</w:t>
      </w:r>
    </w:p>
    <w:p w:rsidR="00FF4B71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Дифференциальная диагностика язвенной болезни с функциональными нарушениями желудочно-кишечного тракта, хроническим гастродуоденитом, хроническими заболеваниями печени, желчевыводящих путей и поджелудочной железы проводится по данным анамнеза, осмотра, результатов лабораторного, эндоскопического, рентгенологического и ультразвукового исследований. Язвенную болезнь необходимо дифференцировать с симптоматическими </w:t>
      </w:r>
      <w:r w:rsidRPr="009B1DCD">
        <w:rPr>
          <w:rFonts w:ascii="Times New Roman" w:hAnsi="Times New Roman" w:cs="Times New Roman"/>
          <w:sz w:val="28"/>
          <w:szCs w:val="28"/>
        </w:rPr>
        <w:lastRenderedPageBreak/>
        <w:t xml:space="preserve">язвами, патогенез которых связан с определёнными фоновыми заболеваниями или конкретными этиологическими факторами. Клиническая картина обострения этих язв стёрта, отсутствует сезонность и периодичность заболевания. </w:t>
      </w:r>
    </w:p>
    <w:p w:rsidR="00FF4B71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Язвы желудка и 12-перстной кишки могут являться клиническими проявлениями болезни Крона и специфических заболеваний желудочно-кишечного тракта. Это может быть как при изолированном поражении желудка, так и в сочетании с любыми другими локализациями поражения при болезни Крона </w:t>
      </w:r>
    </w:p>
    <w:p w:rsidR="00FF4B71" w:rsidRPr="00FF4B71" w:rsidRDefault="00FF4B71" w:rsidP="001619F9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71">
        <w:rPr>
          <w:rFonts w:ascii="Times New Roman" w:hAnsi="Times New Roman" w:cs="Times New Roman"/>
          <w:b/>
          <w:sz w:val="28"/>
          <w:szCs w:val="28"/>
        </w:rPr>
        <w:t>11. Лечение.</w:t>
      </w:r>
    </w:p>
    <w:p w:rsidR="00FF4B71" w:rsidRDefault="00BB0237" w:rsidP="00FF4B7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 Лечение, включая медикаментозную и немедикаментозную терапии, диетотерапию, обезболивание, медицинские показания и противопоказан</w:t>
      </w:r>
      <w:r w:rsidR="00FF4B71">
        <w:rPr>
          <w:rFonts w:ascii="Times New Roman" w:hAnsi="Times New Roman" w:cs="Times New Roman"/>
          <w:sz w:val="28"/>
          <w:szCs w:val="28"/>
        </w:rPr>
        <w:t xml:space="preserve">ия к применению методов лечения. </w:t>
      </w:r>
    </w:p>
    <w:p w:rsidR="00FF4B71" w:rsidRDefault="00FF4B71" w:rsidP="00FF4B7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i/>
          <w:sz w:val="28"/>
          <w:szCs w:val="28"/>
        </w:rPr>
        <w:t>Консервативное лечение</w:t>
      </w:r>
      <w:r>
        <w:rPr>
          <w:rFonts w:ascii="Times New Roman" w:hAnsi="Times New Roman" w:cs="Times New Roman"/>
          <w:sz w:val="28"/>
          <w:szCs w:val="28"/>
        </w:rPr>
        <w:t>. Диетотерапия с</w:t>
      </w:r>
      <w:r w:rsidR="00BB0237" w:rsidRPr="009B1DCD">
        <w:rPr>
          <w:rFonts w:ascii="Times New Roman" w:hAnsi="Times New Roman" w:cs="Times New Roman"/>
          <w:sz w:val="28"/>
          <w:szCs w:val="28"/>
        </w:rPr>
        <w:t xml:space="preserve"> целью ускорения заживления язв всем пациентам с ЯБ рекомендуется диетотерапия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0237" w:rsidRPr="009B1DCD">
        <w:rPr>
          <w:rFonts w:ascii="Times New Roman" w:hAnsi="Times New Roman" w:cs="Times New Roman"/>
          <w:sz w:val="28"/>
          <w:szCs w:val="28"/>
        </w:rPr>
        <w:t xml:space="preserve">Основные принципы диетического питания пациентов с язвенной болезнью включают </w:t>
      </w:r>
      <w:proofErr w:type="gramStart"/>
      <w:r w:rsidR="00BB0237" w:rsidRPr="009B1DCD">
        <w:rPr>
          <w:rFonts w:ascii="Times New Roman" w:hAnsi="Times New Roman" w:cs="Times New Roman"/>
          <w:sz w:val="28"/>
          <w:szCs w:val="28"/>
        </w:rPr>
        <w:t>частое</w:t>
      </w:r>
      <w:proofErr w:type="gramEnd"/>
      <w:r w:rsidR="00BB0237" w:rsidRPr="009B1DCD">
        <w:rPr>
          <w:rFonts w:ascii="Times New Roman" w:hAnsi="Times New Roman" w:cs="Times New Roman"/>
          <w:sz w:val="28"/>
          <w:szCs w:val="28"/>
        </w:rPr>
        <w:t xml:space="preserve"> (5-6 раз в сутки), дробного питания, механического термического и химического </w:t>
      </w:r>
      <w:proofErr w:type="spellStart"/>
      <w:r w:rsidR="00BB0237" w:rsidRPr="009B1DCD">
        <w:rPr>
          <w:rFonts w:ascii="Times New Roman" w:hAnsi="Times New Roman" w:cs="Times New Roman"/>
          <w:sz w:val="28"/>
          <w:szCs w:val="28"/>
        </w:rPr>
        <w:t>щажения</w:t>
      </w:r>
      <w:proofErr w:type="spellEnd"/>
      <w:r w:rsidR="00BB0237" w:rsidRPr="009B1DCD">
        <w:rPr>
          <w:rFonts w:ascii="Times New Roman" w:hAnsi="Times New Roman" w:cs="Times New Roman"/>
          <w:sz w:val="28"/>
          <w:szCs w:val="28"/>
        </w:rPr>
        <w:t>.</w:t>
      </w:r>
    </w:p>
    <w:p w:rsidR="00FF4B71" w:rsidRDefault="00BB0237" w:rsidP="00FF4B7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Из пищевого рациона необходимо исключить продукты, способные повышать секрецию пищеварительных ферментов и соляной кислоты и/или раздражающие слизистую оболочку: крепкие мясные и рыбные бульоны, жареную и копченую, соленую, маринованную пищу,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содержащие экстрактивные вещества (перец, горчица, приправы, специи, лук, чеснок). </w:t>
      </w:r>
    </w:p>
    <w:p w:rsidR="00BE6E8A" w:rsidRDefault="00BB0237" w:rsidP="00FF4B7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Предпочтение необходимо отдавать продуктам, обладающим способностью связывать и нейтрализовать соляную кислоту (т.е. обладающим буферным действием): мясо и рыба (отварные или приготовленные на пару), яйца, молоко и молочные продукты.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Разрешаются макаронные изделия, черствый белый хлеб, сухой бисквит и сухое печенье, молочные и вегетарианские супы, овощи (картофель, морковь, кабачки, цветная капуста), каши, кисели из сладких ягод, муссы, желе, сырые тертые и печеные яблоки, некрепкий чай.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Предпочтительным способом приготовления пищи является варка, тушение, приготовление на пару.</w:t>
      </w:r>
    </w:p>
    <w:p w:rsidR="00FF4B71" w:rsidRDefault="00BB0237" w:rsidP="00FF4B7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B71" w:rsidRPr="00BE6E8A" w:rsidRDefault="00BE6E8A" w:rsidP="001619F9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Медика</w:t>
      </w:r>
      <w:r w:rsidR="00BB0237" w:rsidRPr="00BE6E8A">
        <w:rPr>
          <w:rFonts w:ascii="Times New Roman" w:hAnsi="Times New Roman" w:cs="Times New Roman"/>
          <w:b/>
          <w:sz w:val="28"/>
          <w:szCs w:val="28"/>
        </w:rPr>
        <w:t>ментозная терапия</w:t>
      </w:r>
      <w:r w:rsidR="00FF4B71" w:rsidRPr="00BE6E8A">
        <w:rPr>
          <w:rFonts w:ascii="Times New Roman" w:hAnsi="Times New Roman" w:cs="Times New Roman"/>
          <w:b/>
          <w:sz w:val="28"/>
          <w:szCs w:val="28"/>
        </w:rPr>
        <w:t>.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Всем пациентам с обострением ЯБ с целью заживления язвенного дефекта рекомендуется проведение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антисекреторной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ингибиторами протонного насоса</w:t>
      </w:r>
      <w:r w:rsidR="00FF4B71">
        <w:rPr>
          <w:rFonts w:ascii="Times New Roman" w:hAnsi="Times New Roman" w:cs="Times New Roman"/>
          <w:sz w:val="28"/>
          <w:szCs w:val="28"/>
        </w:rPr>
        <w:t>.</w:t>
      </w:r>
      <w:r w:rsidRPr="00FF4B71">
        <w:rPr>
          <w:rFonts w:ascii="Times New Roman" w:hAnsi="Times New Roman" w:cs="Times New Roman"/>
          <w:sz w:val="28"/>
          <w:szCs w:val="28"/>
        </w:rPr>
        <w:t xml:space="preserve"> Предпочтение при выборе среди препаратов для лечения язвенной болезни желудка и двенадцатиперстной кишки 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гастроэзофагеальной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рефлюксной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болезни (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антисекреторных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препаратов) группе ИПН в сравнении с блокаторами Н 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>истаминовых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рецепторов объясняется более высокой эффективностью первых в устранении клинических 2 симптомов и достижении рубцевания язв по данным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сравнительных исследований (включая мета-анализы. </w:t>
      </w:r>
    </w:p>
    <w:p w:rsidR="00FF4B71" w:rsidRDefault="00FF4B71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BB0237" w:rsidRPr="00FF4B71">
        <w:rPr>
          <w:rFonts w:ascii="Times New Roman" w:hAnsi="Times New Roman" w:cs="Times New Roman"/>
          <w:sz w:val="28"/>
          <w:szCs w:val="28"/>
        </w:rPr>
        <w:t>зомепразол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(дозировки: дети весом 15-24 кг по 20 мг х 2 раза в сутки; 25-34 кг – по 30 мг х 2 раза в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; &gt; </w:t>
      </w:r>
      <w:proofErr w:type="gramStart"/>
      <w:r w:rsidR="00BB0237" w:rsidRPr="00FF4B7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кг по 40 мг х 2 раза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или детям с 4 лет с массой тела 35 к</w:t>
      </w:r>
      <w:r>
        <w:rPr>
          <w:rFonts w:ascii="Times New Roman" w:hAnsi="Times New Roman" w:cs="Times New Roman"/>
          <w:sz w:val="28"/>
          <w:szCs w:val="28"/>
        </w:rPr>
        <w:t xml:space="preserve">г по 40 мг х 2 раза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или доза 1 мг/кг/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в 2 приема, макс</w:t>
      </w:r>
      <w:r>
        <w:rPr>
          <w:rFonts w:ascii="Times New Roman" w:hAnsi="Times New Roman" w:cs="Times New Roman"/>
          <w:sz w:val="28"/>
          <w:szCs w:val="28"/>
        </w:rPr>
        <w:t xml:space="preserve">имальная суточная доза 40мг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BB0237" w:rsidRPr="00FF4B71">
        <w:rPr>
          <w:rFonts w:ascii="Times New Roman" w:hAnsi="Times New Roman" w:cs="Times New Roman"/>
          <w:sz w:val="28"/>
          <w:szCs w:val="28"/>
        </w:rPr>
        <w:t>ансопразол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1,5 мг/кг/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в 2 приема (макс</w:t>
      </w:r>
      <w:r>
        <w:rPr>
          <w:rFonts w:ascii="Times New Roman" w:hAnsi="Times New Roman" w:cs="Times New Roman"/>
          <w:sz w:val="28"/>
          <w:szCs w:val="28"/>
        </w:rPr>
        <w:t>имальная суточная доза 60мг)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Если язвенная болезнь ассоциирована с инфекцией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Helicobacter</w:t>
      </w:r>
      <w:proofErr w:type="spellEnd"/>
      <w:proofErr w:type="gram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BB0237" w:rsidRPr="00FF4B71">
        <w:rPr>
          <w:rFonts w:ascii="Times New Roman" w:hAnsi="Times New Roman" w:cs="Times New Roman"/>
          <w:sz w:val="28"/>
          <w:szCs w:val="28"/>
        </w:rPr>
        <w:t>зомепразолу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B0237" w:rsidRPr="00FF4B71">
        <w:rPr>
          <w:rFonts w:ascii="Times New Roman" w:hAnsi="Times New Roman" w:cs="Times New Roman"/>
          <w:sz w:val="28"/>
          <w:szCs w:val="28"/>
        </w:rPr>
        <w:t>абепразолу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, поскольку эти препараты имеют более высокий синергетический эффект с антибиотиками и в меньшей степени зависят от часто встречающегося в европейской популяции усиливающего метаболизм фенотипа CYP2C19 (быстрые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метаболизаторы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B71" w:rsidRDefault="00FF4B71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BB0237" w:rsidRPr="00FF4B71">
        <w:rPr>
          <w:rFonts w:ascii="Times New Roman" w:hAnsi="Times New Roman" w:cs="Times New Roman"/>
          <w:sz w:val="28"/>
          <w:szCs w:val="28"/>
        </w:rPr>
        <w:t>зомепразол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B0237" w:rsidRPr="00FF4B71">
        <w:rPr>
          <w:rFonts w:ascii="Times New Roman" w:hAnsi="Times New Roman" w:cs="Times New Roman"/>
          <w:sz w:val="28"/>
          <w:szCs w:val="28"/>
        </w:rPr>
        <w:t>абепразол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BB0237" w:rsidRPr="00FF4B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оступны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могут быть назначены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BB0237" w:rsidRPr="00FF4B71">
        <w:rPr>
          <w:rFonts w:ascii="Times New Roman" w:hAnsi="Times New Roman" w:cs="Times New Roman"/>
          <w:sz w:val="28"/>
          <w:szCs w:val="28"/>
        </w:rPr>
        <w:t>мепразол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BB0237" w:rsidRPr="00FF4B71">
        <w:rPr>
          <w:rFonts w:ascii="Times New Roman" w:hAnsi="Times New Roman" w:cs="Times New Roman"/>
          <w:sz w:val="28"/>
          <w:szCs w:val="28"/>
        </w:rPr>
        <w:t>ансопразол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. Высокие дозы ИПН лучше подавляют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кислотопродукцию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, увеличивая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, что повышает эффективность наиболее часто назначаемых амоксициллина** и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кларитромицина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(таблетки с 12 лет и гранулы для приготовлен</w:t>
      </w:r>
      <w:r>
        <w:rPr>
          <w:rFonts w:ascii="Times New Roman" w:hAnsi="Times New Roman" w:cs="Times New Roman"/>
          <w:sz w:val="28"/>
          <w:szCs w:val="28"/>
        </w:rPr>
        <w:t>ия суспензии для приема внутрь)</w:t>
      </w:r>
      <w:r w:rsidR="00BB0237" w:rsidRPr="00FF4B71">
        <w:rPr>
          <w:rFonts w:ascii="Times New Roman" w:hAnsi="Times New Roman" w:cs="Times New Roman"/>
          <w:sz w:val="28"/>
          <w:szCs w:val="28"/>
        </w:rPr>
        <w:t>. При неосложненной язве луковицы 12-перстной кишки длительность назначения ИПН совпадает с длительностью антибактериальной терапии (14 дней). Для заживления язвенного дефекта нет необходимости в назначении более длительног</w:t>
      </w:r>
      <w:r>
        <w:rPr>
          <w:rFonts w:ascii="Times New Roman" w:hAnsi="Times New Roman" w:cs="Times New Roman"/>
          <w:sz w:val="28"/>
          <w:szCs w:val="28"/>
        </w:rPr>
        <w:t xml:space="preserve">о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антисекреторной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Более длительное назначение ИПН показано пациентам, у которых после завершения курса лечения инфекции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сохр</w:t>
      </w:r>
      <w:r w:rsidR="00FF4B71">
        <w:rPr>
          <w:rFonts w:ascii="Times New Roman" w:hAnsi="Times New Roman" w:cs="Times New Roman"/>
          <w:sz w:val="28"/>
          <w:szCs w:val="28"/>
        </w:rPr>
        <w:t xml:space="preserve">аняются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диспептические</w:t>
      </w:r>
      <w:proofErr w:type="spellEnd"/>
      <w:r w:rsidR="00FF4B71">
        <w:rPr>
          <w:rFonts w:ascii="Times New Roman" w:hAnsi="Times New Roman" w:cs="Times New Roman"/>
          <w:sz w:val="28"/>
          <w:szCs w:val="28"/>
        </w:rPr>
        <w:t xml:space="preserve"> симптомы</w:t>
      </w:r>
      <w:r w:rsidRPr="00FF4B71">
        <w:rPr>
          <w:rFonts w:ascii="Times New Roman" w:hAnsi="Times New Roman" w:cs="Times New Roman"/>
          <w:sz w:val="28"/>
          <w:szCs w:val="28"/>
        </w:rPr>
        <w:t xml:space="preserve">. При неосложненной язве желудка длительность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антисекреторной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должна составлять не менее 8 недель (2 недели вместе </w:t>
      </w:r>
      <w:r w:rsidR="00FF4B71">
        <w:rPr>
          <w:rFonts w:ascii="Times New Roman" w:hAnsi="Times New Roman" w:cs="Times New Roman"/>
          <w:sz w:val="28"/>
          <w:szCs w:val="28"/>
        </w:rPr>
        <w:t>с антибиотиками и еще 6 недель)</w:t>
      </w:r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lastRenderedPageBreak/>
        <w:t xml:space="preserve">При осложненной язве луковицы 12-перстной кишки и желудка продолжительность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антисекреторной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должна составлять 8-12 недель (включая прием ИПН в соста</w:t>
      </w:r>
      <w:r w:rsidR="00FF4B71">
        <w:rPr>
          <w:rFonts w:ascii="Times New Roman" w:hAnsi="Times New Roman" w:cs="Times New Roman"/>
          <w:sz w:val="28"/>
          <w:szCs w:val="28"/>
        </w:rPr>
        <w:t>ве антихеликобактерной терапии).</w:t>
      </w:r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Не рекомендовано рутинное назначение блокаторов Н 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>истаминовых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рецепторов, данные препараты могут применяться при язвенной болезни, не ассоциированной с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, при 2 невозможности применения ИПН (или в комбинации с ними) с целью уси</w:t>
      </w:r>
      <w:r w:rsidR="00FF4B71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антисекреторного</w:t>
      </w:r>
      <w:proofErr w:type="spellEnd"/>
      <w:r w:rsidR="00FF4B71">
        <w:rPr>
          <w:rFonts w:ascii="Times New Roman" w:hAnsi="Times New Roman" w:cs="Times New Roman"/>
          <w:sz w:val="28"/>
          <w:szCs w:val="28"/>
        </w:rPr>
        <w:t xml:space="preserve"> действия. </w:t>
      </w:r>
      <w:r w:rsidRPr="00FF4B71">
        <w:rPr>
          <w:rFonts w:ascii="Times New Roman" w:hAnsi="Times New Roman" w:cs="Times New Roman"/>
          <w:sz w:val="28"/>
          <w:szCs w:val="28"/>
        </w:rPr>
        <w:t xml:space="preserve">Данные препараты утратили свои позиции и в настоящее время применяются редко. Рекомендовано проведение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при ЯБ, ассоциированн</w:t>
      </w:r>
      <w:r w:rsidR="00FF4B71">
        <w:rPr>
          <w:rFonts w:ascii="Times New Roman" w:hAnsi="Times New Roman" w:cs="Times New Roman"/>
          <w:sz w:val="28"/>
          <w:szCs w:val="28"/>
        </w:rPr>
        <w:t xml:space="preserve">ой с H.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FF4B71">
        <w:rPr>
          <w:rFonts w:ascii="Times New Roman" w:hAnsi="Times New Roman" w:cs="Times New Roman"/>
          <w:sz w:val="28"/>
          <w:szCs w:val="28"/>
        </w:rPr>
        <w:t xml:space="preserve"> с лечебной целью.</w:t>
      </w:r>
      <w:r w:rsidRPr="00FF4B71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у инфицированных пациентов среди взрослого населения снижает риск рецидива ЯБДПК (ОР=0,20;95% ДИ:0,15-0,26) и ЯБЖ (ОР=0,29; 95% ДИ:0,20-</w:t>
      </w:r>
      <w:r w:rsidR="00FF4B71">
        <w:rPr>
          <w:rFonts w:ascii="Times New Roman" w:hAnsi="Times New Roman" w:cs="Times New Roman"/>
          <w:sz w:val="28"/>
          <w:szCs w:val="28"/>
        </w:rPr>
        <w:t>0,42) в сравнении с плацебо</w:t>
      </w:r>
      <w:r w:rsidRPr="00FF4B71">
        <w:rPr>
          <w:rFonts w:ascii="Times New Roman" w:hAnsi="Times New Roman" w:cs="Times New Roman"/>
          <w:sz w:val="28"/>
          <w:szCs w:val="28"/>
        </w:rPr>
        <w:t xml:space="preserve">. У детей подобные исследования не проводились. При выборе схемы лечения инфекции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необходимо учитывать следующие факторы: наличие лекарственной аллергии (в частности, к пенициллинам), возраст, наличие/отсутствие данных о чувствительности/резистентности к антибиотикам у пациента, региональные особенности антибиотикорезистентности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, наличие факторов риска вто</w:t>
      </w:r>
      <w:r w:rsidR="00FF4B71">
        <w:rPr>
          <w:rFonts w:ascii="Times New Roman" w:hAnsi="Times New Roman" w:cs="Times New Roman"/>
          <w:sz w:val="28"/>
          <w:szCs w:val="28"/>
        </w:rPr>
        <w:t xml:space="preserve">ричной резистентности H.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Следует выбирать схемы лечения, эффективность которых выше 90%. Продолжительность лечения инфекции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д</w:t>
      </w:r>
      <w:r w:rsidR="00FF4B71">
        <w:rPr>
          <w:rFonts w:ascii="Times New Roman" w:hAnsi="Times New Roman" w:cs="Times New Roman"/>
          <w:sz w:val="28"/>
          <w:szCs w:val="28"/>
        </w:rPr>
        <w:t>олжна составлять 14 дней</w:t>
      </w:r>
      <w:r w:rsidRPr="00FF4B71">
        <w:rPr>
          <w:rFonts w:ascii="Times New Roman" w:hAnsi="Times New Roman" w:cs="Times New Roman"/>
          <w:sz w:val="28"/>
          <w:szCs w:val="28"/>
        </w:rPr>
        <w:t xml:space="preserve">. Увеличение продолжительности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до 14 дней обеспечивает более высокую эффективность в сравнении с применяемой ранее 7-10 дневной терапией. 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Наибольшей активностью в отношении инфекции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у д</w:t>
      </w:r>
      <w:r w:rsidR="00FF4B71">
        <w:rPr>
          <w:rFonts w:ascii="Times New Roman" w:hAnsi="Times New Roman" w:cs="Times New Roman"/>
          <w:sz w:val="28"/>
          <w:szCs w:val="28"/>
        </w:rPr>
        <w:t xml:space="preserve">етей обладают амоксициллин, 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</w:t>
      </w:r>
      <w:proofErr w:type="spellEnd"/>
      <w:r w:rsidR="00FF4B71">
        <w:rPr>
          <w:rFonts w:ascii="Times New Roman" w:hAnsi="Times New Roman" w:cs="Times New Roman"/>
          <w:sz w:val="28"/>
          <w:szCs w:val="28"/>
        </w:rPr>
        <w:t xml:space="preserve"> </w:t>
      </w:r>
      <w:r w:rsidRPr="00FF4B71">
        <w:rPr>
          <w:rFonts w:ascii="Times New Roman" w:hAnsi="Times New Roman" w:cs="Times New Roman"/>
          <w:sz w:val="28"/>
          <w:szCs w:val="28"/>
        </w:rPr>
        <w:t xml:space="preserve">(дозировка: дети весом 15-24 кг – 250 мг х 2 раза в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; 25-34 кг – 500 мг утро – 250 мг вечер; &gt;35 кг – по 500 мг х 2 ра</w:t>
      </w:r>
      <w:r w:rsidR="00FF4B71">
        <w:rPr>
          <w:rFonts w:ascii="Times New Roman" w:hAnsi="Times New Roman" w:cs="Times New Roman"/>
          <w:sz w:val="28"/>
          <w:szCs w:val="28"/>
        </w:rPr>
        <w:t xml:space="preserve">за в сутки),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ларитромицин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(таблетки для детей с12 лети #гранулы для приготовлен</w:t>
      </w:r>
      <w:r w:rsidR="00FF4B71">
        <w:rPr>
          <w:rFonts w:ascii="Times New Roman" w:hAnsi="Times New Roman" w:cs="Times New Roman"/>
          <w:sz w:val="28"/>
          <w:szCs w:val="28"/>
        </w:rPr>
        <w:t>ия суспензии для приема внутрь</w:t>
      </w:r>
      <w:r w:rsidRPr="00FF4B71">
        <w:rPr>
          <w:rFonts w:ascii="Times New Roman" w:hAnsi="Times New Roman" w:cs="Times New Roman"/>
          <w:sz w:val="28"/>
          <w:szCs w:val="28"/>
        </w:rPr>
        <w:t>) (дозировка: дети весом 15-24 кг – 250 мг х 2 раза в сутки; 25-34 кг – 500 мг утро- 250 мг вечер (750 мг в сутки),</w:t>
      </w:r>
      <w:r w:rsidR="00FF4B71">
        <w:rPr>
          <w:rFonts w:ascii="Times New Roman" w:hAnsi="Times New Roman" w:cs="Times New Roman"/>
          <w:sz w:val="28"/>
          <w:szCs w:val="28"/>
        </w:rPr>
        <w:t xml:space="preserve"> </w:t>
      </w:r>
      <w:r w:rsidRPr="00FF4B71">
        <w:rPr>
          <w:rFonts w:ascii="Times New Roman" w:hAnsi="Times New Roman" w:cs="Times New Roman"/>
          <w:sz w:val="28"/>
          <w:szCs w:val="28"/>
        </w:rPr>
        <w:t xml:space="preserve">либо 375 мг х 2 раза в 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>сутки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 xml:space="preserve"> если доступна суспензия; &gt;35 кг – по 500 мг х 2 раза в сутки)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 xml:space="preserve"> #тетрациклин (детям, начиная с 8-летнего возраста; дозировка: 25-50 мг/кг/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, разделив на 4</w:t>
      </w:r>
      <w:r w:rsidR="00FF4B71">
        <w:rPr>
          <w:rFonts w:ascii="Times New Roman" w:hAnsi="Times New Roman" w:cs="Times New Roman"/>
          <w:sz w:val="28"/>
          <w:szCs w:val="28"/>
        </w:rPr>
        <w:t xml:space="preserve"> приема (макс. доза 2000 мг)),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фуразолидон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(30 кг – по 200 мг 2 раза в день или 6-10 мг/кг/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, р</w:t>
      </w:r>
      <w:r w:rsidR="00FF4B71">
        <w:rPr>
          <w:rFonts w:ascii="Times New Roman" w:hAnsi="Times New Roman" w:cs="Times New Roman"/>
          <w:sz w:val="28"/>
          <w:szCs w:val="28"/>
        </w:rPr>
        <w:t>азделив на 4 приема)</w:t>
      </w:r>
      <w:r w:rsidRPr="00FF4B71">
        <w:rPr>
          <w:rFonts w:ascii="Times New Roman" w:hAnsi="Times New Roman" w:cs="Times New Roman"/>
          <w:sz w:val="28"/>
          <w:szCs w:val="28"/>
        </w:rPr>
        <w:t>.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макролидов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наибольшей активностью в отношении к H.</w:t>
      </w:r>
      <w:r w:rsid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FF4B71">
        <w:rPr>
          <w:rFonts w:ascii="Times New Roman" w:hAnsi="Times New Roman" w:cs="Times New Roman"/>
          <w:sz w:val="28"/>
          <w:szCs w:val="28"/>
        </w:rPr>
        <w:t xml:space="preserve"> обладает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кларитромицин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(таблетки с 12 лет и гранулы для приготовлен</w:t>
      </w:r>
      <w:r w:rsidR="00FF4B71">
        <w:rPr>
          <w:rFonts w:ascii="Times New Roman" w:hAnsi="Times New Roman" w:cs="Times New Roman"/>
          <w:sz w:val="28"/>
          <w:szCs w:val="28"/>
        </w:rPr>
        <w:t xml:space="preserve">ия суспензии для приема внутрь), а наименьшей -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lastRenderedPageBreak/>
        <w:t>джозамицин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. Наибольшее влияние на эффективность лечения инфекции оказывает резистентность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  <w:r w:rsidR="00FF4B71">
        <w:rPr>
          <w:rFonts w:ascii="Times New Roman" w:hAnsi="Times New Roman" w:cs="Times New Roman"/>
          <w:sz w:val="28"/>
          <w:szCs w:val="28"/>
        </w:rPr>
        <w:t xml:space="preserve"> (таблетки с 12 лет** и </w:t>
      </w:r>
      <w:r w:rsidRPr="00FF4B71">
        <w:rPr>
          <w:rFonts w:ascii="Times New Roman" w:hAnsi="Times New Roman" w:cs="Times New Roman"/>
          <w:sz w:val="28"/>
          <w:szCs w:val="28"/>
        </w:rPr>
        <w:t xml:space="preserve">гранулы для приготовления суспензии для </w:t>
      </w:r>
      <w:r w:rsidR="00FF4B71">
        <w:rPr>
          <w:rFonts w:ascii="Times New Roman" w:hAnsi="Times New Roman" w:cs="Times New Roman"/>
          <w:sz w:val="28"/>
          <w:szCs w:val="28"/>
        </w:rPr>
        <w:t>приема внутрь</w:t>
      </w:r>
      <w:r w:rsidRPr="00FF4B7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, а также резистентность к обоим антибиотикам (двойная резистентность). </w:t>
      </w:r>
    </w:p>
    <w:p w:rsidR="00BF3DB5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B71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метаанализа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, включающим данные 11 исследований в 8 городах России, резистентно</w:t>
      </w:r>
      <w:r w:rsidR="00BF3DB5">
        <w:rPr>
          <w:rFonts w:ascii="Times New Roman" w:hAnsi="Times New Roman" w:cs="Times New Roman"/>
          <w:sz w:val="28"/>
          <w:szCs w:val="28"/>
        </w:rPr>
        <w:t xml:space="preserve">сть H.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(таблетки с 12 лет и </w:t>
      </w:r>
      <w:r w:rsidRPr="00FF4B71">
        <w:rPr>
          <w:rFonts w:ascii="Times New Roman" w:hAnsi="Times New Roman" w:cs="Times New Roman"/>
          <w:sz w:val="28"/>
          <w:szCs w:val="28"/>
        </w:rPr>
        <w:t>гранулы для приготовлен</w:t>
      </w:r>
      <w:r w:rsidR="00BF3DB5">
        <w:rPr>
          <w:rFonts w:ascii="Times New Roman" w:hAnsi="Times New Roman" w:cs="Times New Roman"/>
          <w:sz w:val="28"/>
          <w:szCs w:val="28"/>
        </w:rPr>
        <w:t>ия суспензии для приема внутрь</w:t>
      </w:r>
      <w:r w:rsidRPr="00FF4B71">
        <w:rPr>
          <w:rFonts w:ascii="Times New Roman" w:hAnsi="Times New Roman" w:cs="Times New Roman"/>
          <w:sz w:val="28"/>
          <w:szCs w:val="28"/>
        </w:rPr>
        <w:t>) у взрослых пациентов в Москве, Смоленске, Новосибирске, Казани, Ярославле и Владивостоке составляет менее 15%,, что позволяет в этих городах включать данный антибиотик в схемы первой линии без пре</w:t>
      </w:r>
      <w:r w:rsidR="00BF3DB5">
        <w:rPr>
          <w:rFonts w:ascii="Times New Roman" w:hAnsi="Times New Roman" w:cs="Times New Roman"/>
          <w:sz w:val="28"/>
          <w:szCs w:val="28"/>
        </w:rPr>
        <w:t>дварительного тестирования</w:t>
      </w:r>
      <w:r w:rsidRPr="00FF4B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>У детей, проживающих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 xml:space="preserve"> в Санкт-Петербурге и Уфе, резистентность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клари</w:t>
      </w:r>
      <w:r w:rsidR="00BF3DB5">
        <w:rPr>
          <w:rFonts w:ascii="Times New Roman" w:hAnsi="Times New Roman" w:cs="Times New Roman"/>
          <w:sz w:val="28"/>
          <w:szCs w:val="28"/>
        </w:rPr>
        <w:t>тромицину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(таблетки с 12 лет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</w:t>
      </w:r>
      <w:r w:rsidR="00BF3DB5">
        <w:rPr>
          <w:rFonts w:ascii="Times New Roman" w:hAnsi="Times New Roman" w:cs="Times New Roman"/>
          <w:sz w:val="28"/>
          <w:szCs w:val="28"/>
        </w:rPr>
        <w:t xml:space="preserve"> </w:t>
      </w:r>
      <w:r w:rsidRPr="00FF4B71">
        <w:rPr>
          <w:rFonts w:ascii="Times New Roman" w:hAnsi="Times New Roman" w:cs="Times New Roman"/>
          <w:sz w:val="28"/>
          <w:szCs w:val="28"/>
        </w:rPr>
        <w:t>гранулы для приготовлен</w:t>
      </w:r>
      <w:r w:rsidR="00BF3DB5">
        <w:rPr>
          <w:rFonts w:ascii="Times New Roman" w:hAnsi="Times New Roman" w:cs="Times New Roman"/>
          <w:sz w:val="28"/>
          <w:szCs w:val="28"/>
        </w:rPr>
        <w:t>ия суспензии для приема внутрь) превышает пороговые 15%</w:t>
      </w:r>
      <w:r w:rsidRPr="00FF4B71">
        <w:rPr>
          <w:rFonts w:ascii="Times New Roman" w:hAnsi="Times New Roman" w:cs="Times New Roman"/>
          <w:sz w:val="28"/>
          <w:szCs w:val="28"/>
        </w:rPr>
        <w:t xml:space="preserve">, что при включении в схему этого препарата, не позволяет достичь целевой (&gt;90%) эффективности лечения инфекции в этих городах [64]. Преодолеть устойчивость к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клари</w:t>
      </w:r>
      <w:r w:rsidR="00BF3DB5">
        <w:rPr>
          <w:rFonts w:ascii="Times New Roman" w:hAnsi="Times New Roman" w:cs="Times New Roman"/>
          <w:sz w:val="28"/>
          <w:szCs w:val="28"/>
        </w:rPr>
        <w:t>тромицину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>** (таблетки с 12 лет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 #гранулы для приготовления суспензии для приема внутрь**) не представляется возможным [64].</w:t>
      </w:r>
      <w:r w:rsidR="00BF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Резистеность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Метронидазолу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во многих регионах России находится в диапазоне 15,3% – 55,</w:t>
      </w:r>
      <w:r w:rsidR="00BF3DB5">
        <w:rPr>
          <w:rFonts w:ascii="Times New Roman" w:hAnsi="Times New Roman" w:cs="Times New Roman"/>
          <w:sz w:val="28"/>
          <w:szCs w:val="28"/>
        </w:rPr>
        <w:t>6%</w:t>
      </w:r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DB5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Устойчивость к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етронидазолу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</w:t>
      </w:r>
      <w:r w:rsidRPr="00FF4B71">
        <w:rPr>
          <w:rFonts w:ascii="Times New Roman" w:hAnsi="Times New Roman" w:cs="Times New Roman"/>
          <w:sz w:val="28"/>
          <w:szCs w:val="28"/>
        </w:rPr>
        <w:t xml:space="preserve"> может быть преодолена с помощью назначения высоких доз препарата, включением в схему лечения #висмута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дицитрата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** и увеличением продо</w:t>
      </w:r>
      <w:r w:rsidR="00BF3DB5">
        <w:rPr>
          <w:rFonts w:ascii="Times New Roman" w:hAnsi="Times New Roman" w:cs="Times New Roman"/>
          <w:sz w:val="28"/>
          <w:szCs w:val="28"/>
        </w:rPr>
        <w:t>лжительности лечения до 14 дней</w:t>
      </w:r>
      <w:r w:rsidRPr="00FF4B71">
        <w:rPr>
          <w:rFonts w:ascii="Times New Roman" w:hAnsi="Times New Roman" w:cs="Times New Roman"/>
          <w:sz w:val="28"/>
          <w:szCs w:val="28"/>
        </w:rPr>
        <w:t>. Риск вторичной устойчивости</w:t>
      </w:r>
      <w:r w:rsidR="00BF3DB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ларитромицину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 (таблетки с 12 лет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 гранулы для приготовления суспензии для приема внутрь</w:t>
      </w:r>
      <w:r w:rsidR="00BF3DB5">
        <w:rPr>
          <w:rFonts w:ascii="Times New Roman" w:hAnsi="Times New Roman" w:cs="Times New Roman"/>
          <w:sz w:val="28"/>
          <w:szCs w:val="28"/>
        </w:rPr>
        <w:t>)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существенно повышается в с</w:t>
      </w:r>
      <w:r w:rsidR="00BF3DB5">
        <w:rPr>
          <w:rFonts w:ascii="Times New Roman" w:hAnsi="Times New Roman" w:cs="Times New Roman"/>
          <w:sz w:val="28"/>
          <w:szCs w:val="28"/>
        </w:rPr>
        <w:t xml:space="preserve">лучае приема любых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макролидов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(Э</w:t>
      </w:r>
      <w:r w:rsidRPr="00FF4B71">
        <w:rPr>
          <w:rFonts w:ascii="Times New Roman" w:hAnsi="Times New Roman" w:cs="Times New Roman"/>
          <w:sz w:val="28"/>
          <w:szCs w:val="28"/>
        </w:rPr>
        <w:t>ритромицина</w:t>
      </w:r>
      <w:r w:rsidR="00BF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А</w:t>
      </w:r>
      <w:r w:rsidRPr="00FF4B71">
        <w:rPr>
          <w:rFonts w:ascii="Times New Roman" w:hAnsi="Times New Roman" w:cs="Times New Roman"/>
          <w:sz w:val="28"/>
          <w:szCs w:val="28"/>
        </w:rPr>
        <w:t>зитромицина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Д</w:t>
      </w:r>
      <w:r w:rsidRPr="00FF4B71">
        <w:rPr>
          <w:rFonts w:ascii="Times New Roman" w:hAnsi="Times New Roman" w:cs="Times New Roman"/>
          <w:sz w:val="28"/>
          <w:szCs w:val="28"/>
        </w:rPr>
        <w:t>жозамицина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ларитромицина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</w:t>
      </w:r>
      <w:r w:rsidRPr="00FF4B71">
        <w:rPr>
          <w:rFonts w:ascii="Times New Roman" w:hAnsi="Times New Roman" w:cs="Times New Roman"/>
          <w:sz w:val="28"/>
          <w:szCs w:val="28"/>
        </w:rPr>
        <w:t xml:space="preserve"> (таблетки с 12</w:t>
      </w:r>
      <w:r w:rsidR="00BF3DB5">
        <w:rPr>
          <w:rFonts w:ascii="Times New Roman" w:hAnsi="Times New Roman" w:cs="Times New Roman"/>
          <w:sz w:val="28"/>
          <w:szCs w:val="28"/>
        </w:rPr>
        <w:t xml:space="preserve"> лет** и </w:t>
      </w:r>
      <w:r w:rsidRPr="00FF4B71">
        <w:rPr>
          <w:rFonts w:ascii="Times New Roman" w:hAnsi="Times New Roman" w:cs="Times New Roman"/>
          <w:sz w:val="28"/>
          <w:szCs w:val="28"/>
        </w:rPr>
        <w:t>гранулы для приготовления суспензии для приема внутрь)) и/или п</w:t>
      </w:r>
      <w:r w:rsidR="00BF3DB5">
        <w:rPr>
          <w:rFonts w:ascii="Times New Roman" w:hAnsi="Times New Roman" w:cs="Times New Roman"/>
          <w:sz w:val="28"/>
          <w:szCs w:val="28"/>
        </w:rPr>
        <w:t>роизводные имидазола в анамнезе</w:t>
      </w:r>
      <w:r w:rsidRPr="00FF4B71">
        <w:rPr>
          <w:rFonts w:ascii="Times New Roman" w:hAnsi="Times New Roman" w:cs="Times New Roman"/>
          <w:sz w:val="28"/>
          <w:szCs w:val="28"/>
        </w:rPr>
        <w:t>.</w:t>
      </w:r>
    </w:p>
    <w:p w:rsidR="00BF3DB5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 Для выбора оптимальной схемы и снижения риска неудачного лечения инфекции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>следует выяснить принимал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 xml:space="preserve"> ли пациент ранее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и </w:t>
      </w:r>
      <w:r w:rsidR="00BF3DB5">
        <w:rPr>
          <w:rFonts w:ascii="Times New Roman" w:hAnsi="Times New Roman" w:cs="Times New Roman"/>
          <w:sz w:val="28"/>
          <w:szCs w:val="28"/>
        </w:rPr>
        <w:t>производные имидазола</w:t>
      </w:r>
      <w:r w:rsidRPr="00FF4B71">
        <w:rPr>
          <w:rFonts w:ascii="Times New Roman" w:hAnsi="Times New Roman" w:cs="Times New Roman"/>
          <w:sz w:val="28"/>
          <w:szCs w:val="28"/>
        </w:rPr>
        <w:t>. При наличии возможности, следует сделать тесты для определения чувстви</w:t>
      </w:r>
      <w:r w:rsidR="00BF3DB5">
        <w:rPr>
          <w:rFonts w:ascii="Times New Roman" w:hAnsi="Times New Roman" w:cs="Times New Roman"/>
          <w:sz w:val="28"/>
          <w:szCs w:val="28"/>
        </w:rPr>
        <w:t xml:space="preserve">тельности или резистентности к </w:t>
      </w:r>
      <w:r w:rsidR="00BF3DB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</w:t>
      </w:r>
      <w:r w:rsidR="00BF3DB5">
        <w:rPr>
          <w:rFonts w:ascii="Times New Roman" w:hAnsi="Times New Roman" w:cs="Times New Roman"/>
          <w:sz w:val="28"/>
          <w:szCs w:val="28"/>
        </w:rPr>
        <w:t>итромицину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(таблетки с 12 лет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 гранулы для приготовления суспензии для приема внутрь</w:t>
      </w:r>
      <w:r w:rsidR="00BF3DB5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. С этой целью при исследовании полученных в ходе ЭГДС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, могут быть 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lastRenderedPageBreak/>
        <w:t>использованы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, диско-диффузионный метод, ПЦР в</w:t>
      </w:r>
      <w:r w:rsidR="00BF3DB5">
        <w:rPr>
          <w:rFonts w:ascii="Times New Roman" w:hAnsi="Times New Roman" w:cs="Times New Roman"/>
          <w:sz w:val="28"/>
          <w:szCs w:val="28"/>
        </w:rPr>
        <w:t xml:space="preserve"> реальном времени, FISH-тест</w:t>
      </w:r>
      <w:r w:rsidRPr="00FF4B71">
        <w:rPr>
          <w:rFonts w:ascii="Times New Roman" w:hAnsi="Times New Roman" w:cs="Times New Roman"/>
          <w:sz w:val="28"/>
          <w:szCs w:val="28"/>
        </w:rPr>
        <w:t>.</w:t>
      </w:r>
    </w:p>
    <w:p w:rsidR="00BF3DB5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 При отсутствии технической возможности проведения бактериологического исследования, ПЦР или FISH-теста, выбор схемы лечения должен быть основан на данных о распространенности устойчивых штаммов</w:t>
      </w:r>
      <w:r w:rsidR="00BF3DB5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в конкретном регионе. Резистентность к А</w:t>
      </w:r>
      <w:r w:rsidRPr="00FF4B71">
        <w:rPr>
          <w:rFonts w:ascii="Times New Roman" w:hAnsi="Times New Roman" w:cs="Times New Roman"/>
          <w:sz w:val="28"/>
          <w:szCs w:val="28"/>
        </w:rPr>
        <w:t>моксициллину</w:t>
      </w:r>
      <w:r w:rsidR="00BF3DB5">
        <w:rPr>
          <w:rFonts w:ascii="Times New Roman" w:hAnsi="Times New Roman" w:cs="Times New Roman"/>
          <w:sz w:val="28"/>
          <w:szCs w:val="28"/>
        </w:rPr>
        <w:t>, Т</w:t>
      </w:r>
      <w:r w:rsidRPr="00FF4B71">
        <w:rPr>
          <w:rFonts w:ascii="Times New Roman" w:hAnsi="Times New Roman" w:cs="Times New Roman"/>
          <w:sz w:val="28"/>
          <w:szCs w:val="28"/>
        </w:rPr>
        <w:t>етрациклину,</w:t>
      </w:r>
      <w:r w:rsidR="00BF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Ф</w:t>
      </w:r>
      <w:r w:rsidRPr="00FF4B71">
        <w:rPr>
          <w:rFonts w:ascii="Times New Roman" w:hAnsi="Times New Roman" w:cs="Times New Roman"/>
          <w:sz w:val="28"/>
          <w:szCs w:val="28"/>
        </w:rPr>
        <w:t>уразолидону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встречается редко, что позволяет включать эти препараты в первую линию терапии, а также повторно и</w:t>
      </w:r>
      <w:r w:rsidR="00BF3DB5">
        <w:rPr>
          <w:rFonts w:ascii="Times New Roman" w:hAnsi="Times New Roman" w:cs="Times New Roman"/>
          <w:sz w:val="28"/>
          <w:szCs w:val="28"/>
        </w:rPr>
        <w:t>х использовать в случае неудачи</w:t>
      </w:r>
      <w:r w:rsidRPr="00FF4B71">
        <w:rPr>
          <w:rFonts w:ascii="Times New Roman" w:hAnsi="Times New Roman" w:cs="Times New Roman"/>
          <w:sz w:val="28"/>
          <w:szCs w:val="28"/>
        </w:rPr>
        <w:t>.</w:t>
      </w:r>
    </w:p>
    <w:p w:rsidR="00BF3DB5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>В качестве терапии первой линии согласно рекомендациям V Маастрихтского соглашения (2016 г.), ESPGHAN/NASPGHAN (2016 г.), в большинстве случаев, можно без предварительного тестирования использовать стандартную тройную те</w:t>
      </w:r>
      <w:r w:rsidR="00BF3DB5">
        <w:rPr>
          <w:rFonts w:ascii="Times New Roman" w:hAnsi="Times New Roman" w:cs="Times New Roman"/>
          <w:sz w:val="28"/>
          <w:szCs w:val="28"/>
        </w:rPr>
        <w:t>рапию в течение 14 дней: ИПН (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Эзомепразол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и др.) + Амоксициллин +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Кларитромицин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(таблетки с 12 лет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 </w:t>
      </w:r>
      <w:r w:rsidR="00BF3DB5">
        <w:rPr>
          <w:rFonts w:ascii="Times New Roman" w:hAnsi="Times New Roman" w:cs="Times New Roman"/>
          <w:sz w:val="28"/>
          <w:szCs w:val="28"/>
        </w:rPr>
        <w:t>Г</w:t>
      </w:r>
      <w:r w:rsidRPr="00FF4B71">
        <w:rPr>
          <w:rFonts w:ascii="Times New Roman" w:hAnsi="Times New Roman" w:cs="Times New Roman"/>
          <w:sz w:val="28"/>
          <w:szCs w:val="28"/>
        </w:rPr>
        <w:t>ранулы для приготовления суспензии для приема внутрь</w:t>
      </w:r>
      <w:r w:rsidR="00BF3DB5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>.</w:t>
      </w:r>
    </w:p>
    <w:p w:rsidR="00BF3DB5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  <w:r w:rsidR="00BF3DB5">
        <w:rPr>
          <w:rFonts w:ascii="Times New Roman" w:hAnsi="Times New Roman" w:cs="Times New Roman"/>
          <w:sz w:val="28"/>
          <w:szCs w:val="28"/>
        </w:rPr>
        <w:t>Добавление В</w:t>
      </w:r>
      <w:r w:rsidRPr="00FF4B71">
        <w:rPr>
          <w:rFonts w:ascii="Times New Roman" w:hAnsi="Times New Roman" w:cs="Times New Roman"/>
          <w:sz w:val="28"/>
          <w:szCs w:val="28"/>
        </w:rPr>
        <w:t xml:space="preserve">исмута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дицитрата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(дозировка 8 мг/кг/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, разделив на 4 приема) к стандартной тройной терапии пов</w:t>
      </w:r>
      <w:r w:rsidR="00BF3DB5">
        <w:rPr>
          <w:rFonts w:ascii="Times New Roman" w:hAnsi="Times New Roman" w:cs="Times New Roman"/>
          <w:sz w:val="28"/>
          <w:szCs w:val="28"/>
        </w:rPr>
        <w:t>ышает её эффективность. Схема В</w:t>
      </w:r>
      <w:r w:rsidRPr="00FF4B71">
        <w:rPr>
          <w:rFonts w:ascii="Times New Roman" w:hAnsi="Times New Roman" w:cs="Times New Roman"/>
          <w:sz w:val="28"/>
          <w:szCs w:val="28"/>
        </w:rPr>
        <w:t xml:space="preserve">исмута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дицитрат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+ ИПН + Амоксициллин +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ларитромицин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 (таблетки с 12 лет и </w:t>
      </w:r>
      <w:r w:rsidRPr="00FF4B71">
        <w:rPr>
          <w:rFonts w:ascii="Times New Roman" w:hAnsi="Times New Roman" w:cs="Times New Roman"/>
          <w:sz w:val="28"/>
          <w:szCs w:val="28"/>
        </w:rPr>
        <w:t>гранулы для приготовления суспензии для приема внутрь</w:t>
      </w:r>
      <w:r w:rsidR="00BF3DB5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</w:t>
      </w:r>
      <w:r w:rsidRPr="00FF4B71">
        <w:rPr>
          <w:rFonts w:ascii="Times New Roman" w:hAnsi="Times New Roman" w:cs="Times New Roman"/>
          <w:sz w:val="28"/>
          <w:szCs w:val="28"/>
        </w:rPr>
        <w:t xml:space="preserve"> так же рекомендуется в качестве терапии первой линии</w:t>
      </w:r>
      <w:r w:rsidR="00BF3DB5">
        <w:rPr>
          <w:rFonts w:ascii="Times New Roman" w:hAnsi="Times New Roman" w:cs="Times New Roman"/>
          <w:sz w:val="28"/>
          <w:szCs w:val="28"/>
        </w:rPr>
        <w:t>.</w:t>
      </w:r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B5" w:rsidRDefault="00BF3DB5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0237" w:rsidRPr="00FF4B71">
        <w:rPr>
          <w:rFonts w:ascii="Times New Roman" w:hAnsi="Times New Roman" w:cs="Times New Roman"/>
          <w:sz w:val="28"/>
          <w:szCs w:val="28"/>
        </w:rPr>
        <w:t>меются да</w:t>
      </w:r>
      <w:r>
        <w:rPr>
          <w:rFonts w:ascii="Times New Roman" w:hAnsi="Times New Roman" w:cs="Times New Roman"/>
          <w:sz w:val="28"/>
          <w:szCs w:val="28"/>
        </w:rPr>
        <w:t xml:space="preserve">нные по возможности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BB0237" w:rsidRPr="00FF4B71">
        <w:rPr>
          <w:rFonts w:ascii="Times New Roman" w:hAnsi="Times New Roman" w:cs="Times New Roman"/>
          <w:sz w:val="28"/>
          <w:szCs w:val="28"/>
        </w:rPr>
        <w:t>жозамицина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в качестве альтернативы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ритромицину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(таблетки с 12 лет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и гранулы для приготовления суспензии для приема внутрь), преимуществен</w:t>
      </w:r>
      <w:r>
        <w:rPr>
          <w:rFonts w:ascii="Times New Roman" w:hAnsi="Times New Roman" w:cs="Times New Roman"/>
          <w:sz w:val="28"/>
          <w:szCs w:val="28"/>
        </w:rPr>
        <w:t>но у взрослых пациентов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, показания к применению при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хеликобактерной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инфекции у детей включены в инструкц</w:t>
      </w:r>
      <w:r>
        <w:rPr>
          <w:rFonts w:ascii="Times New Roman" w:hAnsi="Times New Roman" w:cs="Times New Roman"/>
          <w:sz w:val="28"/>
          <w:szCs w:val="28"/>
        </w:rPr>
        <w:t xml:space="preserve">ию к препарату.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BB0237" w:rsidRPr="00FF4B71">
        <w:rPr>
          <w:rFonts w:ascii="Times New Roman" w:hAnsi="Times New Roman" w:cs="Times New Roman"/>
          <w:sz w:val="28"/>
          <w:szCs w:val="28"/>
        </w:rPr>
        <w:t>жозамицина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возможно, однако требуется проведение дальнейших исследований для уточнения места данного препарата в схемах антихеликобактерной терапии.</w:t>
      </w:r>
    </w:p>
    <w:p w:rsidR="00EC681D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 В регионах с высоким уровнем резистентности</w:t>
      </w:r>
      <w:r w:rsidR="00BF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хеликобактера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(таблетки с 12 лет и гранулы для приготовления суспензии для приема внутрь) используются схемы без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макролидов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. При непереносимости Бета-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лактамных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антибактериальных препаратов: пенициллинов в регио</w:t>
      </w:r>
      <w:r w:rsidR="00BF3DB5">
        <w:rPr>
          <w:rFonts w:ascii="Times New Roman" w:hAnsi="Times New Roman" w:cs="Times New Roman"/>
          <w:sz w:val="28"/>
          <w:szCs w:val="28"/>
        </w:rPr>
        <w:t xml:space="preserve">нах с уровнем резистентности к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(таблетки с 12 лет и гранулы для приготовлен</w:t>
      </w:r>
      <w:r w:rsidR="00BF3DB5">
        <w:rPr>
          <w:rFonts w:ascii="Times New Roman" w:hAnsi="Times New Roman" w:cs="Times New Roman"/>
          <w:sz w:val="28"/>
          <w:szCs w:val="28"/>
        </w:rPr>
        <w:t>ия суспензии для приема внутрь</w:t>
      </w:r>
      <w:r w:rsidRPr="00FF4B71">
        <w:rPr>
          <w:rFonts w:ascii="Times New Roman" w:hAnsi="Times New Roman" w:cs="Times New Roman"/>
          <w:sz w:val="28"/>
          <w:szCs w:val="28"/>
        </w:rPr>
        <w:t xml:space="preserve">) ниже порогового рекомендовано рассмотреть использование схемы ИПН +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ларитромицин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(таблетки с 12 лет и гранулы для приготовления суспензии для приема внутрь) +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681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F4B71">
        <w:rPr>
          <w:rFonts w:ascii="Times New Roman" w:hAnsi="Times New Roman" w:cs="Times New Roman"/>
          <w:sz w:val="28"/>
          <w:szCs w:val="28"/>
        </w:rPr>
        <w:t>чи</w:t>
      </w:r>
      <w:r w:rsidR="00EC681D">
        <w:rPr>
          <w:rFonts w:ascii="Times New Roman" w:hAnsi="Times New Roman" w:cs="Times New Roman"/>
          <w:sz w:val="28"/>
          <w:szCs w:val="28"/>
        </w:rPr>
        <w:t xml:space="preserve">тывая высокую резистентность к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данная схема является альтернативной и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EC681D">
        <w:rPr>
          <w:rFonts w:ascii="Times New Roman" w:hAnsi="Times New Roman" w:cs="Times New Roman"/>
          <w:sz w:val="28"/>
          <w:szCs w:val="28"/>
        </w:rPr>
        <w:t>применяться с осторожностью</w:t>
      </w:r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81D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>Возмо</w:t>
      </w:r>
      <w:r w:rsidR="00EC681D">
        <w:rPr>
          <w:rFonts w:ascii="Times New Roman" w:hAnsi="Times New Roman" w:cs="Times New Roman"/>
          <w:sz w:val="28"/>
          <w:szCs w:val="28"/>
        </w:rPr>
        <w:t xml:space="preserve">жно применение комбинации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ИПН+Тетрациклин+М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ИПН+кл</w:t>
      </w:r>
      <w:r w:rsidR="00EC681D">
        <w:rPr>
          <w:rFonts w:ascii="Times New Roman" w:hAnsi="Times New Roman" w:cs="Times New Roman"/>
          <w:sz w:val="28"/>
          <w:szCs w:val="28"/>
        </w:rPr>
        <w:t>аритромицин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(таблетки с 12 лет и #</w:t>
      </w:r>
      <w:r w:rsidRPr="00FF4B71">
        <w:rPr>
          <w:rFonts w:ascii="Times New Roman" w:hAnsi="Times New Roman" w:cs="Times New Roman"/>
          <w:sz w:val="28"/>
          <w:szCs w:val="28"/>
        </w:rPr>
        <w:t xml:space="preserve">ранулы для приготовления суспензии для приема внутрь)+тетрациклин,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ИПН+метронидазол</w:t>
      </w:r>
      <w:r w:rsidR="00EC681D">
        <w:rPr>
          <w:rFonts w:ascii="Times New Roman" w:hAnsi="Times New Roman" w:cs="Times New Roman"/>
          <w:sz w:val="28"/>
          <w:szCs w:val="28"/>
        </w:rPr>
        <w:t>+</w:t>
      </w:r>
      <w:r w:rsidRPr="00FF4B71">
        <w:rPr>
          <w:rFonts w:ascii="Times New Roman" w:hAnsi="Times New Roman" w:cs="Times New Roman"/>
          <w:sz w:val="28"/>
          <w:szCs w:val="28"/>
        </w:rPr>
        <w:t>фура</w:t>
      </w:r>
      <w:r w:rsidR="00EC681D">
        <w:rPr>
          <w:rFonts w:ascii="Times New Roman" w:hAnsi="Times New Roman" w:cs="Times New Roman"/>
          <w:sz w:val="28"/>
          <w:szCs w:val="28"/>
        </w:rPr>
        <w:t>золидон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., в сочетании с </w:t>
      </w:r>
      <w:r w:rsidRPr="00FF4B71">
        <w:rPr>
          <w:rFonts w:ascii="Times New Roman" w:hAnsi="Times New Roman" w:cs="Times New Roman"/>
          <w:sz w:val="28"/>
          <w:szCs w:val="28"/>
        </w:rPr>
        <w:t xml:space="preserve">висмута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дицитратом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>.</w:t>
      </w:r>
    </w:p>
    <w:p w:rsidR="00EC681D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  Как вариант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(например, при непереносимости Бета-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лактамных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антибактериа</w:t>
      </w:r>
      <w:r w:rsidR="00EC681D">
        <w:rPr>
          <w:rFonts w:ascii="Times New Roman" w:hAnsi="Times New Roman" w:cs="Times New Roman"/>
          <w:sz w:val="28"/>
          <w:szCs w:val="28"/>
        </w:rPr>
        <w:t>льных препаратов: пенициллинов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 при неэффективности стандартной тройной терапии) может быть назначена классическая четырехк</w:t>
      </w:r>
      <w:r w:rsidR="00EC681D">
        <w:rPr>
          <w:rFonts w:ascii="Times New Roman" w:hAnsi="Times New Roman" w:cs="Times New Roman"/>
          <w:sz w:val="28"/>
          <w:szCs w:val="28"/>
        </w:rPr>
        <w:t>омпонентная терапия на основе В</w:t>
      </w:r>
      <w:r w:rsidRPr="00FF4B71">
        <w:rPr>
          <w:rFonts w:ascii="Times New Roman" w:hAnsi="Times New Roman" w:cs="Times New Roman"/>
          <w:sz w:val="28"/>
          <w:szCs w:val="28"/>
        </w:rPr>
        <w:t xml:space="preserve">исмута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дицитрата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в комбинации с ИПН, </w:t>
      </w:r>
      <w:r w:rsidRPr="00FF4B71">
        <w:rPr>
          <w:rFonts w:ascii="Times New Roman" w:hAnsi="Times New Roman" w:cs="Times New Roman"/>
          <w:sz w:val="28"/>
          <w:szCs w:val="28"/>
        </w:rPr>
        <w:t xml:space="preserve">тетрациклином (разрешен детям с 8 лет) и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етронидазолом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(вторая линия терапии или альтернативны</w:t>
      </w:r>
      <w:r w:rsidR="00EC681D">
        <w:rPr>
          <w:rFonts w:ascii="Times New Roman" w:hAnsi="Times New Roman" w:cs="Times New Roman"/>
          <w:sz w:val="28"/>
          <w:szCs w:val="28"/>
        </w:rPr>
        <w:t>й вариант первой линии терапии).</w:t>
      </w:r>
    </w:p>
    <w:p w:rsidR="00EC681D" w:rsidRDefault="00EC681D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Квадротерапия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исмута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дицитратом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применяется так же, как основная схема терапии второй линии при неэффективности стандартной тройной терапии.</w:t>
      </w:r>
      <w:r>
        <w:rPr>
          <w:rFonts w:ascii="Times New Roman" w:hAnsi="Times New Roman" w:cs="Times New Roman"/>
          <w:sz w:val="28"/>
          <w:szCs w:val="28"/>
        </w:rPr>
        <w:t xml:space="preserve"> В случае плохой переносимости 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тетрациклина у детей по рекомендациям российских экспертов как вариант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терапии второй линии может быть рассмотрена дл</w:t>
      </w:r>
      <w:r>
        <w:rPr>
          <w:rFonts w:ascii="Times New Roman" w:hAnsi="Times New Roman" w:cs="Times New Roman"/>
          <w:sz w:val="28"/>
          <w:szCs w:val="28"/>
        </w:rPr>
        <w:t>я использования схема  В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исмута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дицитрат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+ ИПН + амоксициллин +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нифурател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(30 мг/кг/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681D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>По данным немногочисленных исследований у взрослых и детей эффективность 3хкомпонентных 10-14-дневных схем, включ</w:t>
      </w:r>
      <w:r w:rsidR="00EC681D">
        <w:rPr>
          <w:rFonts w:ascii="Times New Roman" w:hAnsi="Times New Roman" w:cs="Times New Roman"/>
          <w:sz w:val="28"/>
          <w:szCs w:val="28"/>
        </w:rPr>
        <w:t xml:space="preserve">авших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нифурател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в комбинации с Амоксициллином, ИПН или Висмута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дицитратом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составляет 82,9-86,0% (ITT). </w:t>
      </w:r>
    </w:p>
    <w:p w:rsidR="00EC681D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Учитывая небольшое количество пациентов, включенных в исследования, недостатки дизайна (отсутствие определения чувствительности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, контроль эффективности терапии одним тестом (а не двумя), а также показатель эффективности менее пороговых 90%, необходимо проведение более масштабных хорошо спланированных исследований для определения места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нифуратела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в лечении инфекции H. </w:t>
      </w:r>
      <w:proofErr w:type="spellStart"/>
      <w:r w:rsidR="00EC681D" w:rsidRPr="00FF4B71">
        <w:rPr>
          <w:rFonts w:ascii="Times New Roman" w:hAnsi="Times New Roman" w:cs="Times New Roman"/>
          <w:sz w:val="28"/>
          <w:szCs w:val="28"/>
        </w:rPr>
        <w:t>P</w:t>
      </w:r>
      <w:r w:rsidRPr="00FF4B71">
        <w:rPr>
          <w:rFonts w:ascii="Times New Roman" w:hAnsi="Times New Roman" w:cs="Times New Roman"/>
          <w:sz w:val="28"/>
          <w:szCs w:val="28"/>
        </w:rPr>
        <w:t>ylori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>.</w:t>
      </w:r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  <w:r w:rsidR="00EC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Ф</w:t>
      </w:r>
      <w:r w:rsidRPr="00FF4B71">
        <w:rPr>
          <w:rFonts w:ascii="Times New Roman" w:hAnsi="Times New Roman" w:cs="Times New Roman"/>
          <w:sz w:val="28"/>
          <w:szCs w:val="28"/>
        </w:rPr>
        <w:t>уразолидон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является недорогим и высоко эффективным в отношении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препаратом, к которому, практически не встречается ни первичная, ни в</w:t>
      </w:r>
      <w:r w:rsidR="00EC681D">
        <w:rPr>
          <w:rFonts w:ascii="Times New Roman" w:hAnsi="Times New Roman" w:cs="Times New Roman"/>
          <w:sz w:val="28"/>
          <w:szCs w:val="28"/>
        </w:rPr>
        <w:t>торичная резистентность</w:t>
      </w:r>
      <w:proofErr w:type="gramStart"/>
      <w:r w:rsidR="00EC68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Ф</w:t>
      </w:r>
      <w:r w:rsidRPr="00FF4B71">
        <w:rPr>
          <w:rFonts w:ascii="Times New Roman" w:hAnsi="Times New Roman" w:cs="Times New Roman"/>
          <w:sz w:val="28"/>
          <w:szCs w:val="28"/>
        </w:rPr>
        <w:t>уразолидон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может быть включен </w:t>
      </w:r>
      <w:r w:rsidR="00EC681D">
        <w:rPr>
          <w:rFonts w:ascii="Times New Roman" w:hAnsi="Times New Roman" w:cs="Times New Roman"/>
          <w:sz w:val="28"/>
          <w:szCs w:val="28"/>
        </w:rPr>
        <w:t xml:space="preserve">в 4х-компонентные схемы вместо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ларитромицина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(таблетки с 12 лет и гранулы для приготовления суспензии для приема внутрь</w:t>
      </w:r>
      <w:r w:rsidR="00EC681D">
        <w:rPr>
          <w:rFonts w:ascii="Times New Roman" w:hAnsi="Times New Roman" w:cs="Times New Roman"/>
          <w:sz w:val="28"/>
          <w:szCs w:val="28"/>
        </w:rPr>
        <w:t>) и Т</w:t>
      </w:r>
      <w:r w:rsidRPr="00FF4B71">
        <w:rPr>
          <w:rFonts w:ascii="Times New Roman" w:hAnsi="Times New Roman" w:cs="Times New Roman"/>
          <w:sz w:val="28"/>
          <w:szCs w:val="28"/>
        </w:rPr>
        <w:t xml:space="preserve">етрациклина </w:t>
      </w:r>
      <w:r w:rsidR="00EC681D">
        <w:rPr>
          <w:rFonts w:ascii="Times New Roman" w:hAnsi="Times New Roman" w:cs="Times New Roman"/>
          <w:sz w:val="28"/>
          <w:szCs w:val="28"/>
        </w:rPr>
        <w:t>в качестве терапии второй линии</w:t>
      </w:r>
      <w:r w:rsidRPr="00FF4B71">
        <w:rPr>
          <w:rFonts w:ascii="Times New Roman" w:hAnsi="Times New Roman" w:cs="Times New Roman"/>
          <w:sz w:val="28"/>
          <w:szCs w:val="28"/>
        </w:rPr>
        <w:t xml:space="preserve">. Эффективность 14-дневной </w:t>
      </w:r>
      <w:r w:rsidRPr="00FF4B71">
        <w:rPr>
          <w:rFonts w:ascii="Times New Roman" w:hAnsi="Times New Roman" w:cs="Times New Roman"/>
          <w:sz w:val="28"/>
          <w:szCs w:val="28"/>
        </w:rPr>
        <w:lastRenderedPageBreak/>
        <w:t>4хкомпонент</w:t>
      </w:r>
      <w:r w:rsidR="00EC681D">
        <w:rPr>
          <w:rFonts w:ascii="Times New Roman" w:hAnsi="Times New Roman" w:cs="Times New Roman"/>
          <w:sz w:val="28"/>
          <w:szCs w:val="28"/>
        </w:rPr>
        <w:t xml:space="preserve">ной схемы лечения, включающей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Ф</w:t>
      </w:r>
      <w:r w:rsidRPr="00FF4B71">
        <w:rPr>
          <w:rFonts w:ascii="Times New Roman" w:hAnsi="Times New Roman" w:cs="Times New Roman"/>
          <w:sz w:val="28"/>
          <w:szCs w:val="28"/>
        </w:rPr>
        <w:t>уразолидон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(ИПН + </w:t>
      </w:r>
      <w:r w:rsidR="00EC681D">
        <w:rPr>
          <w:rFonts w:ascii="Times New Roman" w:hAnsi="Times New Roman" w:cs="Times New Roman"/>
          <w:sz w:val="28"/>
          <w:szCs w:val="28"/>
        </w:rPr>
        <w:t>В</w:t>
      </w:r>
      <w:r w:rsidRPr="00FF4B71">
        <w:rPr>
          <w:rFonts w:ascii="Times New Roman" w:hAnsi="Times New Roman" w:cs="Times New Roman"/>
          <w:sz w:val="28"/>
          <w:szCs w:val="28"/>
        </w:rPr>
        <w:t xml:space="preserve">исмута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дицитрат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>+ А</w:t>
      </w:r>
      <w:r w:rsidRPr="00FF4B71">
        <w:rPr>
          <w:rFonts w:ascii="Times New Roman" w:hAnsi="Times New Roman" w:cs="Times New Roman"/>
          <w:sz w:val="28"/>
          <w:szCs w:val="28"/>
        </w:rPr>
        <w:t>моксициллин</w:t>
      </w:r>
      <w:r w:rsidR="00EC68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Ф</w:t>
      </w:r>
      <w:r w:rsidRPr="00FF4B71">
        <w:rPr>
          <w:rFonts w:ascii="Times New Roman" w:hAnsi="Times New Roman" w:cs="Times New Roman"/>
          <w:sz w:val="28"/>
          <w:szCs w:val="28"/>
        </w:rPr>
        <w:t>уразолидон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) составляет 90-99%, в том числе у пациентов с резист</w:t>
      </w:r>
      <w:r w:rsidR="00EC681D">
        <w:rPr>
          <w:rFonts w:ascii="Times New Roman" w:hAnsi="Times New Roman" w:cs="Times New Roman"/>
          <w:sz w:val="28"/>
          <w:szCs w:val="28"/>
        </w:rPr>
        <w:t xml:space="preserve">ентностью штаммов H.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етронидазолу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ларитромицину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(таблетки с 12 лет и г</w:t>
      </w:r>
      <w:r w:rsidRPr="00FF4B71">
        <w:rPr>
          <w:rFonts w:ascii="Times New Roman" w:hAnsi="Times New Roman" w:cs="Times New Roman"/>
          <w:sz w:val="28"/>
          <w:szCs w:val="28"/>
        </w:rPr>
        <w:t>ранулы для приготовления суспензии для приема внутрь</w:t>
      </w:r>
      <w:r w:rsidR="00EC681D">
        <w:rPr>
          <w:rFonts w:ascii="Times New Roman" w:hAnsi="Times New Roman" w:cs="Times New Roman"/>
          <w:sz w:val="28"/>
          <w:szCs w:val="28"/>
        </w:rPr>
        <w:t>)</w:t>
      </w:r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81D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>Ог</w:t>
      </w:r>
      <w:r w:rsidR="00EC681D">
        <w:rPr>
          <w:rFonts w:ascii="Times New Roman" w:hAnsi="Times New Roman" w:cs="Times New Roman"/>
          <w:sz w:val="28"/>
          <w:szCs w:val="28"/>
        </w:rPr>
        <w:t xml:space="preserve">раничивают широкое применение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Ф</w:t>
      </w:r>
      <w:r w:rsidRPr="00FF4B71">
        <w:rPr>
          <w:rFonts w:ascii="Times New Roman" w:hAnsi="Times New Roman" w:cs="Times New Roman"/>
          <w:sz w:val="28"/>
          <w:szCs w:val="28"/>
        </w:rPr>
        <w:t>уразолидона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частые побочные эффекты (тошнота, рвота и др.). При неэффективности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рекомендовано проводить индивидуальный подбор препарата на основе чувствительности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к антибактериальным препаратам – терапия третьей линии</w:t>
      </w:r>
      <w:r w:rsidR="00EC681D">
        <w:rPr>
          <w:rFonts w:ascii="Times New Roman" w:hAnsi="Times New Roman" w:cs="Times New Roman"/>
          <w:sz w:val="28"/>
          <w:szCs w:val="28"/>
        </w:rPr>
        <w:t>.</w:t>
      </w:r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81D" w:rsidRPr="001619F9" w:rsidRDefault="00BB0237" w:rsidP="001619F9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>Неудачное лечение может быть связано с несоблюдением режима приема препарато</w:t>
      </w:r>
      <w:r w:rsidR="00EC681D">
        <w:rPr>
          <w:rFonts w:ascii="Times New Roman" w:hAnsi="Times New Roman" w:cs="Times New Roman"/>
          <w:sz w:val="28"/>
          <w:szCs w:val="28"/>
        </w:rPr>
        <w:t>в и развитием побочных эффектов</w:t>
      </w:r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 xml:space="preserve">Частота нежелательных эффектов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по результатам систематического обзора 43 исследований (6093 ** взрослых пациента) – 60%: диарея – 8%, изменение вкуса – 7%, тошнота и рвота – 5%, боль в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– 5%, головная боль – 3%, стома</w:t>
      </w:r>
      <w:r w:rsidR="00EC681D">
        <w:rPr>
          <w:rFonts w:ascii="Times New Roman" w:hAnsi="Times New Roman" w:cs="Times New Roman"/>
          <w:sz w:val="28"/>
          <w:szCs w:val="28"/>
        </w:rPr>
        <w:t>тит – 2,5%, крапивница – 2%</w:t>
      </w:r>
      <w:r w:rsidRPr="00FF4B71">
        <w:rPr>
          <w:rFonts w:ascii="Times New Roman" w:hAnsi="Times New Roman" w:cs="Times New Roman"/>
          <w:sz w:val="28"/>
          <w:szCs w:val="28"/>
        </w:rPr>
        <w:t xml:space="preserve">. В ряде работ показана более высокая эффективность и безопасность антихеликобактерной терапии на фоне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пребиотиче</w:t>
      </w:r>
      <w:r w:rsidR="00EC681D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пробиотической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FF4B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 xml:space="preserve"> Это, вероятно, связано со снижением частоты и выраженности побочных эффектов антибиотиков (диарея, тошнота, рвота, диспепсия, дисфагия) на фоне назначении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Lactobacillus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rhamnosus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Saccharom</w:t>
      </w:r>
      <w:r w:rsidR="00EC681D">
        <w:rPr>
          <w:rFonts w:ascii="Times New Roman" w:hAnsi="Times New Roman" w:cs="Times New Roman"/>
          <w:sz w:val="28"/>
          <w:szCs w:val="28"/>
        </w:rPr>
        <w:t>yces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boulardii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81D" w:rsidRPr="00EC681D" w:rsidRDefault="00EC681D" w:rsidP="001619F9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1D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C573DE" w:rsidRDefault="00EC681D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Язвенная болезнь желудка и язвенная болезнь ДПК является </w:t>
      </w:r>
      <w:r w:rsidR="00C573DE">
        <w:rPr>
          <w:rFonts w:ascii="Times New Roman" w:hAnsi="Times New Roman" w:cs="Times New Roman"/>
          <w:sz w:val="28"/>
          <w:szCs w:val="28"/>
        </w:rPr>
        <w:t xml:space="preserve">заболеванием, имеющим мульти факториальную природу. В зависимости от локализации и обширности язвенного процесса необходимо назначать этиотропную терапию с проведением комплексных исследований. </w:t>
      </w:r>
    </w:p>
    <w:p w:rsidR="008301F3" w:rsidRPr="008301F3" w:rsidRDefault="00C573DE" w:rsidP="00BE6E8A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Терапия тоже носит комплексный характер.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подборки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комбинации необходимых медикаментов, врачу общей практики необходимо учитывать природу происхождения язвенного дефекта и при наличии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7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pillory</w:t>
      </w:r>
      <w:r w:rsidRPr="00C57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эррадиационную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терапию.  </w:t>
      </w:r>
    </w:p>
    <w:p w:rsidR="00986FA2" w:rsidRPr="00986FA2" w:rsidRDefault="00C573DE" w:rsidP="001619F9">
      <w:pPr>
        <w:shd w:val="clear" w:color="auto" w:fill="FEFEFE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86FA2" w:rsidRPr="00986FA2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0323F6" w:rsidRPr="001619F9" w:rsidRDefault="00C868AC" w:rsidP="00986FA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619F9">
        <w:rPr>
          <w:rFonts w:ascii="Times New Roman" w:hAnsi="Times New Roman" w:cs="Times New Roman"/>
          <w:sz w:val="26"/>
          <w:szCs w:val="26"/>
        </w:rPr>
        <w:t xml:space="preserve"> </w:t>
      </w:r>
      <w:r w:rsidR="000323F6" w:rsidRPr="001619F9">
        <w:rPr>
          <w:rFonts w:ascii="Times New Roman" w:hAnsi="Times New Roman" w:cs="Times New Roman"/>
          <w:sz w:val="26"/>
          <w:szCs w:val="26"/>
        </w:rPr>
        <w:t>1. Федеральные клинические рекомендации «</w:t>
      </w:r>
      <w:r w:rsidR="00C573DE" w:rsidRPr="001619F9">
        <w:rPr>
          <w:rFonts w:ascii="Times New Roman" w:hAnsi="Times New Roman" w:cs="Times New Roman"/>
          <w:sz w:val="26"/>
          <w:szCs w:val="26"/>
        </w:rPr>
        <w:t>Язвенная болезнь желудка и ДПК</w:t>
      </w:r>
      <w:r w:rsidR="000323F6" w:rsidRPr="001619F9">
        <w:rPr>
          <w:rFonts w:ascii="Times New Roman" w:hAnsi="Times New Roman" w:cs="Times New Roman"/>
          <w:sz w:val="26"/>
          <w:szCs w:val="26"/>
        </w:rPr>
        <w:t>»</w:t>
      </w:r>
      <w:r w:rsidR="00C573DE" w:rsidRPr="001619F9">
        <w:rPr>
          <w:rFonts w:ascii="Times New Roman" w:hAnsi="Times New Roman" w:cs="Times New Roman"/>
          <w:sz w:val="26"/>
          <w:szCs w:val="26"/>
        </w:rPr>
        <w:t xml:space="preserve"> от 2021 года</w:t>
      </w:r>
      <w:r w:rsidR="000323F6" w:rsidRPr="001619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2821" w:rsidRPr="001619F9" w:rsidRDefault="000323F6" w:rsidP="00986FA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619F9">
        <w:rPr>
          <w:rFonts w:ascii="Times New Roman" w:hAnsi="Times New Roman" w:cs="Times New Roman"/>
          <w:sz w:val="26"/>
          <w:szCs w:val="26"/>
        </w:rPr>
        <w:t xml:space="preserve">2. </w:t>
      </w:r>
      <w:r w:rsidR="001D2821" w:rsidRPr="001619F9">
        <w:rPr>
          <w:rFonts w:ascii="Times New Roman" w:hAnsi="Times New Roman" w:cs="Times New Roman"/>
          <w:sz w:val="26"/>
          <w:szCs w:val="26"/>
        </w:rPr>
        <w:t>Лекция профессора Грищенко Елены Альбертовны от 18.05.2023</w:t>
      </w:r>
    </w:p>
    <w:p w:rsidR="001D2821" w:rsidRPr="001619F9" w:rsidRDefault="002475DD" w:rsidP="001D2821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619F9">
        <w:rPr>
          <w:rFonts w:ascii="Times New Roman" w:hAnsi="Times New Roman" w:cs="Times New Roman"/>
          <w:sz w:val="26"/>
          <w:szCs w:val="26"/>
        </w:rPr>
        <w:t>3.</w:t>
      </w:r>
      <w:r w:rsidR="001D2821" w:rsidRPr="001619F9">
        <w:rPr>
          <w:rFonts w:ascii="Times New Roman" w:hAnsi="Times New Roman" w:cs="Times New Roman"/>
          <w:sz w:val="26"/>
          <w:szCs w:val="26"/>
        </w:rPr>
        <w:t xml:space="preserve"> Лекция профес</w:t>
      </w:r>
      <w:bookmarkStart w:id="0" w:name="_GoBack"/>
      <w:bookmarkEnd w:id="0"/>
      <w:r w:rsidR="001D2821" w:rsidRPr="001619F9">
        <w:rPr>
          <w:rFonts w:ascii="Times New Roman" w:hAnsi="Times New Roman" w:cs="Times New Roman"/>
          <w:sz w:val="26"/>
          <w:szCs w:val="26"/>
        </w:rPr>
        <w:t>сора Тимошенко Валерия Олеговича от 19.04.2023</w:t>
      </w:r>
      <w:r w:rsidRPr="00161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0F0" w:rsidRPr="008301F3" w:rsidRDefault="003420F0" w:rsidP="003420F0">
      <w:pPr>
        <w:shd w:val="clear" w:color="auto" w:fill="FFFFFF"/>
        <w:spacing w:after="150" w:line="240" w:lineRule="auto"/>
        <w:ind w:left="360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</w:p>
    <w:p w:rsidR="003420F0" w:rsidRPr="008301F3" w:rsidRDefault="003420F0" w:rsidP="003420F0">
      <w:pPr>
        <w:shd w:val="clear" w:color="auto" w:fill="FFFFFF"/>
        <w:spacing w:after="150" w:line="240" w:lineRule="auto"/>
        <w:ind w:left="360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</w:p>
    <w:p w:rsidR="008E5E76" w:rsidRPr="008301F3" w:rsidRDefault="008E5E76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</w:p>
    <w:p w:rsidR="00B833DD" w:rsidRPr="008301F3" w:rsidRDefault="00B833DD" w:rsidP="00B833DD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CD608F" w:rsidRPr="008301F3" w:rsidRDefault="00CD608F" w:rsidP="00BA2FEA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D608F" w:rsidRPr="0083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07"/>
    <w:multiLevelType w:val="multilevel"/>
    <w:tmpl w:val="567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4046"/>
    <w:multiLevelType w:val="multilevel"/>
    <w:tmpl w:val="D7F68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9728E"/>
    <w:multiLevelType w:val="multilevel"/>
    <w:tmpl w:val="1F289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06FB7"/>
    <w:multiLevelType w:val="multilevel"/>
    <w:tmpl w:val="154A07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42869"/>
    <w:multiLevelType w:val="multilevel"/>
    <w:tmpl w:val="D86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6435C"/>
    <w:multiLevelType w:val="multilevel"/>
    <w:tmpl w:val="B6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A6FD2"/>
    <w:multiLevelType w:val="multilevel"/>
    <w:tmpl w:val="584A92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473B7"/>
    <w:multiLevelType w:val="multilevel"/>
    <w:tmpl w:val="2E1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078C5"/>
    <w:multiLevelType w:val="multilevel"/>
    <w:tmpl w:val="ECE0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31BCF"/>
    <w:multiLevelType w:val="hybridMultilevel"/>
    <w:tmpl w:val="4A8EA2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C75B9"/>
    <w:multiLevelType w:val="multilevel"/>
    <w:tmpl w:val="26866B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66383"/>
    <w:multiLevelType w:val="hybridMultilevel"/>
    <w:tmpl w:val="5AD0494E"/>
    <w:lvl w:ilvl="0" w:tplc="389AE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381AA8"/>
    <w:multiLevelType w:val="multilevel"/>
    <w:tmpl w:val="AA9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B0866"/>
    <w:multiLevelType w:val="hybridMultilevel"/>
    <w:tmpl w:val="F462FF9C"/>
    <w:lvl w:ilvl="0" w:tplc="CEC4A9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D081C"/>
    <w:multiLevelType w:val="hybridMultilevel"/>
    <w:tmpl w:val="EA7C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C5F1C"/>
    <w:multiLevelType w:val="multilevel"/>
    <w:tmpl w:val="1C203C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B935CD"/>
    <w:multiLevelType w:val="multilevel"/>
    <w:tmpl w:val="6BDE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D253B"/>
    <w:multiLevelType w:val="multilevel"/>
    <w:tmpl w:val="DDBAA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0C6C5E"/>
    <w:multiLevelType w:val="multilevel"/>
    <w:tmpl w:val="57EED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72825"/>
    <w:multiLevelType w:val="hybridMultilevel"/>
    <w:tmpl w:val="3C283620"/>
    <w:lvl w:ilvl="0" w:tplc="DB2807CA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C6A5C"/>
    <w:multiLevelType w:val="hybridMultilevel"/>
    <w:tmpl w:val="104EEB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52A72"/>
    <w:multiLevelType w:val="multilevel"/>
    <w:tmpl w:val="3644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5662D"/>
    <w:multiLevelType w:val="multilevel"/>
    <w:tmpl w:val="312E1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02CA0"/>
    <w:multiLevelType w:val="multilevel"/>
    <w:tmpl w:val="52EC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6"/>
  </w:num>
  <w:num w:numId="8">
    <w:abstractNumId w:val="22"/>
  </w:num>
  <w:num w:numId="9">
    <w:abstractNumId w:val="8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  <w:num w:numId="17">
    <w:abstractNumId w:val="21"/>
  </w:num>
  <w:num w:numId="18">
    <w:abstractNumId w:val="0"/>
  </w:num>
  <w:num w:numId="19">
    <w:abstractNumId w:val="14"/>
  </w:num>
  <w:num w:numId="20">
    <w:abstractNumId w:val="11"/>
  </w:num>
  <w:num w:numId="21">
    <w:abstractNumId w:val="13"/>
  </w:num>
  <w:num w:numId="22">
    <w:abstractNumId w:val="20"/>
  </w:num>
  <w:num w:numId="23">
    <w:abstractNumId w:val="9"/>
  </w:num>
  <w:num w:numId="2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1A"/>
    <w:rsid w:val="000323F6"/>
    <w:rsid w:val="00060C22"/>
    <w:rsid w:val="001619F9"/>
    <w:rsid w:val="00173620"/>
    <w:rsid w:val="001B5595"/>
    <w:rsid w:val="001D2821"/>
    <w:rsid w:val="001E2A45"/>
    <w:rsid w:val="001E603B"/>
    <w:rsid w:val="00207652"/>
    <w:rsid w:val="00235FBD"/>
    <w:rsid w:val="002475DD"/>
    <w:rsid w:val="0027479D"/>
    <w:rsid w:val="00291DA9"/>
    <w:rsid w:val="0029614D"/>
    <w:rsid w:val="002F0FA9"/>
    <w:rsid w:val="0030549B"/>
    <w:rsid w:val="00326A1A"/>
    <w:rsid w:val="003420F0"/>
    <w:rsid w:val="00356C81"/>
    <w:rsid w:val="003A085A"/>
    <w:rsid w:val="003F2DA3"/>
    <w:rsid w:val="003F6107"/>
    <w:rsid w:val="0040005B"/>
    <w:rsid w:val="00413A48"/>
    <w:rsid w:val="004257AC"/>
    <w:rsid w:val="00452F4A"/>
    <w:rsid w:val="00530E83"/>
    <w:rsid w:val="005A3625"/>
    <w:rsid w:val="00624D48"/>
    <w:rsid w:val="00687EAC"/>
    <w:rsid w:val="006E3A14"/>
    <w:rsid w:val="006F17A9"/>
    <w:rsid w:val="006F3AC2"/>
    <w:rsid w:val="00701574"/>
    <w:rsid w:val="0074627A"/>
    <w:rsid w:val="00753382"/>
    <w:rsid w:val="007A5A9D"/>
    <w:rsid w:val="008301F3"/>
    <w:rsid w:val="00842E95"/>
    <w:rsid w:val="008505C7"/>
    <w:rsid w:val="008842A3"/>
    <w:rsid w:val="008E5E76"/>
    <w:rsid w:val="00904961"/>
    <w:rsid w:val="00917F02"/>
    <w:rsid w:val="00986FA2"/>
    <w:rsid w:val="009B15FC"/>
    <w:rsid w:val="009B1DCD"/>
    <w:rsid w:val="009F5443"/>
    <w:rsid w:val="00A21718"/>
    <w:rsid w:val="00A23082"/>
    <w:rsid w:val="00A8279C"/>
    <w:rsid w:val="00B01DB8"/>
    <w:rsid w:val="00B10994"/>
    <w:rsid w:val="00B82FAE"/>
    <w:rsid w:val="00B833DD"/>
    <w:rsid w:val="00BA2FEA"/>
    <w:rsid w:val="00BB0237"/>
    <w:rsid w:val="00BE2A09"/>
    <w:rsid w:val="00BE6E8A"/>
    <w:rsid w:val="00BF3DB5"/>
    <w:rsid w:val="00C50A15"/>
    <w:rsid w:val="00C573DE"/>
    <w:rsid w:val="00C868AC"/>
    <w:rsid w:val="00CB1418"/>
    <w:rsid w:val="00CB401A"/>
    <w:rsid w:val="00CD5B51"/>
    <w:rsid w:val="00CD608F"/>
    <w:rsid w:val="00CF01C1"/>
    <w:rsid w:val="00D86125"/>
    <w:rsid w:val="00DB4B7D"/>
    <w:rsid w:val="00DF5C35"/>
    <w:rsid w:val="00E13D30"/>
    <w:rsid w:val="00E93C88"/>
    <w:rsid w:val="00EA01B4"/>
    <w:rsid w:val="00EA093A"/>
    <w:rsid w:val="00EA4464"/>
    <w:rsid w:val="00EC3E77"/>
    <w:rsid w:val="00EC50EB"/>
    <w:rsid w:val="00EC681D"/>
    <w:rsid w:val="00F964FE"/>
    <w:rsid w:val="00FC58A4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">
    <w:name w:val="underline"/>
    <w:basedOn w:val="a0"/>
    <w:rsid w:val="00753382"/>
  </w:style>
  <w:style w:type="character" w:styleId="a3">
    <w:name w:val="Strong"/>
    <w:basedOn w:val="a0"/>
    <w:uiPriority w:val="22"/>
    <w:qFormat/>
    <w:rsid w:val="00753382"/>
    <w:rPr>
      <w:b/>
      <w:bCs/>
    </w:rPr>
  </w:style>
  <w:style w:type="paragraph" w:styleId="a4">
    <w:name w:val="Normal (Web)"/>
    <w:basedOn w:val="a"/>
    <w:uiPriority w:val="99"/>
    <w:semiHidden/>
    <w:unhideWhenUsed/>
    <w:rsid w:val="003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8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603B"/>
    <w:rPr>
      <w:i/>
      <w:iCs/>
    </w:rPr>
  </w:style>
  <w:style w:type="paragraph" w:styleId="a9">
    <w:name w:val="List Paragraph"/>
    <w:basedOn w:val="a"/>
    <w:uiPriority w:val="34"/>
    <w:qFormat/>
    <w:rsid w:val="007A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">
    <w:name w:val="underline"/>
    <w:basedOn w:val="a0"/>
    <w:rsid w:val="00753382"/>
  </w:style>
  <w:style w:type="character" w:styleId="a3">
    <w:name w:val="Strong"/>
    <w:basedOn w:val="a0"/>
    <w:uiPriority w:val="22"/>
    <w:qFormat/>
    <w:rsid w:val="00753382"/>
    <w:rPr>
      <w:b/>
      <w:bCs/>
    </w:rPr>
  </w:style>
  <w:style w:type="paragraph" w:styleId="a4">
    <w:name w:val="Normal (Web)"/>
    <w:basedOn w:val="a"/>
    <w:uiPriority w:val="99"/>
    <w:semiHidden/>
    <w:unhideWhenUsed/>
    <w:rsid w:val="003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8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603B"/>
    <w:rPr>
      <w:i/>
      <w:iCs/>
    </w:rPr>
  </w:style>
  <w:style w:type="paragraph" w:styleId="a9">
    <w:name w:val="List Paragraph"/>
    <w:basedOn w:val="a"/>
    <w:uiPriority w:val="34"/>
    <w:qFormat/>
    <w:rsid w:val="007A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4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19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56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497">
          <w:marLeft w:val="0"/>
          <w:marRight w:val="0"/>
          <w:marTop w:val="0"/>
          <w:marBottom w:val="0"/>
          <w:divBdr>
            <w:top w:val="single" w:sz="6" w:space="0" w:color="EFEF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0752">
          <w:marLeft w:val="0"/>
          <w:marRight w:val="0"/>
          <w:marTop w:val="0"/>
          <w:marBottom w:val="0"/>
          <w:divBdr>
            <w:top w:val="single" w:sz="6" w:space="0" w:color="EFEF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6413</TotalTime>
  <Pages>26</Pages>
  <Words>7400</Words>
  <Characters>42185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2022-06-09T10:15:00Z</dcterms:created>
  <dcterms:modified xsi:type="dcterms:W3CDTF">2023-06-13T10:08:00Z</dcterms:modified>
</cp:coreProperties>
</file>