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CF666" w14:textId="4604F980" w:rsidR="009D6A73" w:rsidRDefault="009D6A73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30502473"/>
      <w:bookmarkEnd w:id="0"/>
      <w:r>
        <w:rPr>
          <w:noProof/>
        </w:rPr>
        <w:drawing>
          <wp:inline distT="0" distB="0" distL="0" distR="0" wp14:anchorId="47E4826F" wp14:editId="2744228D">
            <wp:extent cx="5915675" cy="7439025"/>
            <wp:effectExtent l="0" t="0" r="0" b="0"/>
            <wp:docPr id="1717023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23312" name=""/>
                    <pic:cNvPicPr/>
                  </pic:nvPicPr>
                  <pic:blipFill rotWithShape="1">
                    <a:blip r:embed="rId8"/>
                    <a:srcRect l="42329" t="15552" r="24795" b="10953"/>
                    <a:stretch/>
                  </pic:blipFill>
                  <pic:spPr bwMode="auto">
                    <a:xfrm>
                      <a:off x="0" y="0"/>
                      <a:ext cx="5926326" cy="7452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A5CD2" w14:textId="77777777" w:rsidR="009D6A73" w:rsidRDefault="009D6A73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31B83BE2" w14:textId="77777777" w:rsidR="009D6A73" w:rsidRDefault="009D6A73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79ABBE33" w14:textId="77777777" w:rsidR="009D6A73" w:rsidRDefault="009D6A73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138F62C1" w14:textId="77777777" w:rsidR="009D6A73" w:rsidRDefault="009D6A73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14:paraId="3B5403B5" w14:textId="4CAC92FA" w:rsidR="00AC7150" w:rsidRPr="00064871" w:rsidRDefault="00AC7150" w:rsidP="00400D8C">
      <w:pPr>
        <w:spacing w:before="120" w:after="12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lastRenderedPageBreak/>
        <w:t>Федеральное государственное бюджетное образовательное учреждение высшего образ</w:t>
      </w:r>
      <w:r w:rsidRPr="00064871">
        <w:rPr>
          <w:rFonts w:ascii="Times New Roman" w:hAnsi="Times New Roman" w:cs="Times New Roman"/>
          <w:b/>
          <w:sz w:val="28"/>
          <w:szCs w:val="28"/>
        </w:rPr>
        <w:t>о</w:t>
      </w:r>
      <w:r w:rsidRPr="00064871">
        <w:rPr>
          <w:rFonts w:ascii="Times New Roman" w:hAnsi="Times New Roman" w:cs="Times New Roman"/>
          <w:sz w:val="28"/>
          <w:szCs w:val="28"/>
        </w:rPr>
        <w:t>вания «Красноярский государственный медицинский университет имени профессора В.Ф. Войно-Ясенецкого» Министерства здравоохранения Российской Федерации</w:t>
      </w:r>
    </w:p>
    <w:p w14:paraId="211F00B6" w14:textId="77777777" w:rsidR="00636321" w:rsidRPr="00064871" w:rsidRDefault="00636321" w:rsidP="00636321">
      <w:pPr>
        <w:spacing w:before="120" w:after="12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3D6B044F" w14:textId="77777777" w:rsidR="00AC7150" w:rsidRPr="00064871" w:rsidRDefault="00983071" w:rsidP="00636321">
      <w:pPr>
        <w:spacing w:before="120" w:after="120" w:line="360" w:lineRule="auto"/>
        <w:ind w:left="-567" w:right="2119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      </w:t>
      </w:r>
      <w:r w:rsidR="00636321" w:rsidRPr="0006487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A331D" w:rsidRPr="00064871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D1A99" w:rsidRPr="0006487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A331D" w:rsidRPr="00064871">
        <w:rPr>
          <w:rFonts w:ascii="Times New Roman" w:hAnsi="Times New Roman" w:cs="Times New Roman"/>
          <w:sz w:val="28"/>
          <w:szCs w:val="28"/>
        </w:rPr>
        <w:t xml:space="preserve"> </w:t>
      </w:r>
      <w:r w:rsidR="00AC7150" w:rsidRPr="00064871">
        <w:rPr>
          <w:rFonts w:ascii="Times New Roman" w:hAnsi="Times New Roman" w:cs="Times New Roman"/>
          <w:sz w:val="28"/>
          <w:szCs w:val="28"/>
        </w:rPr>
        <w:t xml:space="preserve">Кафедра факультетской терапии с </w:t>
      </w:r>
      <w:proofErr w:type="gramStart"/>
      <w:r w:rsidR="00AC7150" w:rsidRPr="00064871">
        <w:rPr>
          <w:rFonts w:ascii="Times New Roman" w:hAnsi="Times New Roman" w:cs="Times New Roman"/>
          <w:sz w:val="28"/>
          <w:szCs w:val="28"/>
        </w:rPr>
        <w:t xml:space="preserve">курсом </w:t>
      </w:r>
      <w:r w:rsidR="00BA331D" w:rsidRPr="00064871">
        <w:rPr>
          <w:rFonts w:ascii="Times New Roman" w:hAnsi="Times New Roman" w:cs="Times New Roman"/>
          <w:sz w:val="28"/>
          <w:szCs w:val="28"/>
        </w:rPr>
        <w:t xml:space="preserve"> ПО</w:t>
      </w:r>
      <w:proofErr w:type="gramEnd"/>
    </w:p>
    <w:p w14:paraId="4D911B66" w14:textId="77777777" w:rsidR="00AC7150" w:rsidRPr="00064871" w:rsidRDefault="00AC7150" w:rsidP="00636321">
      <w:pPr>
        <w:spacing w:before="120" w:after="12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52D4E395" w14:textId="77777777" w:rsidR="00AC7150" w:rsidRPr="00064871" w:rsidRDefault="00AC7150" w:rsidP="00636321">
      <w:pPr>
        <w:spacing w:before="120" w:after="12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4C2BA890" w14:textId="77777777" w:rsidR="00AC7150" w:rsidRPr="00064871" w:rsidRDefault="00AC7150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Заведующий кафедрой: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дмн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профессор, </w:t>
      </w:r>
      <w:r w:rsidR="00004C1A" w:rsidRPr="00064871">
        <w:rPr>
          <w:rFonts w:ascii="Times New Roman" w:hAnsi="Times New Roman" w:cs="Times New Roman"/>
          <w:sz w:val="28"/>
          <w:szCs w:val="28"/>
        </w:rPr>
        <w:t>Шестерня П.А.</w:t>
      </w:r>
    </w:p>
    <w:p w14:paraId="41EE898F" w14:textId="77777777" w:rsidR="00AC7150" w:rsidRPr="00064871" w:rsidRDefault="00004C1A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Проверила</w:t>
      </w:r>
      <w:r w:rsidR="00AC7150" w:rsidRPr="0006487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AC7150" w:rsidRPr="00064871">
        <w:rPr>
          <w:rFonts w:ascii="Times New Roman" w:hAnsi="Times New Roman" w:cs="Times New Roman"/>
          <w:sz w:val="28"/>
          <w:szCs w:val="28"/>
        </w:rPr>
        <w:t>кмн</w:t>
      </w:r>
      <w:proofErr w:type="spellEnd"/>
      <w:r w:rsidR="00AC7150" w:rsidRPr="0006487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Пелипецкая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Е.Ю.</w:t>
      </w:r>
    </w:p>
    <w:p w14:paraId="77200657" w14:textId="77777777" w:rsidR="00AC7150" w:rsidRPr="00064871" w:rsidRDefault="00AC7150" w:rsidP="00636321">
      <w:pPr>
        <w:spacing w:before="120" w:after="12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22A03E2E" w14:textId="77777777" w:rsidR="00AC7150" w:rsidRPr="00064871" w:rsidRDefault="00AC7150" w:rsidP="00BA331D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787E26E0" w14:textId="77777777" w:rsidR="00AC7150" w:rsidRPr="00064871" w:rsidRDefault="00AC7150" w:rsidP="00636321">
      <w:pPr>
        <w:spacing w:before="120" w:after="12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AA65A1C" w14:textId="77777777" w:rsidR="00AC7150" w:rsidRPr="00064871" w:rsidRDefault="00AC7150" w:rsidP="00636321">
      <w:pPr>
        <w:spacing w:before="120" w:after="12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РЕФЕРАТ</w:t>
      </w:r>
    </w:p>
    <w:p w14:paraId="7ADBAC06" w14:textId="77777777" w:rsidR="00AC7150" w:rsidRPr="00064871" w:rsidRDefault="00AC7150" w:rsidP="00636321">
      <w:pPr>
        <w:spacing w:before="120" w:after="12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Тема:</w:t>
      </w:r>
      <w:r w:rsidR="00983071" w:rsidRPr="00064871">
        <w:rPr>
          <w:rFonts w:ascii="Times New Roman" w:hAnsi="Times New Roman" w:cs="Times New Roman"/>
          <w:sz w:val="28"/>
          <w:szCs w:val="28"/>
        </w:rPr>
        <w:t xml:space="preserve"> «</w:t>
      </w:r>
      <w:r w:rsidR="00CD1A99" w:rsidRPr="00064871">
        <w:rPr>
          <w:rFonts w:ascii="Times New Roman" w:hAnsi="Times New Roman" w:cs="Times New Roman"/>
          <w:sz w:val="28"/>
          <w:szCs w:val="28"/>
        </w:rPr>
        <w:t xml:space="preserve">Синдром </w:t>
      </w:r>
      <w:proofErr w:type="spellStart"/>
      <w:r w:rsidR="00CD1A99" w:rsidRPr="00064871">
        <w:rPr>
          <w:rFonts w:ascii="Times New Roman" w:hAnsi="Times New Roman" w:cs="Times New Roman"/>
          <w:sz w:val="28"/>
          <w:szCs w:val="28"/>
        </w:rPr>
        <w:t>Бругады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»</w:t>
      </w:r>
    </w:p>
    <w:p w14:paraId="586369CC" w14:textId="77777777" w:rsidR="00AC7150" w:rsidRPr="00064871" w:rsidRDefault="00AC7150" w:rsidP="00636321">
      <w:pPr>
        <w:spacing w:before="120" w:after="12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14:paraId="78DEAE9E" w14:textId="77777777" w:rsidR="00AC7150" w:rsidRPr="00064871" w:rsidRDefault="00AC7150" w:rsidP="00636321">
      <w:pPr>
        <w:spacing w:before="120" w:after="12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14:paraId="11DDD8BD" w14:textId="77777777" w:rsidR="00004C1A" w:rsidRPr="00064871" w:rsidRDefault="00983071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Выполнил: ординатор 2 </w:t>
      </w:r>
      <w:r w:rsidR="00AC7150" w:rsidRPr="00064871">
        <w:rPr>
          <w:rFonts w:ascii="Times New Roman" w:hAnsi="Times New Roman" w:cs="Times New Roman"/>
          <w:sz w:val="28"/>
          <w:szCs w:val="28"/>
        </w:rPr>
        <w:t>года обучения</w:t>
      </w:r>
    </w:p>
    <w:p w14:paraId="06D08F86" w14:textId="77777777" w:rsidR="003708FD" w:rsidRPr="00064871" w:rsidRDefault="00004C1A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Специальность «кардиология» </w:t>
      </w:r>
    </w:p>
    <w:p w14:paraId="0A1EB863" w14:textId="77777777" w:rsidR="00004C1A" w:rsidRPr="00064871" w:rsidRDefault="00004C1A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Каюмов Д.Д.</w:t>
      </w:r>
    </w:p>
    <w:p w14:paraId="579463FD" w14:textId="77777777" w:rsidR="00004C1A" w:rsidRPr="00064871" w:rsidRDefault="00004C1A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72CCB953" w14:textId="77777777" w:rsidR="00694AD1" w:rsidRPr="00064871" w:rsidRDefault="00694AD1" w:rsidP="00636321">
      <w:pPr>
        <w:spacing w:before="120" w:after="120" w:line="36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14:paraId="32EE8BE1" w14:textId="77777777" w:rsidR="00400D8C" w:rsidRPr="00064871" w:rsidRDefault="00636321" w:rsidP="0063632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AC7150" w:rsidRPr="00064871">
        <w:rPr>
          <w:rFonts w:ascii="Times New Roman" w:hAnsi="Times New Roman" w:cs="Times New Roman"/>
          <w:sz w:val="28"/>
          <w:szCs w:val="28"/>
        </w:rPr>
        <w:t xml:space="preserve">Красноярск </w:t>
      </w:r>
      <w:r w:rsidR="00983071" w:rsidRPr="00064871">
        <w:rPr>
          <w:rFonts w:ascii="Times New Roman" w:hAnsi="Times New Roman" w:cs="Times New Roman"/>
          <w:sz w:val="28"/>
          <w:szCs w:val="28"/>
        </w:rPr>
        <w:t>2023</w:t>
      </w:r>
      <w:r w:rsidR="00AC7150" w:rsidRPr="00064871">
        <w:rPr>
          <w:rFonts w:ascii="Times New Roman" w:hAnsi="Times New Roman" w:cs="Times New Roman"/>
          <w:sz w:val="28"/>
          <w:szCs w:val="28"/>
        </w:rPr>
        <w:t>г.</w:t>
      </w:r>
    </w:p>
    <w:p w14:paraId="047911C8" w14:textId="77777777" w:rsidR="00B909EE" w:rsidRPr="00064871" w:rsidRDefault="00B909EE" w:rsidP="0063632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33ABCD5F" w14:textId="77777777" w:rsidR="00694AD1" w:rsidRPr="00064871" w:rsidRDefault="00694AD1" w:rsidP="00636321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</w:p>
    <w:p w14:paraId="60F27353" w14:textId="77777777" w:rsidR="00D64080" w:rsidRPr="00064871" w:rsidRDefault="00D64080" w:rsidP="00636321">
      <w:pPr>
        <w:widowControl w:val="0"/>
        <w:autoSpaceDE w:val="0"/>
        <w:autoSpaceDN w:val="0"/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14:paraId="503F31BC" w14:textId="77777777" w:rsidR="00FB32BF" w:rsidRDefault="00EC394A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Определение</w:t>
      </w:r>
    </w:p>
    <w:p w14:paraId="2363D96F" w14:textId="77777777" w:rsidR="00EC394A" w:rsidRDefault="00EC394A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Этиология и патогенез</w:t>
      </w:r>
    </w:p>
    <w:p w14:paraId="48992C86" w14:textId="77777777" w:rsidR="00EC394A" w:rsidRDefault="00EC394A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Клиническая картина</w:t>
      </w:r>
    </w:p>
    <w:p w14:paraId="374DE92C" w14:textId="77777777" w:rsidR="00EC394A" w:rsidRDefault="00EC394A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Диагностика</w:t>
      </w:r>
    </w:p>
    <w:p w14:paraId="42F70451" w14:textId="77777777" w:rsidR="00EC394A" w:rsidRPr="00064871" w:rsidRDefault="00EC394A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Лечение</w:t>
      </w:r>
    </w:p>
    <w:p w14:paraId="196D6E45" w14:textId="77777777" w:rsidR="00E45D1C" w:rsidRPr="00064871" w:rsidRDefault="00E45D1C" w:rsidP="00CD1A99">
      <w:pPr>
        <w:pStyle w:val="a7"/>
        <w:numPr>
          <w:ilvl w:val="0"/>
          <w:numId w:val="11"/>
        </w:numPr>
        <w:spacing w:before="120" w:after="120" w:line="360" w:lineRule="auto"/>
        <w:ind w:right="918"/>
        <w:rPr>
          <w:rFonts w:eastAsiaTheme="minorHAnsi"/>
          <w:sz w:val="28"/>
          <w:szCs w:val="28"/>
        </w:rPr>
      </w:pPr>
      <w:r w:rsidRPr="00064871">
        <w:rPr>
          <w:sz w:val="28"/>
          <w:szCs w:val="28"/>
        </w:rPr>
        <w:t>Список используемой литературы:</w:t>
      </w:r>
    </w:p>
    <w:p w14:paraId="162C148D" w14:textId="77777777" w:rsidR="00E45D1C" w:rsidRPr="00064871" w:rsidRDefault="00E45D1C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41D23A4" w14:textId="77777777" w:rsidR="00E45D1C" w:rsidRPr="00064871" w:rsidRDefault="00E45D1C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5CED09D1" w14:textId="77777777" w:rsidR="00E45D1C" w:rsidRPr="00064871" w:rsidRDefault="00E45D1C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0C9E7C75" w14:textId="77777777" w:rsidR="00E45D1C" w:rsidRPr="00064871" w:rsidRDefault="00E45D1C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7194CB3" w14:textId="77777777" w:rsidR="00E45D1C" w:rsidRPr="00064871" w:rsidRDefault="00E45D1C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60A051B5" w14:textId="77777777" w:rsidR="00B909EE" w:rsidRPr="00064871" w:rsidRDefault="00B909EE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016B6F10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11907848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6E630FDC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69646EFB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4D0285C0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74D1E62C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3781481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20B76FB5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8453A3C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52D7F493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41CE9101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2C9DB8E5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9CAE163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373575A5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18EF1D40" w14:textId="77777777" w:rsidR="00CD1A99" w:rsidRPr="00064871" w:rsidRDefault="00CD1A99" w:rsidP="00E45D1C">
      <w:pPr>
        <w:spacing w:before="120" w:after="120" w:line="360" w:lineRule="auto"/>
        <w:ind w:right="918"/>
        <w:rPr>
          <w:rFonts w:ascii="Times New Roman" w:hAnsi="Times New Roman" w:cs="Times New Roman"/>
          <w:sz w:val="28"/>
          <w:szCs w:val="28"/>
        </w:rPr>
      </w:pPr>
    </w:p>
    <w:p w14:paraId="2841DFB7" w14:textId="77777777" w:rsidR="00CD1A99" w:rsidRPr="00064871" w:rsidRDefault="00CD1A99" w:rsidP="00CD1A99">
      <w:pPr>
        <w:spacing w:before="120" w:after="120" w:line="360" w:lineRule="auto"/>
        <w:ind w:left="360" w:right="918"/>
        <w:rPr>
          <w:rFonts w:ascii="Times New Roman" w:hAnsi="Times New Roman" w:cs="Times New Roman"/>
          <w:b/>
          <w:sz w:val="32"/>
          <w:szCs w:val="32"/>
        </w:rPr>
      </w:pPr>
      <w:r w:rsidRPr="00064871">
        <w:rPr>
          <w:rFonts w:ascii="Times New Roman" w:hAnsi="Times New Roman" w:cs="Times New Roman"/>
          <w:b/>
          <w:sz w:val="32"/>
          <w:szCs w:val="32"/>
        </w:rPr>
        <w:t xml:space="preserve">Определение </w:t>
      </w:r>
    </w:p>
    <w:p w14:paraId="0230438E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  Синдром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– первичная (наследственная) болезнь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аритмогенеза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характеризующаяся наличием типичного клинико-электрокардиографического симптомокомплекса, включающего особую форму блокады правой ножки пучка Гиса 8 (БПНПГ) с подъёмом сегмента ST в одном или нескольких правых грудных отведениях на электрокардиограмме (ЭКГ), отсутствием структурной патологии сердца и различными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жизнеугрожающими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желудочковыми аритмиями (ЖА), которые приводят к резкому повышению риска развития внезапной сердечной смерти (ВСС) </w:t>
      </w:r>
    </w:p>
    <w:p w14:paraId="109C4A6C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Этиология и патогенез</w:t>
      </w:r>
    </w:p>
    <w:p w14:paraId="56DFCEAD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Этиология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Синдром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является моногенным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полилокусным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заболеванием; идентифицировано более 20 причинных генов, связанных с развитием этой кардиологической </w:t>
      </w:r>
      <w:proofErr w:type="gramStart"/>
      <w:r w:rsidRPr="00064871">
        <w:rPr>
          <w:rFonts w:ascii="Times New Roman" w:hAnsi="Times New Roman" w:cs="Times New Roman"/>
          <w:sz w:val="28"/>
          <w:szCs w:val="28"/>
        </w:rPr>
        <w:t>патологии .</w:t>
      </w:r>
      <w:proofErr w:type="gramEnd"/>
      <w:r w:rsidRPr="00064871">
        <w:rPr>
          <w:rFonts w:ascii="Times New Roman" w:hAnsi="Times New Roman" w:cs="Times New Roman"/>
          <w:sz w:val="28"/>
          <w:szCs w:val="28"/>
        </w:rPr>
        <w:t xml:space="preserve"> Первое генетическое изменение, которое связали с развитием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, было обнаружено в гене SCN5A, который кодирует синтез сердечной α-субъединицы потенциал-зависимого натриевого канала. Этот канал обеспечивает поступление ионов натрия в клетку и играет главную роль в проведении сердечного сокращения, координации и поддержании нормального сердечного ритма. Также этот канал обеспечивает поздний входящий натриевый ток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INaL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), который влияет на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реполяризацию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рефрактерность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. Мутации гена SCN5A, которые уменьшают пик тока INav1.5 ведут к развитию фенотипа синдрома </w:t>
      </w:r>
      <w:proofErr w:type="spellStart"/>
      <w:proofErr w:type="gram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64871">
        <w:rPr>
          <w:rFonts w:ascii="Times New Roman" w:hAnsi="Times New Roman" w:cs="Times New Roman"/>
          <w:sz w:val="28"/>
          <w:szCs w:val="28"/>
        </w:rPr>
        <w:t xml:space="preserve"> Это основополагающее открытие обеспечило критическое понимание механизма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 выделило снижение плотности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INa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как краеугольный камень патофизиологии, лежащий в основе этого состояния. С момента идентификации гена SCN5A в 1998 году в качестве первого генетического виновника, было выявлено более 450 патогенных вариантов в 24 генах, которые связывают с развитием синдрома </w:t>
      </w:r>
      <w:proofErr w:type="spellStart"/>
      <w:proofErr w:type="gram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14:paraId="6308B197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Гены кодируют сердечные натриевые, калиевые и кальциевые ионные каналы, участвующие в формировании потенциала действия (ПД) в миокарде, или ассоциированные с ними белки, что позволяет рассматривать синдром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как врожденную (первичную) ионную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каналопатию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 аутосомно-доминантным типом наследования. Несмотря на то, что список генов, ассоциированных с развитием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значительно пополнился за последние пять лет, заболевание генетически подтверждается с частотой 30-35% среди всех клинически диагностированных и не вызывающих сомнений случаев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</w:p>
    <w:p w14:paraId="5F91D987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CD70A" wp14:editId="2F5296A4">
            <wp:extent cx="5945815" cy="531627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82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52EA8E" w14:textId="77777777" w:rsidR="00CD1A99" w:rsidRPr="00064871" w:rsidRDefault="00CD1A99" w:rsidP="00CD1A99">
      <w:pPr>
        <w:spacing w:before="120" w:after="120" w:line="360" w:lineRule="auto"/>
        <w:ind w:left="360" w:right="141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Молекулярный патогенез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Причиной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являются генетически обусловленные нарушения функции трансмембранных ионных каналов [3]. Определенные мутации генов вызывают изменения в белках-транспортировщиках важнейших электролитов, обеспечивающих электрохимический процесс возбуждения. К ним относятся натрий, калий, кальций </w:t>
      </w: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и магний.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чаще всего блокируется поступление ионов натрия в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кардиомиоциты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. Это не дает возможности организовать необходимое расслабление мышцы. Наиболее подверженным оказался правый желудочек. Именно в этой зоне формируется аномальная активность, вызывающая пароксизмы ЖА [3]. Мутации в белках натриевых каналов демонстрируют биофизический фенотип потери /снижения функции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loss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- LOF), т.е. вызывают ускоренную инактивацию канала, в результате чего пиковая плотность натриевого тока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INa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) на поверхности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кардиомиоцита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снижается или утрачивается. Биофизический эффект LOF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обусловлен трансляцией измененных белковых каналов, которые либо не могут достичь плазматической мембраны из-за дефектов внутриклеточного транспорта, либо разрушаются через нонсенс-опосредованный распад мРНК, либо достигают плазматической мембраны, но не способны нормально функционировать, несмотря на поверхностную локализацию. Биофизический анализ мутантных каналов в последнем случае показывает изменения кинетики активации или инактивации (сдвиг кривой активации в сторону более положительных значений, ускоренная инактивация) по сравнению с каналами дикого типа, что увеличивает степень деполяризации, необходимую для активации [9]. Несмотря на разнообразные механизмы повреждения, общим результатом нарушения функционирования натриевых каналов Nav1.5 является снижение или утрата суммарного входящего натриевого тока. По такому же биофизическому фенотипу LOF реализуются мутации в генах кальциевых каналов, электрофизиологическим эффектом которых является снижение входящего кальциевого тока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ICa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-L) во время фазы плато ПД</w:t>
      </w:r>
    </w:p>
    <w:p w14:paraId="7CFD339B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b/>
          <w:sz w:val="28"/>
          <w:szCs w:val="28"/>
        </w:rPr>
        <w:t xml:space="preserve">Патогенез </w:t>
      </w:r>
      <w:proofErr w:type="spellStart"/>
      <w:r w:rsidRPr="00064871">
        <w:rPr>
          <w:rFonts w:ascii="Times New Roman" w:hAnsi="Times New Roman" w:cs="Times New Roman"/>
          <w:b/>
          <w:sz w:val="28"/>
          <w:szCs w:val="28"/>
        </w:rPr>
        <w:t>жизнеугрожающих</w:t>
      </w:r>
      <w:proofErr w:type="spellEnd"/>
      <w:r w:rsidRPr="00064871">
        <w:rPr>
          <w:rFonts w:ascii="Times New Roman" w:hAnsi="Times New Roman" w:cs="Times New Roman"/>
          <w:b/>
          <w:sz w:val="28"/>
          <w:szCs w:val="28"/>
        </w:rPr>
        <w:t xml:space="preserve"> желудочковых аритмий и ВСС</w:t>
      </w:r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B1C26A" w14:textId="77777777" w:rsidR="00CD1A99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Ключевым звеном в генезе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жизнеугрожающих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ЖА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является выраженная дисперсия характеристик параметров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рефрактерности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в миокарде правого желудочка. В норме на кривой ПД в фазе 1 отмечается небольшое западение, обусловленное выходящим током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Ito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. Этот транзиторный (быстро инактивирующийся) ток противодействует деполяризации и не виден на ЭКГ.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появляется </w:t>
      </w: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ионный дисбаланс в фазе 1 ПД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кардиомиоцита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обусловленный снижением суммарного входящего натриевого тока, и относительно которого, транзиторный исходящий ток увеличивается. Снижение плотности каналов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INa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ICa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-L, образующих входящие ионные токи, по отношению к значительной плотности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Ito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или ускоренная инактивация натриевых и кальциевых каналов ведет к преждевременной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 слишком короткому ПД преимущественно в клетках эпикарда правого желудочка, тогда как в эндокарде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реполяризация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протекает нормально [10]. В результате возникает градиент вольтажных значений в разных слоях выводного тракта правого желудочка в начале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что на ЭКГ отражается в виде подъема сегмента ST [11]. Характерные изменения именно в правых грудных отведениях (V1-V2) отражают нарушения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которые происходят в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эпикардиальном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слое миокарда правого желудочка и не затрагивают эпикард левого желудочка, что связывают с меньшей плотностью тока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Ito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в последнем. Показано, что различная скорость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реполяризации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в эпи- 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эндокардиальных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отделах правого желудочка обеспечивает условия для возникновения желудочковых аритмий по механизму ре-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ентри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[12]. Участки миокарда (преимущественно эндокард), с сохраненным в фазу 2 плато, имеют большую продолжительность ПД и могут деполяризовать и реактивировать область, имеющую короткий ПД (преимущественно эпикард), образуя преждевременные желудочковые комплексы, которые, в свою очередь, могут запустить полиморфную желудочковую тахикардию (ЖТ) и/или фибрилляцию желудочков (ФЖ) (рис. 1) [13]. Таким образом, эндокард может стать источником повторного возбуждения 12 преждевременно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реполяризованного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эпикарда.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Antzelevitch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C и коллеги назвали такой механизм развития аритмий «ре-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ентри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2-й фазы»</w:t>
      </w:r>
    </w:p>
    <w:p w14:paraId="767C0EC8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69DCBC" wp14:editId="0E45D2E5">
            <wp:extent cx="6326505" cy="45612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00A4B" w14:textId="77777777" w:rsidR="00CD1A99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Схематическое изображение изменений потенциала действия (ПД) эпикарда правого желудочка, лежащие в основе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. Представлен потенциал действия эпикарда, миокарда и эндокарда в </w:t>
      </w:r>
      <w:proofErr w:type="gramStart"/>
      <w:r w:rsidRPr="00064871">
        <w:rPr>
          <w:rFonts w:ascii="Times New Roman" w:hAnsi="Times New Roman" w:cs="Times New Roman"/>
          <w:sz w:val="28"/>
          <w:szCs w:val="28"/>
        </w:rPr>
        <w:t>норме  и</w:t>
      </w:r>
      <w:proofErr w:type="gramEnd"/>
      <w:r w:rsidRPr="00064871">
        <w:rPr>
          <w:rFonts w:ascii="Times New Roman" w:hAnsi="Times New Roman" w:cs="Times New Roman"/>
          <w:sz w:val="28"/>
          <w:szCs w:val="28"/>
        </w:rPr>
        <w:t xml:space="preserve">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. Пространственно-неоднородная потеря фазы плато ПД в выводном отделе правого желудочка создает трансмуральный электрический градиент в толще сократительного миокарда . Эндокард, в котором ПД протекает обычно, может стать источником повторного возбуждения преждевременно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реполяризованного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эпикарда в фазу 2, который может инициировать преждевременные желудочковые комплексы и полиморфную ЖТ/ФЖ. </w:t>
      </w:r>
    </w:p>
    <w:p w14:paraId="69A787A1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b/>
          <w:sz w:val="32"/>
          <w:szCs w:val="32"/>
        </w:rPr>
      </w:pPr>
      <w:r w:rsidRPr="00064871">
        <w:rPr>
          <w:rFonts w:ascii="Times New Roman" w:hAnsi="Times New Roman" w:cs="Times New Roman"/>
          <w:b/>
          <w:sz w:val="32"/>
          <w:szCs w:val="32"/>
        </w:rPr>
        <w:t>Классификация заболевания или состояния.</w:t>
      </w:r>
    </w:p>
    <w:p w14:paraId="5B0B2805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В настоящее время выделяют следующие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клинико</w:t>
      </w:r>
      <w:proofErr w:type="spellEnd"/>
    </w:p>
    <w:p w14:paraId="560B1D4F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электрокардиографические формы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3704335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1) Полная форма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4871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064871">
        <w:rPr>
          <w:rFonts w:ascii="Times New Roman" w:hAnsi="Times New Roman" w:cs="Times New Roman"/>
          <w:sz w:val="28"/>
          <w:szCs w:val="28"/>
        </w:rPr>
        <w:t xml:space="preserve"> типичная электрокардиографическая картина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-паттерн 1 типа на ЭКГ) с синкопе,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предсинкопе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случаями клинической или внезапной смерти вследствие полиморфной ЖТ/ФЖ; </w:t>
      </w:r>
    </w:p>
    <w:p w14:paraId="04CF0420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2) Неполная форма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, которая объединяет несколько клинических вариантов: - типичная электрокардиографическая картина при отсутствии симптомов, без семейной истории внезапной смерти или синдрома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; - типичная электрокардиографическая картина при отсутствии симптомов заболевания у пациентов - членов семей больных с полной формой синдрома; - типичная электрокардиографическая картина после проведения фармакологических тестов при отсутствии симптомов заболевания у пациентов – членов семей больных с полной формой синдрома; - типичная электрокардиографическая картина после проведения фармакологических тестов у больных с повторными синкопе или идиопатической фибрилляцией предсердий. </w:t>
      </w:r>
    </w:p>
    <w:p w14:paraId="14DDF820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В зависимости от уровня изменений на ЭКГ в повседневной клинической практике встречаются следующие электрокардиографические варианты: - типичная электрокардиографическая картина с явной блокадой правой ножки пучка Гиса, элевацией сегмента ST и удлинением PR-интервала; - типичная электрокардиографическая картина с элевацией сегмента ST, без удлинения PR-интервала и блокады правой ножки пучка Гиса; - неполная блокада правой ножки пучка Гиса с умеренной элевацией сегмента ST; - изолированное удлинение интервала.</w:t>
      </w:r>
    </w:p>
    <w:p w14:paraId="22849574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b/>
          <w:sz w:val="32"/>
          <w:szCs w:val="32"/>
        </w:rPr>
      </w:pPr>
      <w:r w:rsidRPr="00064871">
        <w:rPr>
          <w:rFonts w:ascii="Times New Roman" w:hAnsi="Times New Roman" w:cs="Times New Roman"/>
          <w:b/>
          <w:sz w:val="32"/>
          <w:szCs w:val="32"/>
        </w:rPr>
        <w:t xml:space="preserve">Клиническая картина </w:t>
      </w:r>
    </w:p>
    <w:p w14:paraId="536654F6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b/>
          <w:sz w:val="28"/>
          <w:szCs w:val="28"/>
        </w:rPr>
        <w:t xml:space="preserve">Синдром </w:t>
      </w:r>
      <w:proofErr w:type="spellStart"/>
      <w:r w:rsidRPr="00064871">
        <w:rPr>
          <w:rFonts w:ascii="Times New Roman" w:hAnsi="Times New Roman" w:cs="Times New Roman"/>
          <w:b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– заболевание, основными клиническими проявлениями которого являются потеря сознания и остановка сердца. Непосредственной причиной обморока являются приступы (пароксизмы) ЖТ (преимущественно быстрой полиморфной, крайне редко — мономорфной). Клиническая значимость ЖТ при синдроме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обусловлена высоким риском трансформации в ФЖ и развитием ВСС, в том числе в момент </w:t>
      </w: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первого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синкопального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эпизода.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Парокизм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ЖТ чаще начинается в состоянии полного покоя или сна, что связывают с усилением парасимпатической стимуляции в фазе «быстрого сна», занимающего всю вторую половину ночи.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Синкопальные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состояния и ЖТ могут провоцироваться гипертермией (например, лихорадкой при воспалительных заболеваниях или перегревом в бане), а также рядом лекарственных препаратов. Обычно пароксизм ЖТ сопровождается:</w:t>
      </w:r>
    </w:p>
    <w:p w14:paraId="17D648B2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- ощутимыми толчками в области сердца и учащением сердцебиения; </w:t>
      </w:r>
    </w:p>
    <w:p w14:paraId="12AF9AA6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- оглушенностью; </w:t>
      </w:r>
    </w:p>
    <w:p w14:paraId="75CC9ECE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- потливостью;</w:t>
      </w:r>
    </w:p>
    <w:p w14:paraId="45F53022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- головокружением; </w:t>
      </w:r>
    </w:p>
    <w:p w14:paraId="6A446662" w14:textId="77777777" w:rsidR="00C64651" w:rsidRPr="00064871" w:rsidRDefault="00C6465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- появлением «мушек» перед глазами.</w:t>
      </w:r>
    </w:p>
    <w:p w14:paraId="5D18BC3B" w14:textId="77777777" w:rsidR="00064871" w:rsidRPr="00064871" w:rsidRDefault="00064871" w:rsidP="00C64651">
      <w:pPr>
        <w:spacing w:before="120" w:after="120" w:line="360" w:lineRule="auto"/>
        <w:ind w:left="426" w:right="918"/>
        <w:rPr>
          <w:rFonts w:ascii="Times New Roman" w:hAnsi="Times New Roman" w:cs="Times New Roman"/>
          <w:b/>
          <w:sz w:val="32"/>
          <w:szCs w:val="32"/>
        </w:rPr>
      </w:pPr>
      <w:r w:rsidRPr="00064871">
        <w:rPr>
          <w:rFonts w:ascii="Times New Roman" w:hAnsi="Times New Roman" w:cs="Times New Roman"/>
          <w:b/>
          <w:sz w:val="32"/>
          <w:szCs w:val="32"/>
        </w:rPr>
        <w:t xml:space="preserve">Диагностика </w:t>
      </w:r>
    </w:p>
    <w:p w14:paraId="18F9FC3A" w14:textId="77777777" w:rsidR="00064871" w:rsidRPr="00064871" w:rsidRDefault="00C64651" w:rsidP="0006487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Электрокардиографические критерии диагноза синдром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4DF9E9" w14:textId="77777777" w:rsidR="00064871" w:rsidRPr="00064871" w:rsidRDefault="00C64651" w:rsidP="0006487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Основой диагностики является регистрация на ЭКГ покоя патогномоничных для заболевания изменений в виде полной или неполной БПНПГ с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косонисходящим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подъемом сегмента ST (с точки J) над изоэлектрической линией в одном или более правых прекордиальных отведениях (V1 и/или V2), которые могут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транзиторно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исчезать, инвертированный зубец Т, а также периодическое удлинение интервала PR. Впервые специфические изменения конечной части желудочкового комплекса, связанные с 16 частыми семейными случаями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синкопальных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состояний или ВСС были описаны в 1992 году испанскими кардиологами братьями Педро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Pedro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Brugada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Джозепом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Josef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Brugada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), работающими в раз</w:t>
      </w:r>
      <w:r w:rsidR="00064871" w:rsidRPr="00064871">
        <w:rPr>
          <w:rFonts w:ascii="Times New Roman" w:hAnsi="Times New Roman" w:cs="Times New Roman"/>
          <w:sz w:val="28"/>
          <w:szCs w:val="28"/>
        </w:rPr>
        <w:t xml:space="preserve">личных европейских клиниках </w:t>
      </w:r>
      <w:r w:rsidRPr="00064871">
        <w:rPr>
          <w:rFonts w:ascii="Times New Roman" w:hAnsi="Times New Roman" w:cs="Times New Roman"/>
          <w:sz w:val="28"/>
          <w:szCs w:val="28"/>
        </w:rPr>
        <w:t xml:space="preserve">. Впоследствии представлено три возможных типа ЭКГ изменений, характеризующих синдром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</w:t>
      </w:r>
      <w:r w:rsidR="00064871" w:rsidRPr="00064871">
        <w:rPr>
          <w:rFonts w:ascii="Times New Roman" w:hAnsi="Times New Roman" w:cs="Times New Roman"/>
          <w:sz w:val="28"/>
          <w:szCs w:val="28"/>
        </w:rPr>
        <w:t>угад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794C5D" w14:textId="77777777" w:rsidR="00064871" w:rsidRPr="00064871" w:rsidRDefault="00C64651" w:rsidP="0006487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Тип 1, описанный в 1992, характеризуется значительной элевацией сегмента ST, принимающей «сводчатую» конфигурацию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coved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) с амплитудой J </w:t>
      </w:r>
      <w:r w:rsidRPr="00064871">
        <w:rPr>
          <w:rFonts w:ascii="Times New Roman" w:hAnsi="Times New Roman" w:cs="Times New Roman"/>
          <w:sz w:val="28"/>
          <w:szCs w:val="28"/>
        </w:rPr>
        <w:lastRenderedPageBreak/>
        <w:t xml:space="preserve">волны или элевацией сегмента ST &gt;2 мм или 0.2 милливольта на пике, в сочетании с негативной направленностью T волны, с небольшим изоэлектрическим разделением. Манифестация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-паттерна 1-го типа может присутствовать спонтанно, провоцироваться лихорадкой или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ваготоническими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состояниями, а также рядом лекарственных препаратов, б</w:t>
      </w:r>
      <w:r w:rsidR="00064871" w:rsidRPr="00064871">
        <w:rPr>
          <w:rFonts w:ascii="Times New Roman" w:hAnsi="Times New Roman" w:cs="Times New Roman"/>
          <w:sz w:val="28"/>
          <w:szCs w:val="28"/>
        </w:rPr>
        <w:t>локирующих натриевые каналы</w:t>
      </w:r>
      <w:r w:rsidRPr="00064871">
        <w:rPr>
          <w:rFonts w:ascii="Times New Roman" w:hAnsi="Times New Roman" w:cs="Times New Roman"/>
          <w:sz w:val="28"/>
          <w:szCs w:val="28"/>
        </w:rPr>
        <w:t>. Тип 2 также имеет высокое начало элевации ST, но, в этом случае, амплитуда J волны дает начало постепенному убыванию элевации сегмента ST, застывающем на уровне &gt; 1 мм выше изолинии, в сопровождении положительной или двухфазной T волны, что в результате приводит к «седловидной» конфигурации (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saddleback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>).</w:t>
      </w:r>
    </w:p>
    <w:p w14:paraId="7B737B20" w14:textId="77777777" w:rsidR="00CD1A99" w:rsidRPr="00064871" w:rsidRDefault="00C64651" w:rsidP="00064871">
      <w:pPr>
        <w:spacing w:before="120" w:after="120" w:line="360" w:lineRule="auto"/>
        <w:ind w:left="426" w:right="918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 Тип 3 характеризует элевация сегмента ST</w:t>
      </w:r>
    </w:p>
    <w:p w14:paraId="184777AF" w14:textId="77777777" w:rsidR="00064871" w:rsidRPr="00064871" w:rsidRDefault="00064871" w:rsidP="00064871">
      <w:pPr>
        <w:spacing w:before="120" w:after="120" w:line="360" w:lineRule="auto"/>
        <w:ind w:left="-426" w:right="992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85051" wp14:editId="64EE04F2">
            <wp:extent cx="7101824" cy="1626782"/>
            <wp:effectExtent l="19050" t="0" r="382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11" cy="162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C72E33" w14:textId="77777777" w:rsidR="00BA331D" w:rsidRPr="00064871" w:rsidRDefault="00064871" w:rsidP="00BA331D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0A9BC" wp14:editId="3DBC4167">
            <wp:extent cx="6750685" cy="3713104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401CA" w14:textId="77777777" w:rsidR="00064871" w:rsidRPr="00064871" w:rsidRDefault="00064871" w:rsidP="00BA331D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064871">
        <w:rPr>
          <w:rFonts w:ascii="Times New Roman" w:hAnsi="Times New Roman" w:cs="Times New Roman"/>
        </w:rPr>
        <w:lastRenderedPageBreak/>
        <w:t>Жалобы и анамнез</w:t>
      </w:r>
    </w:p>
    <w:p w14:paraId="3805831E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Общей причиной жалоб пациентов является развитие пароксизма ЖТ. В зависимости от</w:t>
      </w:r>
    </w:p>
    <w:p w14:paraId="4683DC7B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длительности приступов и от частоты сокращения желудочков в момент пароксизма</w:t>
      </w:r>
    </w:p>
    <w:p w14:paraId="4BAE3891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жалобы могут варьировать – в лёгких случаях больные могут отмечать лишь учащённое</w:t>
      </w:r>
    </w:p>
    <w:p w14:paraId="75BD035D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сердцебиение, беспричинное головокружение, дискомфорт в груди (в ряде случаев</w:t>
      </w:r>
    </w:p>
    <w:p w14:paraId="6F370E2E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проявления и вовсе отсутствуют), в тяжёлых – интенсивную загрудинную боль, удушье,</w:t>
      </w:r>
    </w:p>
    <w:p w14:paraId="2E27DD3E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пресинкопальные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синкопальные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состояния. В некоторых случаях, тахикардия не</w:t>
      </w:r>
    </w:p>
    <w:p w14:paraId="4A5F67F8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прекращается спонтанно, и это приводит к остановке сердца. Жалобы на учащенное сердцебиение и боли в грудной клетке не являются обязательными. Изолированные жалобы, связанные исключительно с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пресинкопальными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состояниями (эпизоды головокружения, сопровождающиеся слабостью) у больных встречаются очень редко. С целью стратификации риска ВСС, в ходе сбора анамнеза необходимо узнать</w:t>
      </w:r>
    </w:p>
    <w:p w14:paraId="492463C5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клинические особенности потери сознания и, руководствуясь подробной клинической</w:t>
      </w:r>
    </w:p>
    <w:p w14:paraId="14144BC5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историей, провести оценку отличий между аритмическим синкопе и синкопе другого</w:t>
      </w:r>
    </w:p>
    <w:p w14:paraId="69AB77D1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происхождения. Обморок, связанный с нарушениями ритма сердца, в отличие от</w:t>
      </w:r>
    </w:p>
    <w:p w14:paraId="7220700E" w14:textId="77777777" w:rsid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871">
        <w:rPr>
          <w:rFonts w:ascii="Times New Roman" w:hAnsi="Times New Roman" w:cs="Times New Roman"/>
          <w:sz w:val="28"/>
          <w:szCs w:val="28"/>
        </w:rPr>
        <w:t>неврогенного, характеризуется внезапным началом и быстрым окончанием, как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871">
        <w:rPr>
          <w:rFonts w:ascii="Times New Roman" w:hAnsi="Times New Roman" w:cs="Times New Roman"/>
          <w:sz w:val="28"/>
          <w:szCs w:val="28"/>
        </w:rPr>
        <w:t>ЖТ прерывается.</w:t>
      </w:r>
    </w:p>
    <w:p w14:paraId="6177AED6" w14:textId="77777777" w:rsid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Лабораторные диагностические исследования</w:t>
      </w:r>
    </w:p>
    <w:p w14:paraId="477B3B5B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 xml:space="preserve">Рекомендуется у всех пациентов с синдромом </w:t>
      </w:r>
      <w:proofErr w:type="spellStart"/>
      <w:r w:rsidRPr="00064871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064871">
        <w:rPr>
          <w:rFonts w:ascii="Times New Roman" w:hAnsi="Times New Roman" w:cs="Times New Roman"/>
          <w:sz w:val="28"/>
          <w:szCs w:val="28"/>
        </w:rPr>
        <w:t xml:space="preserve"> рутинное лабораторное</w:t>
      </w:r>
    </w:p>
    <w:p w14:paraId="5DA0F650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обследование, включающее клинический анализ крови и общий анализ мочи,</w:t>
      </w:r>
    </w:p>
    <w:p w14:paraId="03163641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биохимический анализ крови (холестерин, триглицериды, АСТ, АЛТ, мочевина,</w:t>
      </w:r>
    </w:p>
    <w:p w14:paraId="062C1144" w14:textId="77777777" w:rsidR="00064871" w:rsidRP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креатинин, билирубин, глюкоза) с определением состава электролитов (калий, натрий,</w:t>
      </w:r>
    </w:p>
    <w:p w14:paraId="639F1347" w14:textId="77777777" w:rsidR="00064871" w:rsidRDefault="00064871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871">
        <w:rPr>
          <w:rFonts w:ascii="Times New Roman" w:hAnsi="Times New Roman" w:cs="Times New Roman"/>
          <w:sz w:val="28"/>
          <w:szCs w:val="28"/>
        </w:rPr>
        <w:t>магний, кальций), для выявления сопутствующих заболеваний и факторов, значимых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871">
        <w:rPr>
          <w:rFonts w:ascii="Times New Roman" w:hAnsi="Times New Roman" w:cs="Times New Roman"/>
          <w:sz w:val="28"/>
          <w:szCs w:val="28"/>
        </w:rPr>
        <w:t>возникновения ЖА</w:t>
      </w:r>
      <w:r w:rsidR="00CB2BB5">
        <w:rPr>
          <w:rFonts w:ascii="Times New Roman" w:hAnsi="Times New Roman" w:cs="Times New Roman"/>
          <w:sz w:val="28"/>
          <w:szCs w:val="28"/>
        </w:rPr>
        <w:t>.</w:t>
      </w:r>
    </w:p>
    <w:p w14:paraId="68B376C1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>Инструментальные диагностические исследования</w:t>
      </w:r>
    </w:p>
    <w:p w14:paraId="47DFB137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визуализирующих методов исследования, таких как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эхокардиографическое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исследование сердца или магнитно-резонансная томография сердца, не выявляют отклонений при синдроме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и не способствуют диагностике заболевания. Поэтому пациенту назначается ЭКГ — в некоторых случаях с использованием лекарственных препаратов (блокаторов кальциевых каналов), которые помогают определить характерные признаки синдрома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>. Дополнительно, для дифференциальной диагностики, могут назначаться другие инструментальные исследования сердца, суточное мониторирование ЭКГ (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холтер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). В последние годы важное значение придается результатам внутрисердечного электрофизиологического исследования (ЭФИ) с программированной электрической стимуляцией (ПЭС), целью которой является оценка клинической значимости ЖА и оценка риска ВСС. Прогностическая значимость индукции ЖА с помощью ПЭС в определении риска развития сердечных событий у больных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горячо обсуждается уже второе десятилетие. Педро и Хосеп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были первыми, кто предложил в 2002 году использовать для стратификации риска при синдроме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результаты инвазивного ЭФИ, включающего протоколы ПЭС. Этот подход был основан на данных их регистра, показавшего, что у пациентов с индуцированной ФЖ риск развит</w:t>
      </w:r>
      <w:r>
        <w:rPr>
          <w:rFonts w:ascii="Times New Roman" w:hAnsi="Times New Roman" w:cs="Times New Roman"/>
          <w:sz w:val="28"/>
          <w:szCs w:val="28"/>
        </w:rPr>
        <w:t xml:space="preserve">ия спонтанной ФЖ в 10 раз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выше </w:t>
      </w:r>
      <w:r w:rsidRPr="00CB2BB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B2BB5">
        <w:rPr>
          <w:rFonts w:ascii="Times New Roman" w:hAnsi="Times New Roman" w:cs="Times New Roman"/>
          <w:sz w:val="28"/>
          <w:szCs w:val="28"/>
        </w:rPr>
        <w:t xml:space="preserve"> Это позволило авторам рекомендовать внедрение имплантированного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кардиовертера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-дефибриллятора (ИКД)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симптомным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пациентам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, у которых ЖТ/ФЖ не была документирована, но развилась во время ПЭС в двух точках с 2-мя или 3-мя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экстрастимулами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[37]. В результате,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индуцируемость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устойчивой ЖТ/ФЖ была принята группой опытных 26 электрофизиологов в качестве фактора, управляющего тактикой лечени</w:t>
      </w:r>
      <w:r>
        <w:rPr>
          <w:rFonts w:ascii="Times New Roman" w:hAnsi="Times New Roman" w:cs="Times New Roman"/>
          <w:sz w:val="28"/>
          <w:szCs w:val="28"/>
        </w:rPr>
        <w:t xml:space="preserve">я пациента с синдромом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2BB5">
        <w:rPr>
          <w:rFonts w:ascii="Times New Roman" w:hAnsi="Times New Roman" w:cs="Times New Roman"/>
          <w:sz w:val="28"/>
          <w:szCs w:val="28"/>
        </w:rPr>
        <w:t xml:space="preserve">Последующие наблюдения группы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подтвердили, что ПЭС полезна для выявления пациентов с высоким риском ВСС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2BB5">
        <w:t xml:space="preserve"> </w:t>
      </w:r>
      <w:r w:rsidRPr="00CB2BB5">
        <w:rPr>
          <w:rFonts w:ascii="Times New Roman" w:hAnsi="Times New Roman" w:cs="Times New Roman"/>
          <w:sz w:val="28"/>
          <w:szCs w:val="28"/>
        </w:rPr>
        <w:t xml:space="preserve">Электрокардиография и мониторирование ЭКГ Основными инструментальными методами диагностики у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являются ЭКГ в 12-ти отведениях и суточное мониторирование ЭКГ по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Холтеру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(ХМ ЭКГ).</w:t>
      </w:r>
      <w:r w:rsidRPr="00CB2BB5">
        <w:t xml:space="preserve"> </w:t>
      </w:r>
      <w:r w:rsidRPr="00CB2BB5">
        <w:rPr>
          <w:rFonts w:ascii="Times New Roman" w:hAnsi="Times New Roman" w:cs="Times New Roman"/>
          <w:sz w:val="28"/>
          <w:szCs w:val="28"/>
        </w:rPr>
        <w:t xml:space="preserve">Рекомендуется проведение суточного мониторирования ЭКГ по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Холтеру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(оптимально продолжительностью 48–72 часа) всем пациентам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при первичном клиническом обследовании и каждые 12–24 месяцев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9E626B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lastRenderedPageBreak/>
        <w:t xml:space="preserve">Провокационные пробы с лекарственными препаратами Изменения конечной части желудочкового комплекса, характерные для синдрома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, могут быть трех типов. Наличие на ЭКГ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-паттерна 2-го или 3-го типа требует проведения провокационных лекарственных проб с использованием антиаритмических препаратов (ААП), блокирующих натриевые каналы, для уточнения диагноза [1; 28]. Кроме того, регистрация специфического ЭКГ-паттерна не является постоянной и может носить преходящий характер. Помимо классического фенотипа, включающего в себя типичные клинико-электрокардиографические проявления, возможно скрытое течение заболевания, когда у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асимптоматичных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пациентов характерные ЭКГ изменения носят транзиторный характер или вовсе отсутствуют. Поэтому в тех случаях, когда имеющиеся 33 записи ЭКГ не несут в себе признаков, в полной мере укладывающихся в диагностические критерии, но есть основание предполагать наличие синдрома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>, провокационные лекарственные пробы также целесообразны.</w:t>
      </w:r>
    </w:p>
    <w:p w14:paraId="3632A21A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>Лечение</w:t>
      </w:r>
    </w:p>
    <w:p w14:paraId="4F818368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 xml:space="preserve">Специфического лечения заболевания не существует, применяют медикаментозную (антиаритмическую) терапию, используют разнообразные имплантируемые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кардиовертеры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-дефибрилляторы (ИКД). Тактика лечения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напрямую зависит от стратификации риска ВСС. Риск серьезных неблагоприятных сердечных событий у бессимптомных пациентов без спонтанного ЭКГ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-паттерна 1-го типа или только с электрокардиографическими изменениями, вызванными приемом лекарств, является </w:t>
      </w:r>
      <w:proofErr w:type="gramStart"/>
      <w:r w:rsidRPr="00CB2BB5">
        <w:rPr>
          <w:rFonts w:ascii="Times New Roman" w:hAnsi="Times New Roman" w:cs="Times New Roman"/>
          <w:sz w:val="28"/>
          <w:szCs w:val="28"/>
        </w:rPr>
        <w:t>низким</w:t>
      </w:r>
      <w:proofErr w:type="gramEnd"/>
      <w:r w:rsidRPr="00CB2BB5">
        <w:rPr>
          <w:rFonts w:ascii="Times New Roman" w:hAnsi="Times New Roman" w:cs="Times New Roman"/>
          <w:sz w:val="28"/>
          <w:szCs w:val="28"/>
        </w:rPr>
        <w:t xml:space="preserve"> и такие пациенты обычно находятся под наблюдением без лечения. Имплантация ИКД бессимптомному пациенту без спонтанной элевации сегмента ST сводчатого типа не принесла каких-либо преимуществ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9AFCF5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BB5">
        <w:rPr>
          <w:rFonts w:ascii="Times New Roman" w:hAnsi="Times New Roman" w:cs="Times New Roman"/>
          <w:b/>
          <w:sz w:val="28"/>
          <w:szCs w:val="28"/>
        </w:rPr>
        <w:t>Медикаментозная терапия</w:t>
      </w:r>
    </w:p>
    <w:p w14:paraId="72E7041D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>Рекомендуется приме</w:t>
      </w:r>
      <w:r>
        <w:rPr>
          <w:rFonts w:ascii="Times New Roman" w:hAnsi="Times New Roman" w:cs="Times New Roman"/>
          <w:sz w:val="28"/>
          <w:szCs w:val="28"/>
        </w:rPr>
        <w:t>нение хинидина</w:t>
      </w:r>
      <w:r w:rsidRPr="00CB2BB5">
        <w:rPr>
          <w:rFonts w:ascii="Times New Roman" w:hAnsi="Times New Roman" w:cs="Times New Roman"/>
          <w:sz w:val="28"/>
          <w:szCs w:val="28"/>
        </w:rPr>
        <w:t xml:space="preserve"> у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для купирования и предупреждения непрерывно рецидивирующих ЖА, приводящих к «электрическому шторму»</w:t>
      </w:r>
    </w:p>
    <w:p w14:paraId="2395C6D2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хинидина</w:t>
      </w:r>
      <w:r w:rsidRPr="00CB2BB5">
        <w:rPr>
          <w:rFonts w:ascii="Times New Roman" w:hAnsi="Times New Roman" w:cs="Times New Roman"/>
          <w:sz w:val="28"/>
          <w:szCs w:val="28"/>
        </w:rPr>
        <w:t xml:space="preserve"> у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, имеющих показания к ИКД-терапии, в случае, когда данная процедура противопоказана или имеется отказ </w:t>
      </w:r>
      <w:r w:rsidRPr="00CB2BB5">
        <w:rPr>
          <w:rFonts w:ascii="Times New Roman" w:hAnsi="Times New Roman" w:cs="Times New Roman"/>
          <w:sz w:val="28"/>
          <w:szCs w:val="28"/>
        </w:rPr>
        <w:lastRenderedPageBreak/>
        <w:t xml:space="preserve">пациентов от имплантации ИКД, а также при необходимости лечения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наджелудочковых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аритмий, если таковые имеются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F92A8C" w14:textId="77777777" w:rsidR="00CB2BB5" w:rsidRP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 xml:space="preserve">Рекомендуется применение инфузии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изопротеренола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# для подавления «аритмического шторма», определяемого как два и более эпизода ЖТ/ФЖ в течение 24 часов у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>.</w:t>
      </w:r>
    </w:p>
    <w:p w14:paraId="48E228E8" w14:textId="77777777" w:rsidR="00CB2BB5" w:rsidRP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 xml:space="preserve">Рекомендуется рассмотреть назначение хинидина# у бессимптомных пациентов с диагнозом синдром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со спонтанным ЭКГ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>-паттерном 1-го типа в качестве дополнительной профилактической меры</w:t>
      </w:r>
    </w:p>
    <w:p w14:paraId="27482346" w14:textId="77777777" w:rsidR="00CB2BB5" w:rsidRP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 xml:space="preserve">Интервенционные методы лечения </w:t>
      </w:r>
    </w:p>
    <w:p w14:paraId="157E09DA" w14:textId="77777777" w:rsidR="00CB2BB5" w:rsidRDefault="00CB2BB5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BB5">
        <w:rPr>
          <w:rFonts w:ascii="Times New Roman" w:hAnsi="Times New Roman" w:cs="Times New Roman"/>
          <w:sz w:val="28"/>
          <w:szCs w:val="28"/>
        </w:rPr>
        <w:t xml:space="preserve"> Рекомендуется выполнение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аблации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у пациентов с синдромом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 xml:space="preserve"> со спонтанным ЭКГ </w:t>
      </w:r>
      <w:proofErr w:type="spellStart"/>
      <w:r w:rsidRPr="00CB2BB5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CB2BB5">
        <w:rPr>
          <w:rFonts w:ascii="Times New Roman" w:hAnsi="Times New Roman" w:cs="Times New Roman"/>
          <w:sz w:val="28"/>
          <w:szCs w:val="28"/>
        </w:rPr>
        <w:t>-паттерном 1-го типа и наличием в анамнезе «аритмического шторма» и/или повторных мотивированных срабатываний ИКД с нанесением шоков</w:t>
      </w:r>
      <w:r w:rsidR="00EC394A">
        <w:rPr>
          <w:rFonts w:ascii="Times New Roman" w:hAnsi="Times New Roman" w:cs="Times New Roman"/>
          <w:sz w:val="28"/>
          <w:szCs w:val="28"/>
        </w:rPr>
        <w:t>.</w:t>
      </w:r>
    </w:p>
    <w:p w14:paraId="1F4CA65F" w14:textId="77777777" w:rsid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Рекомендуется выполнение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катетерной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аблации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у пациентов с синдромом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со спонтанным ЭКГ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>-паттерном 1-го типа и симптоматическими ЖА, которые либо не являются кандидатами на ИКД, либо отказываются от имплантации ИКД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974A80" w14:textId="77777777" w:rsidR="00EC394A" w:rsidRP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Рекомендуется использование ИКД пациентам с синдромом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со спонтанным ЭКГ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>-паттерном 1-го типа, кто пережил остановку сердца (основной фактор риска ВСС).</w:t>
      </w:r>
    </w:p>
    <w:p w14:paraId="7911EEFB" w14:textId="77777777" w:rsid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Рекомендуется использование ИКД пациентам с диагнозом синдром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>, установленным клинически и/или на основании молекулярного анализа, у которых имеются документированные эпизоды спонтанной устойчивой ЖТ, не приведшие к остановке сердечно-сосудистой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0A1542" w14:textId="77777777" w:rsid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Рекомендуется рассмотреть имплантацию ИКД у пациентов со спонтанным ЭКГ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Бругадапаттерном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1-го типа в отведениях V1 и/или V2 и недавним анамнезом обморока, 44 предположительно связанного с ЖА, если ожидается благоприятный прогноз выживания в течение года и более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DE6B67" w14:textId="77777777" w:rsid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CB33DF" w14:textId="77777777" w:rsid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91C99A" w14:textId="77777777" w:rsidR="00EC394A" w:rsidRP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94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01EFFFC0" w14:textId="77777777" w:rsidR="00EC394A" w:rsidRPr="009D6A73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Antzelevitch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C,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P,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Borggrefe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R, Corrado D, et al.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syndrome: report of the second consensus conference: endorsed by the Heart Rhythm Society and the European Heart Rhythm Association. Circulation. 2005;111(5):659–670 </w:t>
      </w:r>
    </w:p>
    <w:p w14:paraId="6F332451" w14:textId="77777777" w:rsidR="00EC394A" w:rsidRP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2. Wilde AA,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Antzelevitch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C,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Borggrefe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R, et al. Proposed diagnostic criteria for the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syndrome: consensus report. Circulation. </w:t>
      </w:r>
      <w:r w:rsidRPr="00EC394A">
        <w:rPr>
          <w:rFonts w:ascii="Times New Roman" w:hAnsi="Times New Roman" w:cs="Times New Roman"/>
          <w:sz w:val="28"/>
          <w:szCs w:val="28"/>
        </w:rPr>
        <w:t>2002; 106(19): 2514-2519 DOI: 10.1161/01.cir.0000034169.45752.4a</w:t>
      </w:r>
    </w:p>
    <w:p w14:paraId="180520C8" w14:textId="77777777" w:rsidR="00EC394A" w:rsidRP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3. Zhang J, Sacher F,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Hoffmayer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K, O’Hara T, Strom M, Cuculich P, et al. Cardiac electrophysiological substrate underlying the ECG phenotype and electrogram abnormalities in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 patients. Circulation. </w:t>
      </w:r>
      <w:r w:rsidRPr="00EC394A">
        <w:rPr>
          <w:rFonts w:ascii="Times New Roman" w:hAnsi="Times New Roman" w:cs="Times New Roman"/>
          <w:sz w:val="28"/>
          <w:szCs w:val="28"/>
        </w:rPr>
        <w:t>2015; 131(22):1950–1959</w:t>
      </w:r>
    </w:p>
    <w:p w14:paraId="17C74BAF" w14:textId="77777777" w:rsidR="00EC394A" w:rsidRPr="009D6A73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4. Chen Q, Kirsch GE, Zhang D,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R,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P, et al.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basis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molecular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mechanism for idiopathic ventricular fibrillation. </w:t>
      </w:r>
      <w:r w:rsidRPr="009D6A73">
        <w:rPr>
          <w:rFonts w:ascii="Times New Roman" w:hAnsi="Times New Roman" w:cs="Times New Roman"/>
          <w:sz w:val="28"/>
          <w:szCs w:val="28"/>
          <w:lang w:val="en-US"/>
        </w:rPr>
        <w:t>Nature. 1998;392(6673):293–296</w:t>
      </w:r>
    </w:p>
    <w:p w14:paraId="53AF46CC" w14:textId="77777777" w:rsidR="00EC394A" w:rsidRPr="009D6A73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5. Veerman CC, Wilde AAM, Lodder EM. The cardiac sodium channel gene SCN5A and its gene product NaV1.5: Role in physiology and pathophysiology. Gene. </w:t>
      </w:r>
      <w:proofErr w:type="gramStart"/>
      <w:r w:rsidRPr="009D6A73">
        <w:rPr>
          <w:rFonts w:ascii="Times New Roman" w:hAnsi="Times New Roman" w:cs="Times New Roman"/>
          <w:sz w:val="28"/>
          <w:szCs w:val="28"/>
          <w:lang w:val="en-US"/>
        </w:rPr>
        <w:t>2015;573:177</w:t>
      </w:r>
      <w:proofErr w:type="gram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–187 </w:t>
      </w:r>
    </w:p>
    <w:p w14:paraId="063BF23B" w14:textId="77777777" w:rsidR="00EC394A" w:rsidRPr="00EC394A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R, Campuzano O,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Sarquella-Brugada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G,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P.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syndrome.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Methodist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Debakey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Cardiovasc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J. 2014, 10: 25–28</w:t>
      </w:r>
    </w:p>
    <w:p w14:paraId="44C8670C" w14:textId="77777777" w:rsidR="00EC394A" w:rsidRPr="009D6A73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Kapplinger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JD, Tester DJ, Alders M, Benito B, Berthet M,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J, et al. An international compendium of mutations in the SCN5A- encoded cardiac sodium channel in patients referred for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 genetic testing. Heart Rhythm. 2010; 7(1): 33–46</w:t>
      </w:r>
    </w:p>
    <w:p w14:paraId="5726183E" w14:textId="77777777" w:rsidR="00EC394A" w:rsidRPr="00CB2BB5" w:rsidRDefault="00EC394A" w:rsidP="00064871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8. Le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Scouarnec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, S.,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Karakachoff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, M.,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Gourraud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, J.B. et al. Testing the burden of rare variation in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arrhythmiasusceptibility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genes provides new insights into molecular diagnosis for </w:t>
      </w:r>
      <w:proofErr w:type="spellStart"/>
      <w:r w:rsidRPr="009D6A73">
        <w:rPr>
          <w:rFonts w:ascii="Times New Roman" w:hAnsi="Times New Roman" w:cs="Times New Roman"/>
          <w:sz w:val="28"/>
          <w:szCs w:val="28"/>
          <w:lang w:val="en-US"/>
        </w:rPr>
        <w:t>Brugada</w:t>
      </w:r>
      <w:proofErr w:type="spellEnd"/>
      <w:r w:rsidRPr="009D6A73">
        <w:rPr>
          <w:rFonts w:ascii="Times New Roman" w:hAnsi="Times New Roman" w:cs="Times New Roman"/>
          <w:sz w:val="28"/>
          <w:szCs w:val="28"/>
          <w:lang w:val="en-US"/>
        </w:rPr>
        <w:t xml:space="preserve"> syndrome.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Hum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Mol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394A">
        <w:rPr>
          <w:rFonts w:ascii="Times New Roman" w:hAnsi="Times New Roman" w:cs="Times New Roman"/>
          <w:sz w:val="28"/>
          <w:szCs w:val="28"/>
        </w:rPr>
        <w:t>Genet</w:t>
      </w:r>
      <w:proofErr w:type="spellEnd"/>
      <w:r w:rsidRPr="00EC394A">
        <w:rPr>
          <w:rFonts w:ascii="Times New Roman" w:hAnsi="Times New Roman" w:cs="Times New Roman"/>
          <w:sz w:val="28"/>
          <w:szCs w:val="28"/>
        </w:rPr>
        <w:t>. 2015; 24: 2757–2763.</w:t>
      </w:r>
    </w:p>
    <w:sectPr w:rsidR="00EC394A" w:rsidRPr="00CB2BB5" w:rsidSect="00064871">
      <w:pgSz w:w="11900" w:h="16840"/>
      <w:pgMar w:top="1580" w:right="56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B952B" w14:textId="77777777" w:rsidR="00F95AE1" w:rsidRDefault="00F95AE1" w:rsidP="00983071">
      <w:pPr>
        <w:spacing w:after="0" w:line="240" w:lineRule="auto"/>
      </w:pPr>
      <w:r>
        <w:separator/>
      </w:r>
    </w:p>
  </w:endnote>
  <w:endnote w:type="continuationSeparator" w:id="0">
    <w:p w14:paraId="6F2B676B" w14:textId="77777777" w:rsidR="00F95AE1" w:rsidRDefault="00F95AE1" w:rsidP="0098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0E77D" w14:textId="77777777" w:rsidR="00F95AE1" w:rsidRDefault="00F95AE1" w:rsidP="00983071">
      <w:pPr>
        <w:spacing w:after="0" w:line="240" w:lineRule="auto"/>
      </w:pPr>
      <w:r>
        <w:separator/>
      </w:r>
    </w:p>
  </w:footnote>
  <w:footnote w:type="continuationSeparator" w:id="0">
    <w:p w14:paraId="54B3C39E" w14:textId="77777777" w:rsidR="00F95AE1" w:rsidRDefault="00F95AE1" w:rsidP="009830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2C63"/>
    <w:multiLevelType w:val="hybridMultilevel"/>
    <w:tmpl w:val="114C1296"/>
    <w:lvl w:ilvl="0" w:tplc="582277E0">
      <w:numFmt w:val="bullet"/>
      <w:lvlText w:val="-"/>
      <w:lvlJc w:val="left"/>
      <w:pPr>
        <w:ind w:left="4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BA8494">
      <w:numFmt w:val="bullet"/>
      <w:lvlText w:val="•"/>
      <w:lvlJc w:val="left"/>
      <w:pPr>
        <w:ind w:left="1343" w:hanging="140"/>
      </w:pPr>
      <w:rPr>
        <w:rFonts w:hint="default"/>
        <w:lang w:val="ru-RU" w:eastAsia="en-US" w:bidi="ar-SA"/>
      </w:rPr>
    </w:lvl>
    <w:lvl w:ilvl="2" w:tplc="C5225AB2">
      <w:numFmt w:val="bullet"/>
      <w:lvlText w:val="•"/>
      <w:lvlJc w:val="left"/>
      <w:pPr>
        <w:ind w:left="2227" w:hanging="140"/>
      </w:pPr>
      <w:rPr>
        <w:rFonts w:hint="default"/>
        <w:lang w:val="ru-RU" w:eastAsia="en-US" w:bidi="ar-SA"/>
      </w:rPr>
    </w:lvl>
    <w:lvl w:ilvl="3" w:tplc="D3AAA352">
      <w:numFmt w:val="bullet"/>
      <w:lvlText w:val="•"/>
      <w:lvlJc w:val="left"/>
      <w:pPr>
        <w:ind w:left="3110" w:hanging="140"/>
      </w:pPr>
      <w:rPr>
        <w:rFonts w:hint="default"/>
        <w:lang w:val="ru-RU" w:eastAsia="en-US" w:bidi="ar-SA"/>
      </w:rPr>
    </w:lvl>
    <w:lvl w:ilvl="4" w:tplc="22A22382">
      <w:numFmt w:val="bullet"/>
      <w:lvlText w:val="•"/>
      <w:lvlJc w:val="left"/>
      <w:pPr>
        <w:ind w:left="3994" w:hanging="140"/>
      </w:pPr>
      <w:rPr>
        <w:rFonts w:hint="default"/>
        <w:lang w:val="ru-RU" w:eastAsia="en-US" w:bidi="ar-SA"/>
      </w:rPr>
    </w:lvl>
    <w:lvl w:ilvl="5" w:tplc="B062160E">
      <w:numFmt w:val="bullet"/>
      <w:lvlText w:val="•"/>
      <w:lvlJc w:val="left"/>
      <w:pPr>
        <w:ind w:left="4878" w:hanging="140"/>
      </w:pPr>
      <w:rPr>
        <w:rFonts w:hint="default"/>
        <w:lang w:val="ru-RU" w:eastAsia="en-US" w:bidi="ar-SA"/>
      </w:rPr>
    </w:lvl>
    <w:lvl w:ilvl="6" w:tplc="65001B2C">
      <w:numFmt w:val="bullet"/>
      <w:lvlText w:val="•"/>
      <w:lvlJc w:val="left"/>
      <w:pPr>
        <w:ind w:left="5761" w:hanging="140"/>
      </w:pPr>
      <w:rPr>
        <w:rFonts w:hint="default"/>
        <w:lang w:val="ru-RU" w:eastAsia="en-US" w:bidi="ar-SA"/>
      </w:rPr>
    </w:lvl>
    <w:lvl w:ilvl="7" w:tplc="B8869E6E">
      <w:numFmt w:val="bullet"/>
      <w:lvlText w:val="•"/>
      <w:lvlJc w:val="left"/>
      <w:pPr>
        <w:ind w:left="6645" w:hanging="140"/>
      </w:pPr>
      <w:rPr>
        <w:rFonts w:hint="default"/>
        <w:lang w:val="ru-RU" w:eastAsia="en-US" w:bidi="ar-SA"/>
      </w:rPr>
    </w:lvl>
    <w:lvl w:ilvl="8" w:tplc="48D687D6">
      <w:numFmt w:val="bullet"/>
      <w:lvlText w:val="•"/>
      <w:lvlJc w:val="left"/>
      <w:pPr>
        <w:ind w:left="752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138F7E97"/>
    <w:multiLevelType w:val="hybridMultilevel"/>
    <w:tmpl w:val="8B7A3E22"/>
    <w:lvl w:ilvl="0" w:tplc="E788E380">
      <w:start w:val="1"/>
      <w:numFmt w:val="decimal"/>
      <w:lvlText w:val="%1."/>
      <w:lvlJc w:val="left"/>
      <w:pPr>
        <w:ind w:left="412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20A680">
      <w:numFmt w:val="bullet"/>
      <w:lvlText w:val="•"/>
      <w:lvlJc w:val="left"/>
      <w:pPr>
        <w:ind w:left="1431" w:hanging="250"/>
      </w:pPr>
      <w:rPr>
        <w:rFonts w:hint="default"/>
        <w:lang w:val="ru-RU" w:eastAsia="en-US" w:bidi="ar-SA"/>
      </w:rPr>
    </w:lvl>
    <w:lvl w:ilvl="2" w:tplc="EB22363E">
      <w:numFmt w:val="bullet"/>
      <w:lvlText w:val="•"/>
      <w:lvlJc w:val="left"/>
      <w:pPr>
        <w:ind w:left="2443" w:hanging="250"/>
      </w:pPr>
      <w:rPr>
        <w:rFonts w:hint="default"/>
        <w:lang w:val="ru-RU" w:eastAsia="en-US" w:bidi="ar-SA"/>
      </w:rPr>
    </w:lvl>
    <w:lvl w:ilvl="3" w:tplc="73AAD69A">
      <w:numFmt w:val="bullet"/>
      <w:lvlText w:val="•"/>
      <w:lvlJc w:val="left"/>
      <w:pPr>
        <w:ind w:left="3455" w:hanging="250"/>
      </w:pPr>
      <w:rPr>
        <w:rFonts w:hint="default"/>
        <w:lang w:val="ru-RU" w:eastAsia="en-US" w:bidi="ar-SA"/>
      </w:rPr>
    </w:lvl>
    <w:lvl w:ilvl="4" w:tplc="7B1EB698">
      <w:numFmt w:val="bullet"/>
      <w:lvlText w:val="•"/>
      <w:lvlJc w:val="left"/>
      <w:pPr>
        <w:ind w:left="4467" w:hanging="250"/>
      </w:pPr>
      <w:rPr>
        <w:rFonts w:hint="default"/>
        <w:lang w:val="ru-RU" w:eastAsia="en-US" w:bidi="ar-SA"/>
      </w:rPr>
    </w:lvl>
    <w:lvl w:ilvl="5" w:tplc="5A3C1D86">
      <w:numFmt w:val="bullet"/>
      <w:lvlText w:val="•"/>
      <w:lvlJc w:val="left"/>
      <w:pPr>
        <w:ind w:left="5479" w:hanging="250"/>
      </w:pPr>
      <w:rPr>
        <w:rFonts w:hint="default"/>
        <w:lang w:val="ru-RU" w:eastAsia="en-US" w:bidi="ar-SA"/>
      </w:rPr>
    </w:lvl>
    <w:lvl w:ilvl="6" w:tplc="EA80DAD4">
      <w:numFmt w:val="bullet"/>
      <w:lvlText w:val="•"/>
      <w:lvlJc w:val="left"/>
      <w:pPr>
        <w:ind w:left="6491" w:hanging="250"/>
      </w:pPr>
      <w:rPr>
        <w:rFonts w:hint="default"/>
        <w:lang w:val="ru-RU" w:eastAsia="en-US" w:bidi="ar-SA"/>
      </w:rPr>
    </w:lvl>
    <w:lvl w:ilvl="7" w:tplc="7460ED22">
      <w:numFmt w:val="bullet"/>
      <w:lvlText w:val="•"/>
      <w:lvlJc w:val="left"/>
      <w:pPr>
        <w:ind w:left="7503" w:hanging="250"/>
      </w:pPr>
      <w:rPr>
        <w:rFonts w:hint="default"/>
        <w:lang w:val="ru-RU" w:eastAsia="en-US" w:bidi="ar-SA"/>
      </w:rPr>
    </w:lvl>
    <w:lvl w:ilvl="8" w:tplc="D8B8A31E">
      <w:numFmt w:val="bullet"/>
      <w:lvlText w:val="•"/>
      <w:lvlJc w:val="left"/>
      <w:pPr>
        <w:ind w:left="8515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14A940E3"/>
    <w:multiLevelType w:val="hybridMultilevel"/>
    <w:tmpl w:val="15665CC8"/>
    <w:lvl w:ilvl="0" w:tplc="CA607CDA">
      <w:numFmt w:val="bullet"/>
      <w:lvlText w:val="-"/>
      <w:lvlJc w:val="left"/>
      <w:pPr>
        <w:ind w:left="21" w:hanging="10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D07C36">
      <w:numFmt w:val="bullet"/>
      <w:lvlText w:val="•"/>
      <w:lvlJc w:val="left"/>
      <w:pPr>
        <w:ind w:left="793" w:hanging="1028"/>
      </w:pPr>
      <w:rPr>
        <w:rFonts w:hint="default"/>
        <w:lang w:val="ru-RU" w:eastAsia="en-US" w:bidi="ar-SA"/>
      </w:rPr>
    </w:lvl>
    <w:lvl w:ilvl="2" w:tplc="9BF224C2">
      <w:numFmt w:val="bullet"/>
      <w:lvlText w:val="•"/>
      <w:lvlJc w:val="left"/>
      <w:pPr>
        <w:ind w:left="1566" w:hanging="1028"/>
      </w:pPr>
      <w:rPr>
        <w:rFonts w:hint="default"/>
        <w:lang w:val="ru-RU" w:eastAsia="en-US" w:bidi="ar-SA"/>
      </w:rPr>
    </w:lvl>
    <w:lvl w:ilvl="3" w:tplc="98EE6698">
      <w:numFmt w:val="bullet"/>
      <w:lvlText w:val="•"/>
      <w:lvlJc w:val="left"/>
      <w:pPr>
        <w:ind w:left="2339" w:hanging="1028"/>
      </w:pPr>
      <w:rPr>
        <w:rFonts w:hint="default"/>
        <w:lang w:val="ru-RU" w:eastAsia="en-US" w:bidi="ar-SA"/>
      </w:rPr>
    </w:lvl>
    <w:lvl w:ilvl="4" w:tplc="48346C44">
      <w:numFmt w:val="bullet"/>
      <w:lvlText w:val="•"/>
      <w:lvlJc w:val="left"/>
      <w:pPr>
        <w:ind w:left="3112" w:hanging="1028"/>
      </w:pPr>
      <w:rPr>
        <w:rFonts w:hint="default"/>
        <w:lang w:val="ru-RU" w:eastAsia="en-US" w:bidi="ar-SA"/>
      </w:rPr>
    </w:lvl>
    <w:lvl w:ilvl="5" w:tplc="0F963664">
      <w:numFmt w:val="bullet"/>
      <w:lvlText w:val="•"/>
      <w:lvlJc w:val="left"/>
      <w:pPr>
        <w:ind w:left="3885" w:hanging="1028"/>
      </w:pPr>
      <w:rPr>
        <w:rFonts w:hint="default"/>
        <w:lang w:val="ru-RU" w:eastAsia="en-US" w:bidi="ar-SA"/>
      </w:rPr>
    </w:lvl>
    <w:lvl w:ilvl="6" w:tplc="2B0CB128">
      <w:numFmt w:val="bullet"/>
      <w:lvlText w:val="•"/>
      <w:lvlJc w:val="left"/>
      <w:pPr>
        <w:ind w:left="4658" w:hanging="1028"/>
      </w:pPr>
      <w:rPr>
        <w:rFonts w:hint="default"/>
        <w:lang w:val="ru-RU" w:eastAsia="en-US" w:bidi="ar-SA"/>
      </w:rPr>
    </w:lvl>
    <w:lvl w:ilvl="7" w:tplc="C9BE2E2E">
      <w:numFmt w:val="bullet"/>
      <w:lvlText w:val="•"/>
      <w:lvlJc w:val="left"/>
      <w:pPr>
        <w:ind w:left="5431" w:hanging="1028"/>
      </w:pPr>
      <w:rPr>
        <w:rFonts w:hint="default"/>
        <w:lang w:val="ru-RU" w:eastAsia="en-US" w:bidi="ar-SA"/>
      </w:rPr>
    </w:lvl>
    <w:lvl w:ilvl="8" w:tplc="2B5EFC94">
      <w:numFmt w:val="bullet"/>
      <w:lvlText w:val="•"/>
      <w:lvlJc w:val="left"/>
      <w:pPr>
        <w:ind w:left="6204" w:hanging="1028"/>
      </w:pPr>
      <w:rPr>
        <w:rFonts w:hint="default"/>
        <w:lang w:val="ru-RU" w:eastAsia="en-US" w:bidi="ar-SA"/>
      </w:rPr>
    </w:lvl>
  </w:abstractNum>
  <w:abstractNum w:abstractNumId="3" w15:restartNumberingAfterBreak="0">
    <w:nsid w:val="26652DE0"/>
    <w:multiLevelType w:val="hybridMultilevel"/>
    <w:tmpl w:val="4B3A5962"/>
    <w:lvl w:ilvl="0" w:tplc="91BAFCA8">
      <w:numFmt w:val="bullet"/>
      <w:lvlText w:val="-"/>
      <w:lvlJc w:val="left"/>
      <w:pPr>
        <w:ind w:left="448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561096">
      <w:numFmt w:val="bullet"/>
      <w:lvlText w:val="•"/>
      <w:lvlJc w:val="left"/>
      <w:pPr>
        <w:ind w:left="1171" w:hanging="428"/>
      </w:pPr>
      <w:rPr>
        <w:rFonts w:hint="default"/>
        <w:lang w:val="ru-RU" w:eastAsia="en-US" w:bidi="ar-SA"/>
      </w:rPr>
    </w:lvl>
    <w:lvl w:ilvl="2" w:tplc="CFFEE14E">
      <w:numFmt w:val="bullet"/>
      <w:lvlText w:val="•"/>
      <w:lvlJc w:val="left"/>
      <w:pPr>
        <w:ind w:left="1902" w:hanging="428"/>
      </w:pPr>
      <w:rPr>
        <w:rFonts w:hint="default"/>
        <w:lang w:val="ru-RU" w:eastAsia="en-US" w:bidi="ar-SA"/>
      </w:rPr>
    </w:lvl>
    <w:lvl w:ilvl="3" w:tplc="F88C982C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4" w:tplc="3CC8225C">
      <w:numFmt w:val="bullet"/>
      <w:lvlText w:val="•"/>
      <w:lvlJc w:val="left"/>
      <w:pPr>
        <w:ind w:left="3364" w:hanging="428"/>
      </w:pPr>
      <w:rPr>
        <w:rFonts w:hint="default"/>
        <w:lang w:val="ru-RU" w:eastAsia="en-US" w:bidi="ar-SA"/>
      </w:rPr>
    </w:lvl>
    <w:lvl w:ilvl="5" w:tplc="8216F604">
      <w:numFmt w:val="bullet"/>
      <w:lvlText w:val="•"/>
      <w:lvlJc w:val="left"/>
      <w:pPr>
        <w:ind w:left="4095" w:hanging="428"/>
      </w:pPr>
      <w:rPr>
        <w:rFonts w:hint="default"/>
        <w:lang w:val="ru-RU" w:eastAsia="en-US" w:bidi="ar-SA"/>
      </w:rPr>
    </w:lvl>
    <w:lvl w:ilvl="6" w:tplc="89028CF8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7" w:tplc="66E4C2D6">
      <w:numFmt w:val="bullet"/>
      <w:lvlText w:val="•"/>
      <w:lvlJc w:val="left"/>
      <w:pPr>
        <w:ind w:left="5557" w:hanging="428"/>
      </w:pPr>
      <w:rPr>
        <w:rFonts w:hint="default"/>
        <w:lang w:val="ru-RU" w:eastAsia="en-US" w:bidi="ar-SA"/>
      </w:rPr>
    </w:lvl>
    <w:lvl w:ilvl="8" w:tplc="247E4EB4">
      <w:numFmt w:val="bullet"/>
      <w:lvlText w:val="•"/>
      <w:lvlJc w:val="left"/>
      <w:pPr>
        <w:ind w:left="6288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288B0508"/>
    <w:multiLevelType w:val="hybridMultilevel"/>
    <w:tmpl w:val="D62AB3F0"/>
    <w:lvl w:ilvl="0" w:tplc="73867C4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60D87"/>
    <w:multiLevelType w:val="hybridMultilevel"/>
    <w:tmpl w:val="43CC4C66"/>
    <w:lvl w:ilvl="0" w:tplc="73C0EFF4">
      <w:numFmt w:val="bullet"/>
      <w:lvlText w:val="-"/>
      <w:lvlJc w:val="left"/>
      <w:pPr>
        <w:ind w:left="41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80596">
      <w:numFmt w:val="bullet"/>
      <w:lvlText w:val="•"/>
      <w:lvlJc w:val="left"/>
      <w:pPr>
        <w:ind w:left="1431" w:hanging="159"/>
      </w:pPr>
      <w:rPr>
        <w:rFonts w:hint="default"/>
        <w:lang w:val="ru-RU" w:eastAsia="en-US" w:bidi="ar-SA"/>
      </w:rPr>
    </w:lvl>
    <w:lvl w:ilvl="2" w:tplc="A44EC46E">
      <w:numFmt w:val="bullet"/>
      <w:lvlText w:val="•"/>
      <w:lvlJc w:val="left"/>
      <w:pPr>
        <w:ind w:left="2443" w:hanging="159"/>
      </w:pPr>
      <w:rPr>
        <w:rFonts w:hint="default"/>
        <w:lang w:val="ru-RU" w:eastAsia="en-US" w:bidi="ar-SA"/>
      </w:rPr>
    </w:lvl>
    <w:lvl w:ilvl="3" w:tplc="4DB6C92C">
      <w:numFmt w:val="bullet"/>
      <w:lvlText w:val="•"/>
      <w:lvlJc w:val="left"/>
      <w:pPr>
        <w:ind w:left="3455" w:hanging="159"/>
      </w:pPr>
      <w:rPr>
        <w:rFonts w:hint="default"/>
        <w:lang w:val="ru-RU" w:eastAsia="en-US" w:bidi="ar-SA"/>
      </w:rPr>
    </w:lvl>
    <w:lvl w:ilvl="4" w:tplc="384E54B2">
      <w:numFmt w:val="bullet"/>
      <w:lvlText w:val="•"/>
      <w:lvlJc w:val="left"/>
      <w:pPr>
        <w:ind w:left="4467" w:hanging="159"/>
      </w:pPr>
      <w:rPr>
        <w:rFonts w:hint="default"/>
        <w:lang w:val="ru-RU" w:eastAsia="en-US" w:bidi="ar-SA"/>
      </w:rPr>
    </w:lvl>
    <w:lvl w:ilvl="5" w:tplc="C606728E">
      <w:numFmt w:val="bullet"/>
      <w:lvlText w:val="•"/>
      <w:lvlJc w:val="left"/>
      <w:pPr>
        <w:ind w:left="5479" w:hanging="159"/>
      </w:pPr>
      <w:rPr>
        <w:rFonts w:hint="default"/>
        <w:lang w:val="ru-RU" w:eastAsia="en-US" w:bidi="ar-SA"/>
      </w:rPr>
    </w:lvl>
    <w:lvl w:ilvl="6" w:tplc="3AA2D306">
      <w:numFmt w:val="bullet"/>
      <w:lvlText w:val="•"/>
      <w:lvlJc w:val="left"/>
      <w:pPr>
        <w:ind w:left="6491" w:hanging="159"/>
      </w:pPr>
      <w:rPr>
        <w:rFonts w:hint="default"/>
        <w:lang w:val="ru-RU" w:eastAsia="en-US" w:bidi="ar-SA"/>
      </w:rPr>
    </w:lvl>
    <w:lvl w:ilvl="7" w:tplc="4E766BA8">
      <w:numFmt w:val="bullet"/>
      <w:lvlText w:val="•"/>
      <w:lvlJc w:val="left"/>
      <w:pPr>
        <w:ind w:left="7503" w:hanging="159"/>
      </w:pPr>
      <w:rPr>
        <w:rFonts w:hint="default"/>
        <w:lang w:val="ru-RU" w:eastAsia="en-US" w:bidi="ar-SA"/>
      </w:rPr>
    </w:lvl>
    <w:lvl w:ilvl="8" w:tplc="A4C83520">
      <w:numFmt w:val="bullet"/>
      <w:lvlText w:val="•"/>
      <w:lvlJc w:val="left"/>
      <w:pPr>
        <w:ind w:left="8515" w:hanging="159"/>
      </w:pPr>
      <w:rPr>
        <w:rFonts w:hint="default"/>
        <w:lang w:val="ru-RU" w:eastAsia="en-US" w:bidi="ar-SA"/>
      </w:rPr>
    </w:lvl>
  </w:abstractNum>
  <w:abstractNum w:abstractNumId="6" w15:restartNumberingAfterBreak="0">
    <w:nsid w:val="423810B1"/>
    <w:multiLevelType w:val="hybridMultilevel"/>
    <w:tmpl w:val="F3B29E54"/>
    <w:lvl w:ilvl="0" w:tplc="8EBE707E">
      <w:numFmt w:val="bullet"/>
      <w:lvlText w:val="-"/>
      <w:lvlJc w:val="left"/>
      <w:pPr>
        <w:ind w:left="1658" w:hanging="16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9CCEB6">
      <w:numFmt w:val="bullet"/>
      <w:lvlText w:val="•"/>
      <w:lvlJc w:val="left"/>
      <w:pPr>
        <w:ind w:left="2269" w:hanging="1638"/>
      </w:pPr>
      <w:rPr>
        <w:rFonts w:hint="default"/>
        <w:lang w:val="ru-RU" w:eastAsia="en-US" w:bidi="ar-SA"/>
      </w:rPr>
    </w:lvl>
    <w:lvl w:ilvl="2" w:tplc="AD9A943C">
      <w:numFmt w:val="bullet"/>
      <w:lvlText w:val="•"/>
      <w:lvlJc w:val="left"/>
      <w:pPr>
        <w:ind w:left="2878" w:hanging="1638"/>
      </w:pPr>
      <w:rPr>
        <w:rFonts w:hint="default"/>
        <w:lang w:val="ru-RU" w:eastAsia="en-US" w:bidi="ar-SA"/>
      </w:rPr>
    </w:lvl>
    <w:lvl w:ilvl="3" w:tplc="25E2AA46">
      <w:numFmt w:val="bullet"/>
      <w:lvlText w:val="•"/>
      <w:lvlJc w:val="left"/>
      <w:pPr>
        <w:ind w:left="3487" w:hanging="1638"/>
      </w:pPr>
      <w:rPr>
        <w:rFonts w:hint="default"/>
        <w:lang w:val="ru-RU" w:eastAsia="en-US" w:bidi="ar-SA"/>
      </w:rPr>
    </w:lvl>
    <w:lvl w:ilvl="4" w:tplc="B478F39A">
      <w:numFmt w:val="bullet"/>
      <w:lvlText w:val="•"/>
      <w:lvlJc w:val="left"/>
      <w:pPr>
        <w:ind w:left="4096" w:hanging="1638"/>
      </w:pPr>
      <w:rPr>
        <w:rFonts w:hint="default"/>
        <w:lang w:val="ru-RU" w:eastAsia="en-US" w:bidi="ar-SA"/>
      </w:rPr>
    </w:lvl>
    <w:lvl w:ilvl="5" w:tplc="216ED76C">
      <w:numFmt w:val="bullet"/>
      <w:lvlText w:val="•"/>
      <w:lvlJc w:val="left"/>
      <w:pPr>
        <w:ind w:left="4705" w:hanging="1638"/>
      </w:pPr>
      <w:rPr>
        <w:rFonts w:hint="default"/>
        <w:lang w:val="ru-RU" w:eastAsia="en-US" w:bidi="ar-SA"/>
      </w:rPr>
    </w:lvl>
    <w:lvl w:ilvl="6" w:tplc="E6CEF4B4">
      <w:numFmt w:val="bullet"/>
      <w:lvlText w:val="•"/>
      <w:lvlJc w:val="left"/>
      <w:pPr>
        <w:ind w:left="5314" w:hanging="1638"/>
      </w:pPr>
      <w:rPr>
        <w:rFonts w:hint="default"/>
        <w:lang w:val="ru-RU" w:eastAsia="en-US" w:bidi="ar-SA"/>
      </w:rPr>
    </w:lvl>
    <w:lvl w:ilvl="7" w:tplc="461877BE">
      <w:numFmt w:val="bullet"/>
      <w:lvlText w:val="•"/>
      <w:lvlJc w:val="left"/>
      <w:pPr>
        <w:ind w:left="5923" w:hanging="1638"/>
      </w:pPr>
      <w:rPr>
        <w:rFonts w:hint="default"/>
        <w:lang w:val="ru-RU" w:eastAsia="en-US" w:bidi="ar-SA"/>
      </w:rPr>
    </w:lvl>
    <w:lvl w:ilvl="8" w:tplc="434AFC3A">
      <w:numFmt w:val="bullet"/>
      <w:lvlText w:val="•"/>
      <w:lvlJc w:val="left"/>
      <w:pPr>
        <w:ind w:left="6532" w:hanging="1638"/>
      </w:pPr>
      <w:rPr>
        <w:rFonts w:hint="default"/>
        <w:lang w:val="ru-RU" w:eastAsia="en-US" w:bidi="ar-SA"/>
      </w:rPr>
    </w:lvl>
  </w:abstractNum>
  <w:abstractNum w:abstractNumId="7" w15:restartNumberingAfterBreak="0">
    <w:nsid w:val="4892542A"/>
    <w:multiLevelType w:val="hybridMultilevel"/>
    <w:tmpl w:val="4872CE40"/>
    <w:lvl w:ilvl="0" w:tplc="1D56E814">
      <w:numFmt w:val="bullet"/>
      <w:lvlText w:val="-"/>
      <w:lvlJc w:val="left"/>
      <w:pPr>
        <w:ind w:left="412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F21BC4">
      <w:numFmt w:val="bullet"/>
      <w:lvlText w:val="•"/>
      <w:lvlJc w:val="left"/>
      <w:pPr>
        <w:ind w:left="1431" w:hanging="197"/>
      </w:pPr>
      <w:rPr>
        <w:rFonts w:hint="default"/>
        <w:lang w:val="ru-RU" w:eastAsia="en-US" w:bidi="ar-SA"/>
      </w:rPr>
    </w:lvl>
    <w:lvl w:ilvl="2" w:tplc="B4F47A82">
      <w:numFmt w:val="bullet"/>
      <w:lvlText w:val="•"/>
      <w:lvlJc w:val="left"/>
      <w:pPr>
        <w:ind w:left="2443" w:hanging="197"/>
      </w:pPr>
      <w:rPr>
        <w:rFonts w:hint="default"/>
        <w:lang w:val="ru-RU" w:eastAsia="en-US" w:bidi="ar-SA"/>
      </w:rPr>
    </w:lvl>
    <w:lvl w:ilvl="3" w:tplc="53041AAA">
      <w:numFmt w:val="bullet"/>
      <w:lvlText w:val="•"/>
      <w:lvlJc w:val="left"/>
      <w:pPr>
        <w:ind w:left="3455" w:hanging="197"/>
      </w:pPr>
      <w:rPr>
        <w:rFonts w:hint="default"/>
        <w:lang w:val="ru-RU" w:eastAsia="en-US" w:bidi="ar-SA"/>
      </w:rPr>
    </w:lvl>
    <w:lvl w:ilvl="4" w:tplc="4A00710C">
      <w:numFmt w:val="bullet"/>
      <w:lvlText w:val="•"/>
      <w:lvlJc w:val="left"/>
      <w:pPr>
        <w:ind w:left="4467" w:hanging="197"/>
      </w:pPr>
      <w:rPr>
        <w:rFonts w:hint="default"/>
        <w:lang w:val="ru-RU" w:eastAsia="en-US" w:bidi="ar-SA"/>
      </w:rPr>
    </w:lvl>
    <w:lvl w:ilvl="5" w:tplc="61C66FEC">
      <w:numFmt w:val="bullet"/>
      <w:lvlText w:val="•"/>
      <w:lvlJc w:val="left"/>
      <w:pPr>
        <w:ind w:left="5479" w:hanging="197"/>
      </w:pPr>
      <w:rPr>
        <w:rFonts w:hint="default"/>
        <w:lang w:val="ru-RU" w:eastAsia="en-US" w:bidi="ar-SA"/>
      </w:rPr>
    </w:lvl>
    <w:lvl w:ilvl="6" w:tplc="39CEE040">
      <w:numFmt w:val="bullet"/>
      <w:lvlText w:val="•"/>
      <w:lvlJc w:val="left"/>
      <w:pPr>
        <w:ind w:left="6491" w:hanging="197"/>
      </w:pPr>
      <w:rPr>
        <w:rFonts w:hint="default"/>
        <w:lang w:val="ru-RU" w:eastAsia="en-US" w:bidi="ar-SA"/>
      </w:rPr>
    </w:lvl>
    <w:lvl w:ilvl="7" w:tplc="86C4AF60">
      <w:numFmt w:val="bullet"/>
      <w:lvlText w:val="•"/>
      <w:lvlJc w:val="left"/>
      <w:pPr>
        <w:ind w:left="7503" w:hanging="197"/>
      </w:pPr>
      <w:rPr>
        <w:rFonts w:hint="default"/>
        <w:lang w:val="ru-RU" w:eastAsia="en-US" w:bidi="ar-SA"/>
      </w:rPr>
    </w:lvl>
    <w:lvl w:ilvl="8" w:tplc="7BC83404">
      <w:numFmt w:val="bullet"/>
      <w:lvlText w:val="•"/>
      <w:lvlJc w:val="left"/>
      <w:pPr>
        <w:ind w:left="8515" w:hanging="197"/>
      </w:pPr>
      <w:rPr>
        <w:rFonts w:hint="default"/>
        <w:lang w:val="ru-RU" w:eastAsia="en-US" w:bidi="ar-SA"/>
      </w:rPr>
    </w:lvl>
  </w:abstractNum>
  <w:abstractNum w:abstractNumId="8" w15:restartNumberingAfterBreak="0">
    <w:nsid w:val="4CCF744F"/>
    <w:multiLevelType w:val="hybridMultilevel"/>
    <w:tmpl w:val="77324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422B93"/>
    <w:multiLevelType w:val="hybridMultilevel"/>
    <w:tmpl w:val="D096A0F4"/>
    <w:lvl w:ilvl="0" w:tplc="634E17B4">
      <w:numFmt w:val="bullet"/>
      <w:lvlText w:val="-"/>
      <w:lvlJc w:val="left"/>
      <w:pPr>
        <w:ind w:left="26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C6DBC">
      <w:numFmt w:val="bullet"/>
      <w:lvlText w:val="•"/>
      <w:lvlJc w:val="left"/>
      <w:pPr>
        <w:ind w:left="947" w:hanging="154"/>
      </w:pPr>
      <w:rPr>
        <w:rFonts w:hint="default"/>
        <w:lang w:val="ru-RU" w:eastAsia="en-US" w:bidi="ar-SA"/>
      </w:rPr>
    </w:lvl>
    <w:lvl w:ilvl="2" w:tplc="3D5685E2">
      <w:numFmt w:val="bullet"/>
      <w:lvlText w:val="•"/>
      <w:lvlJc w:val="left"/>
      <w:pPr>
        <w:ind w:left="1875" w:hanging="154"/>
      </w:pPr>
      <w:rPr>
        <w:rFonts w:hint="default"/>
        <w:lang w:val="ru-RU" w:eastAsia="en-US" w:bidi="ar-SA"/>
      </w:rPr>
    </w:lvl>
    <w:lvl w:ilvl="3" w:tplc="9A5E7C92">
      <w:numFmt w:val="bullet"/>
      <w:lvlText w:val="•"/>
      <w:lvlJc w:val="left"/>
      <w:pPr>
        <w:ind w:left="2802" w:hanging="154"/>
      </w:pPr>
      <w:rPr>
        <w:rFonts w:hint="default"/>
        <w:lang w:val="ru-RU" w:eastAsia="en-US" w:bidi="ar-SA"/>
      </w:rPr>
    </w:lvl>
    <w:lvl w:ilvl="4" w:tplc="4E50C2DA">
      <w:numFmt w:val="bullet"/>
      <w:lvlText w:val="•"/>
      <w:lvlJc w:val="left"/>
      <w:pPr>
        <w:ind w:left="3730" w:hanging="154"/>
      </w:pPr>
      <w:rPr>
        <w:rFonts w:hint="default"/>
        <w:lang w:val="ru-RU" w:eastAsia="en-US" w:bidi="ar-SA"/>
      </w:rPr>
    </w:lvl>
    <w:lvl w:ilvl="5" w:tplc="A552D664">
      <w:numFmt w:val="bullet"/>
      <w:lvlText w:val="•"/>
      <w:lvlJc w:val="left"/>
      <w:pPr>
        <w:ind w:left="4658" w:hanging="154"/>
      </w:pPr>
      <w:rPr>
        <w:rFonts w:hint="default"/>
        <w:lang w:val="ru-RU" w:eastAsia="en-US" w:bidi="ar-SA"/>
      </w:rPr>
    </w:lvl>
    <w:lvl w:ilvl="6" w:tplc="7882ACB6">
      <w:numFmt w:val="bullet"/>
      <w:lvlText w:val="•"/>
      <w:lvlJc w:val="left"/>
      <w:pPr>
        <w:ind w:left="5585" w:hanging="154"/>
      </w:pPr>
      <w:rPr>
        <w:rFonts w:hint="default"/>
        <w:lang w:val="ru-RU" w:eastAsia="en-US" w:bidi="ar-SA"/>
      </w:rPr>
    </w:lvl>
    <w:lvl w:ilvl="7" w:tplc="443E8294">
      <w:numFmt w:val="bullet"/>
      <w:lvlText w:val="•"/>
      <w:lvlJc w:val="left"/>
      <w:pPr>
        <w:ind w:left="6513" w:hanging="154"/>
      </w:pPr>
      <w:rPr>
        <w:rFonts w:hint="default"/>
        <w:lang w:val="ru-RU" w:eastAsia="en-US" w:bidi="ar-SA"/>
      </w:rPr>
    </w:lvl>
    <w:lvl w:ilvl="8" w:tplc="036CAA22">
      <w:numFmt w:val="bullet"/>
      <w:lvlText w:val="•"/>
      <w:lvlJc w:val="left"/>
      <w:pPr>
        <w:ind w:left="7440" w:hanging="154"/>
      </w:pPr>
      <w:rPr>
        <w:rFonts w:hint="default"/>
        <w:lang w:val="ru-RU" w:eastAsia="en-US" w:bidi="ar-SA"/>
      </w:rPr>
    </w:lvl>
  </w:abstractNum>
  <w:abstractNum w:abstractNumId="10" w15:restartNumberingAfterBreak="0">
    <w:nsid w:val="58480994"/>
    <w:multiLevelType w:val="hybridMultilevel"/>
    <w:tmpl w:val="5B4043FC"/>
    <w:lvl w:ilvl="0" w:tplc="93E6763E">
      <w:numFmt w:val="bullet"/>
      <w:lvlText w:val="-"/>
      <w:lvlJc w:val="left"/>
      <w:pPr>
        <w:ind w:left="448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C04164">
      <w:numFmt w:val="bullet"/>
      <w:lvlText w:val="•"/>
      <w:lvlJc w:val="left"/>
      <w:pPr>
        <w:ind w:left="1171" w:hanging="428"/>
      </w:pPr>
      <w:rPr>
        <w:rFonts w:hint="default"/>
        <w:lang w:val="ru-RU" w:eastAsia="en-US" w:bidi="ar-SA"/>
      </w:rPr>
    </w:lvl>
    <w:lvl w:ilvl="2" w:tplc="17AC9584">
      <w:numFmt w:val="bullet"/>
      <w:lvlText w:val="•"/>
      <w:lvlJc w:val="left"/>
      <w:pPr>
        <w:ind w:left="1902" w:hanging="428"/>
      </w:pPr>
      <w:rPr>
        <w:rFonts w:hint="default"/>
        <w:lang w:val="ru-RU" w:eastAsia="en-US" w:bidi="ar-SA"/>
      </w:rPr>
    </w:lvl>
    <w:lvl w:ilvl="3" w:tplc="973077E4">
      <w:numFmt w:val="bullet"/>
      <w:lvlText w:val="•"/>
      <w:lvlJc w:val="left"/>
      <w:pPr>
        <w:ind w:left="2633" w:hanging="428"/>
      </w:pPr>
      <w:rPr>
        <w:rFonts w:hint="default"/>
        <w:lang w:val="ru-RU" w:eastAsia="en-US" w:bidi="ar-SA"/>
      </w:rPr>
    </w:lvl>
    <w:lvl w:ilvl="4" w:tplc="F4BC6998">
      <w:numFmt w:val="bullet"/>
      <w:lvlText w:val="•"/>
      <w:lvlJc w:val="left"/>
      <w:pPr>
        <w:ind w:left="3364" w:hanging="428"/>
      </w:pPr>
      <w:rPr>
        <w:rFonts w:hint="default"/>
        <w:lang w:val="ru-RU" w:eastAsia="en-US" w:bidi="ar-SA"/>
      </w:rPr>
    </w:lvl>
    <w:lvl w:ilvl="5" w:tplc="780E31C0">
      <w:numFmt w:val="bullet"/>
      <w:lvlText w:val="•"/>
      <w:lvlJc w:val="left"/>
      <w:pPr>
        <w:ind w:left="4095" w:hanging="428"/>
      </w:pPr>
      <w:rPr>
        <w:rFonts w:hint="default"/>
        <w:lang w:val="ru-RU" w:eastAsia="en-US" w:bidi="ar-SA"/>
      </w:rPr>
    </w:lvl>
    <w:lvl w:ilvl="6" w:tplc="F7DE84D4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7" w:tplc="526447A8">
      <w:numFmt w:val="bullet"/>
      <w:lvlText w:val="•"/>
      <w:lvlJc w:val="left"/>
      <w:pPr>
        <w:ind w:left="5557" w:hanging="428"/>
      </w:pPr>
      <w:rPr>
        <w:rFonts w:hint="default"/>
        <w:lang w:val="ru-RU" w:eastAsia="en-US" w:bidi="ar-SA"/>
      </w:rPr>
    </w:lvl>
    <w:lvl w:ilvl="8" w:tplc="63B0AD94">
      <w:numFmt w:val="bullet"/>
      <w:lvlText w:val="•"/>
      <w:lvlJc w:val="left"/>
      <w:pPr>
        <w:ind w:left="6288" w:hanging="428"/>
      </w:pPr>
      <w:rPr>
        <w:rFonts w:hint="default"/>
        <w:lang w:val="ru-RU" w:eastAsia="en-US" w:bidi="ar-SA"/>
      </w:rPr>
    </w:lvl>
  </w:abstractNum>
  <w:abstractNum w:abstractNumId="11" w15:restartNumberingAfterBreak="0">
    <w:nsid w:val="6C164B0F"/>
    <w:multiLevelType w:val="hybridMultilevel"/>
    <w:tmpl w:val="5EB23EF8"/>
    <w:lvl w:ilvl="0" w:tplc="8ABE3DBA">
      <w:start w:val="2"/>
      <w:numFmt w:val="decimal"/>
      <w:lvlText w:val="%1"/>
      <w:lvlJc w:val="left"/>
      <w:pPr>
        <w:ind w:left="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9" w:hanging="360"/>
      </w:pPr>
    </w:lvl>
    <w:lvl w:ilvl="2" w:tplc="0419001B" w:tentative="1">
      <w:start w:val="1"/>
      <w:numFmt w:val="lowerRoman"/>
      <w:lvlText w:val="%3."/>
      <w:lvlJc w:val="right"/>
      <w:pPr>
        <w:ind w:left="2219" w:hanging="180"/>
      </w:pPr>
    </w:lvl>
    <w:lvl w:ilvl="3" w:tplc="0419000F" w:tentative="1">
      <w:start w:val="1"/>
      <w:numFmt w:val="decimal"/>
      <w:lvlText w:val="%4."/>
      <w:lvlJc w:val="left"/>
      <w:pPr>
        <w:ind w:left="2939" w:hanging="360"/>
      </w:pPr>
    </w:lvl>
    <w:lvl w:ilvl="4" w:tplc="04190019" w:tentative="1">
      <w:start w:val="1"/>
      <w:numFmt w:val="lowerLetter"/>
      <w:lvlText w:val="%5."/>
      <w:lvlJc w:val="left"/>
      <w:pPr>
        <w:ind w:left="3659" w:hanging="360"/>
      </w:pPr>
    </w:lvl>
    <w:lvl w:ilvl="5" w:tplc="0419001B" w:tentative="1">
      <w:start w:val="1"/>
      <w:numFmt w:val="lowerRoman"/>
      <w:lvlText w:val="%6."/>
      <w:lvlJc w:val="right"/>
      <w:pPr>
        <w:ind w:left="4379" w:hanging="180"/>
      </w:pPr>
    </w:lvl>
    <w:lvl w:ilvl="6" w:tplc="0419000F" w:tentative="1">
      <w:start w:val="1"/>
      <w:numFmt w:val="decimal"/>
      <w:lvlText w:val="%7."/>
      <w:lvlJc w:val="left"/>
      <w:pPr>
        <w:ind w:left="5099" w:hanging="360"/>
      </w:pPr>
    </w:lvl>
    <w:lvl w:ilvl="7" w:tplc="04190019" w:tentative="1">
      <w:start w:val="1"/>
      <w:numFmt w:val="lowerLetter"/>
      <w:lvlText w:val="%8."/>
      <w:lvlJc w:val="left"/>
      <w:pPr>
        <w:ind w:left="5819" w:hanging="360"/>
      </w:pPr>
    </w:lvl>
    <w:lvl w:ilvl="8" w:tplc="041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2" w15:restartNumberingAfterBreak="0">
    <w:nsid w:val="71E66147"/>
    <w:multiLevelType w:val="hybridMultilevel"/>
    <w:tmpl w:val="4AE6CDA2"/>
    <w:lvl w:ilvl="0" w:tplc="73F4E0C8">
      <w:numFmt w:val="bullet"/>
      <w:lvlText w:val="-"/>
      <w:lvlJc w:val="left"/>
      <w:pPr>
        <w:ind w:left="26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C081FE">
      <w:numFmt w:val="bullet"/>
      <w:lvlText w:val="•"/>
      <w:lvlJc w:val="left"/>
      <w:pPr>
        <w:ind w:left="947" w:hanging="164"/>
      </w:pPr>
      <w:rPr>
        <w:rFonts w:hint="default"/>
        <w:lang w:val="ru-RU" w:eastAsia="en-US" w:bidi="ar-SA"/>
      </w:rPr>
    </w:lvl>
    <w:lvl w:ilvl="2" w:tplc="730E53B0">
      <w:numFmt w:val="bullet"/>
      <w:lvlText w:val="•"/>
      <w:lvlJc w:val="left"/>
      <w:pPr>
        <w:ind w:left="1875" w:hanging="164"/>
      </w:pPr>
      <w:rPr>
        <w:rFonts w:hint="default"/>
        <w:lang w:val="ru-RU" w:eastAsia="en-US" w:bidi="ar-SA"/>
      </w:rPr>
    </w:lvl>
    <w:lvl w:ilvl="3" w:tplc="DDE08A60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4" w:tplc="FF0AE8BA">
      <w:numFmt w:val="bullet"/>
      <w:lvlText w:val="•"/>
      <w:lvlJc w:val="left"/>
      <w:pPr>
        <w:ind w:left="3730" w:hanging="164"/>
      </w:pPr>
      <w:rPr>
        <w:rFonts w:hint="default"/>
        <w:lang w:val="ru-RU" w:eastAsia="en-US" w:bidi="ar-SA"/>
      </w:rPr>
    </w:lvl>
    <w:lvl w:ilvl="5" w:tplc="D0EEAFEC">
      <w:numFmt w:val="bullet"/>
      <w:lvlText w:val="•"/>
      <w:lvlJc w:val="left"/>
      <w:pPr>
        <w:ind w:left="4658" w:hanging="164"/>
      </w:pPr>
      <w:rPr>
        <w:rFonts w:hint="default"/>
        <w:lang w:val="ru-RU" w:eastAsia="en-US" w:bidi="ar-SA"/>
      </w:rPr>
    </w:lvl>
    <w:lvl w:ilvl="6" w:tplc="799A864E">
      <w:numFmt w:val="bullet"/>
      <w:lvlText w:val="•"/>
      <w:lvlJc w:val="left"/>
      <w:pPr>
        <w:ind w:left="5585" w:hanging="164"/>
      </w:pPr>
      <w:rPr>
        <w:rFonts w:hint="default"/>
        <w:lang w:val="ru-RU" w:eastAsia="en-US" w:bidi="ar-SA"/>
      </w:rPr>
    </w:lvl>
    <w:lvl w:ilvl="7" w:tplc="02F239AA">
      <w:numFmt w:val="bullet"/>
      <w:lvlText w:val="•"/>
      <w:lvlJc w:val="left"/>
      <w:pPr>
        <w:ind w:left="6513" w:hanging="164"/>
      </w:pPr>
      <w:rPr>
        <w:rFonts w:hint="default"/>
        <w:lang w:val="ru-RU" w:eastAsia="en-US" w:bidi="ar-SA"/>
      </w:rPr>
    </w:lvl>
    <w:lvl w:ilvl="8" w:tplc="97424846">
      <w:numFmt w:val="bullet"/>
      <w:lvlText w:val="•"/>
      <w:lvlJc w:val="left"/>
      <w:pPr>
        <w:ind w:left="7440" w:hanging="164"/>
      </w:pPr>
      <w:rPr>
        <w:rFonts w:hint="default"/>
        <w:lang w:val="ru-RU" w:eastAsia="en-US" w:bidi="ar-SA"/>
      </w:rPr>
    </w:lvl>
  </w:abstractNum>
  <w:num w:numId="1" w16cid:durableId="1072041150">
    <w:abstractNumId w:val="1"/>
  </w:num>
  <w:num w:numId="2" w16cid:durableId="1989938429">
    <w:abstractNumId w:val="2"/>
  </w:num>
  <w:num w:numId="3" w16cid:durableId="1785735367">
    <w:abstractNumId w:val="3"/>
  </w:num>
  <w:num w:numId="4" w16cid:durableId="1708215111">
    <w:abstractNumId w:val="10"/>
  </w:num>
  <w:num w:numId="5" w16cid:durableId="228543681">
    <w:abstractNumId w:val="6"/>
  </w:num>
  <w:num w:numId="6" w16cid:durableId="387918467">
    <w:abstractNumId w:val="12"/>
  </w:num>
  <w:num w:numId="7" w16cid:durableId="293368611">
    <w:abstractNumId w:val="0"/>
  </w:num>
  <w:num w:numId="8" w16cid:durableId="1487625963">
    <w:abstractNumId w:val="9"/>
  </w:num>
  <w:num w:numId="9" w16cid:durableId="1330449080">
    <w:abstractNumId w:val="5"/>
  </w:num>
  <w:num w:numId="10" w16cid:durableId="2133866403">
    <w:abstractNumId w:val="7"/>
  </w:num>
  <w:num w:numId="11" w16cid:durableId="1672680598">
    <w:abstractNumId w:val="4"/>
  </w:num>
  <w:num w:numId="12" w16cid:durableId="1573732169">
    <w:abstractNumId w:val="8"/>
  </w:num>
  <w:num w:numId="13" w16cid:durableId="11628926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740"/>
    <w:rsid w:val="00004C1A"/>
    <w:rsid w:val="00064871"/>
    <w:rsid w:val="00187254"/>
    <w:rsid w:val="003708FD"/>
    <w:rsid w:val="00400D8C"/>
    <w:rsid w:val="005058E5"/>
    <w:rsid w:val="00556ABF"/>
    <w:rsid w:val="005629B1"/>
    <w:rsid w:val="005F6986"/>
    <w:rsid w:val="00636321"/>
    <w:rsid w:val="00692EBB"/>
    <w:rsid w:val="00694AD1"/>
    <w:rsid w:val="007338D5"/>
    <w:rsid w:val="008914F5"/>
    <w:rsid w:val="008A2847"/>
    <w:rsid w:val="00983071"/>
    <w:rsid w:val="009D6A73"/>
    <w:rsid w:val="009E1740"/>
    <w:rsid w:val="00A24943"/>
    <w:rsid w:val="00AC7150"/>
    <w:rsid w:val="00B909EE"/>
    <w:rsid w:val="00BA331D"/>
    <w:rsid w:val="00C057F7"/>
    <w:rsid w:val="00C633EA"/>
    <w:rsid w:val="00C64651"/>
    <w:rsid w:val="00C949EF"/>
    <w:rsid w:val="00CB2BB5"/>
    <w:rsid w:val="00CD1A99"/>
    <w:rsid w:val="00D64080"/>
    <w:rsid w:val="00E33F3D"/>
    <w:rsid w:val="00E45D1C"/>
    <w:rsid w:val="00E61564"/>
    <w:rsid w:val="00EC394A"/>
    <w:rsid w:val="00F95AE1"/>
    <w:rsid w:val="00FB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BDC38"/>
  <w15:docId w15:val="{70279525-1B84-4C54-9140-F9BFB1729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7254"/>
  </w:style>
  <w:style w:type="paragraph" w:styleId="1">
    <w:name w:val="heading 1"/>
    <w:basedOn w:val="a"/>
    <w:link w:val="10"/>
    <w:uiPriority w:val="1"/>
    <w:qFormat/>
    <w:rsid w:val="00AC7150"/>
    <w:pPr>
      <w:widowControl w:val="0"/>
      <w:autoSpaceDE w:val="0"/>
      <w:autoSpaceDN w:val="0"/>
      <w:spacing w:after="0" w:line="240" w:lineRule="auto"/>
      <w:ind w:left="714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C715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AC7150"/>
  </w:style>
  <w:style w:type="table" w:customStyle="1" w:styleId="TableNormal">
    <w:name w:val="Table Normal"/>
    <w:uiPriority w:val="2"/>
    <w:semiHidden/>
    <w:unhideWhenUsed/>
    <w:qFormat/>
    <w:rsid w:val="00AC71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C71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C715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AC7150"/>
    <w:pPr>
      <w:widowControl w:val="0"/>
      <w:autoSpaceDE w:val="0"/>
      <w:autoSpaceDN w:val="0"/>
      <w:spacing w:before="63" w:after="0" w:line="240" w:lineRule="auto"/>
      <w:ind w:left="245" w:right="1607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Заголовок Знак"/>
    <w:basedOn w:val="a0"/>
    <w:link w:val="a5"/>
    <w:uiPriority w:val="1"/>
    <w:rsid w:val="00AC7150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1"/>
    <w:qFormat/>
    <w:rsid w:val="00AC7150"/>
    <w:pPr>
      <w:widowControl w:val="0"/>
      <w:autoSpaceDE w:val="0"/>
      <w:autoSpaceDN w:val="0"/>
      <w:spacing w:after="0" w:line="240" w:lineRule="auto"/>
      <w:ind w:left="412" w:firstLine="30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C7150"/>
    <w:pPr>
      <w:widowControl w:val="0"/>
      <w:autoSpaceDE w:val="0"/>
      <w:autoSpaceDN w:val="0"/>
      <w:spacing w:after="0" w:line="240" w:lineRule="auto"/>
      <w:ind w:left="26"/>
    </w:pPr>
    <w:rPr>
      <w:rFonts w:ascii="Times New Roman" w:eastAsia="Times New Roman" w:hAnsi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C715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150"/>
    <w:rPr>
      <w:rFonts w:ascii="Tahoma" w:eastAsia="Times New Roman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98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83071"/>
  </w:style>
  <w:style w:type="paragraph" w:styleId="ac">
    <w:name w:val="footer"/>
    <w:basedOn w:val="a"/>
    <w:link w:val="ad"/>
    <w:uiPriority w:val="99"/>
    <w:semiHidden/>
    <w:unhideWhenUsed/>
    <w:rsid w:val="00983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83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5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56CEF-03F4-4943-82BE-8874A9D44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3211</Words>
  <Characters>18303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Борис</dc:creator>
  <cp:lastModifiedBy>Блинова Вера Владимировна</cp:lastModifiedBy>
  <cp:revision>2</cp:revision>
  <cp:lastPrinted>2023-03-23T15:56:00Z</cp:lastPrinted>
  <dcterms:created xsi:type="dcterms:W3CDTF">2023-12-06T15:00:00Z</dcterms:created>
  <dcterms:modified xsi:type="dcterms:W3CDTF">2023-12-06T15:00:00Z</dcterms:modified>
</cp:coreProperties>
</file>