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3" w:rsidRPr="004C6F29" w:rsidRDefault="005469F3" w:rsidP="005469F3">
      <w:pPr>
        <w:pStyle w:val="2"/>
        <w:ind w:firstLine="0"/>
        <w:rPr>
          <w:b/>
          <w:bCs/>
          <w:color w:val="000000" w:themeColor="text1"/>
          <w:szCs w:val="28"/>
        </w:rPr>
      </w:pPr>
      <w:bookmarkStart w:id="0" w:name="_Toc7979848"/>
      <w:r w:rsidRPr="004C6F29">
        <w:rPr>
          <w:b/>
          <w:color w:val="000000" w:themeColor="text1"/>
          <w:szCs w:val="28"/>
        </w:rPr>
        <w:t xml:space="preserve">Тема № 1. </w:t>
      </w:r>
      <w:r w:rsidRPr="004C6F29">
        <w:rPr>
          <w:b/>
          <w:bCs/>
          <w:color w:val="000000" w:themeColor="text1"/>
          <w:szCs w:val="28"/>
        </w:rPr>
        <w:t>Организация работы по приему лекарственных средств, товаров аптечного ассортимента. Документы, подтверждающие качество.</w:t>
      </w:r>
      <w:bookmarkEnd w:id="0"/>
    </w:p>
    <w:p w:rsidR="005469F3" w:rsidRPr="004C6F29" w:rsidRDefault="005469F3" w:rsidP="005469F3">
      <w:pPr>
        <w:rPr>
          <w:color w:val="000000" w:themeColor="text1"/>
        </w:rPr>
      </w:pPr>
    </w:p>
    <w:p w:rsidR="005469F3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7F7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приему товаров аптечного ассортимента производится в соответствии с приказом Минздрава РФ от 31.08.2016 г. № 647н «Об утверждении правил надлежащей аптечной практики лекарственных препаратов для медицинского применения».</w:t>
      </w:r>
    </w:p>
    <w:p w:rsidR="005469F3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7F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товаров аптечного ассортимента осуществляется фармацевтом в специально отведенной для этого зоне</w:t>
      </w: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, в данной аптеке эта зона оборудована столом.</w:t>
      </w:r>
    </w:p>
    <w:p w:rsidR="005469F3" w:rsidRPr="000D7F76" w:rsidRDefault="005469F3" w:rsidP="00546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0D7F76">
        <w:rPr>
          <w:rFonts w:ascii="Times New Roman" w:hAnsi="Times New Roman" w:cs="Times New Roman"/>
          <w:color w:val="000000"/>
          <w:sz w:val="27"/>
          <w:szCs w:val="27"/>
        </w:rPr>
        <w:t>Работа с поставщиками осуществляется на основании заключенных договоров на определенный период времени, в течени</w:t>
      </w:r>
      <w:proofErr w:type="gramStart"/>
      <w:r w:rsidRPr="000D7F76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0D7F76">
        <w:rPr>
          <w:rFonts w:ascii="Times New Roman" w:hAnsi="Times New Roman" w:cs="Times New Roman"/>
          <w:color w:val="000000"/>
          <w:sz w:val="27"/>
          <w:szCs w:val="27"/>
        </w:rPr>
        <w:t xml:space="preserve"> действия которых в аптеку осуществляются поставки товаров аптечного ассортимента.</w:t>
      </w:r>
    </w:p>
    <w:p w:rsidR="005469F3" w:rsidRDefault="005469F3" w:rsidP="005469F3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приема товаров аптечного ассортимента, в том числе требующих специальных условий хранения и мер безопасности, фармацевт осуществляет визуальный осмотр внешнего вида транспортной тары.</w:t>
      </w:r>
    </w:p>
    <w:p w:rsidR="005469F3" w:rsidRPr="000D7F76" w:rsidRDefault="005469F3" w:rsidP="005469F3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Комплект необходимых документов приходит в аптеку в электронном виде, за исключением сопроводительного листа, он отдается в руки фармацевту. В комплект необходимых документов входят: товарно-транспортная накладная, счет-фактура, реестр документов по качеству (реестр деклараций), протокол согласования цен на препараты, относящиеся к ЖНВЛП, товарная накладная. Наличие этих документов подтверждает качество поставляемых товаров.</w:t>
      </w:r>
    </w:p>
    <w:p w:rsidR="005469F3" w:rsidRPr="000D7F76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количество поставляемых мест или позиций соответствует указанному в сопроводительных документах, а </w:t>
      </w:r>
      <w:proofErr w:type="gramStart"/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</w:t>
      </w:r>
      <w:proofErr w:type="gramEnd"/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транспортная тара не повреждена, фармацевт ставит свою подпись на сопроводительных документах и заверяет ее печатью «Для документов».</w:t>
      </w:r>
    </w:p>
    <w:p w:rsidR="005469F3" w:rsidRPr="000D7F76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приемки товары аптечного ассортимента должны пройти приемочный контроль, который осуществляется до распределения товара по местам хранения и заключается в проверке по показателям: «Упаковка» (проверяется целостность и соответствие физико-химическим свойствам лекарственных средств), «Маркировка» (проверяется соответствие оформления лекарственных средств действующим требованиям), соответствие серии, указанной на упаковке товарной накладной, срок годности (не менее 1 года), также правильность оформления сопроводительных документов, наличие</w:t>
      </w:r>
    </w:p>
    <w:p w:rsidR="005469F3" w:rsidRPr="000D7F76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реестра деклараций, подтверждающих качество лекарственных сре</w:t>
      </w:r>
      <w:proofErr w:type="gramStart"/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</w:t>
      </w:r>
      <w:proofErr w:type="gramEnd"/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оответствии с действующими нормативными документами. Приемочный контроль осуществляется в материальной комнате в специально отведенной для этого зоне.</w:t>
      </w:r>
    </w:p>
    <w:p w:rsidR="005469F3" w:rsidRPr="003442A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несоответствия поставленных товаров аптечного ассортимента данным сопроводительных документов, заведующая аптекой составляет акт, который является основанием для предъявления претензий поставщику, несоответствующий товар помещается в карантинную зону с пометкой </w:t>
      </w:r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«Забраковано при приемочном контроле». Претензия о несоответствии предъявляется в течени</w:t>
      </w:r>
      <w:proofErr w:type="gramStart"/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0D7F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двух недель с момента получения товара.</w:t>
      </w:r>
    </w:p>
    <w:p w:rsidR="005469F3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Если товар </w:t>
      </w:r>
      <w:proofErr w:type="gramStart"/>
      <w:r w:rsidRPr="008E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удовлетворяет по всем показателям</w:t>
      </w:r>
      <w:r w:rsidRPr="00C53F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 размещается</w:t>
      </w:r>
      <w:proofErr w:type="gramEnd"/>
      <w:r w:rsidRPr="008E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местам хранения в соответствии с правилами хранения, физическими свойствами и правилами приема.</w:t>
      </w:r>
    </w:p>
    <w:p w:rsidR="00C75E54" w:rsidRDefault="00C75E54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5E54" w:rsidRPr="008E2B1A" w:rsidRDefault="00C75E54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Оценка: 3</w:t>
      </w:r>
    </w:p>
    <w:p w:rsidR="005469F3" w:rsidRDefault="005469F3" w:rsidP="005469F3">
      <w:pPr>
        <w:pStyle w:val="2"/>
        <w:ind w:firstLine="0"/>
        <w:rPr>
          <w:color w:val="000000"/>
          <w:sz w:val="27"/>
          <w:szCs w:val="27"/>
        </w:rPr>
      </w:pPr>
      <w:bookmarkStart w:id="1" w:name="_Toc7979849"/>
    </w:p>
    <w:p w:rsidR="005469F3" w:rsidRDefault="005469F3" w:rsidP="005469F3">
      <w:pPr>
        <w:pStyle w:val="2"/>
        <w:ind w:firstLine="0"/>
        <w:rPr>
          <w:color w:val="000000"/>
          <w:sz w:val="27"/>
          <w:szCs w:val="27"/>
        </w:rPr>
      </w:pPr>
    </w:p>
    <w:p w:rsidR="005469F3" w:rsidRPr="004C6F29" w:rsidRDefault="005469F3" w:rsidP="005469F3">
      <w:pPr>
        <w:pStyle w:val="2"/>
        <w:ind w:firstLine="0"/>
        <w:rPr>
          <w:b/>
          <w:bCs/>
          <w:color w:val="000000" w:themeColor="text1"/>
          <w:szCs w:val="28"/>
        </w:rPr>
      </w:pPr>
      <w:r w:rsidRPr="004C6F29">
        <w:rPr>
          <w:b/>
          <w:color w:val="000000" w:themeColor="text1"/>
          <w:szCs w:val="28"/>
        </w:rPr>
        <w:t xml:space="preserve">Тема № 2. </w:t>
      </w:r>
      <w:r w:rsidRPr="004C6F29">
        <w:rPr>
          <w:b/>
          <w:bCs/>
          <w:color w:val="000000" w:themeColor="text1"/>
          <w:szCs w:val="28"/>
        </w:rPr>
        <w:t>Лекарственные средства. Анализ ассортимента. Хранение. Реализация.</w:t>
      </w:r>
      <w:bookmarkEnd w:id="1"/>
    </w:p>
    <w:p w:rsidR="005469F3" w:rsidRPr="004C6F29" w:rsidRDefault="005469F3" w:rsidP="005469F3">
      <w:pPr>
        <w:rPr>
          <w:color w:val="000000" w:themeColor="text1"/>
        </w:rPr>
      </w:pPr>
    </w:p>
    <w:p w:rsidR="005469F3" w:rsidRDefault="005469F3" w:rsidP="005469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6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Лекарственные средства</w:t>
      </w: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37B6">
        <w:rPr>
          <w:rFonts w:ascii="Times New Roman" w:hAnsi="Times New Roman" w:cs="Times New Roman"/>
          <w:color w:val="000000"/>
          <w:sz w:val="28"/>
          <w:szCs w:val="28"/>
        </w:rPr>
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</w:t>
      </w:r>
      <w:proofErr w:type="gramEnd"/>
      <w:r w:rsidRPr="009137B6">
        <w:rPr>
          <w:rFonts w:ascii="Times New Roman" w:hAnsi="Times New Roman" w:cs="Times New Roman"/>
          <w:color w:val="000000"/>
          <w:sz w:val="28"/>
          <w:szCs w:val="28"/>
        </w:rPr>
        <w:t xml:space="preserve">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препараты.</w:t>
      </w:r>
    </w:p>
    <w:p w:rsidR="005469F3" w:rsidRDefault="005469F3" w:rsidP="005469F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Лекарственные препараты</w:t>
      </w: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37B6">
        <w:rPr>
          <w:rFonts w:ascii="Times New Roman" w:hAnsi="Times New Roman" w:cs="Times New Roman"/>
          <w:color w:val="000000"/>
          <w:sz w:val="28"/>
          <w:szCs w:val="28"/>
        </w:rPr>
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:rsidR="005469F3" w:rsidRDefault="005469F3" w:rsidP="005469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Лекарственная форма</w:t>
      </w: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состояние лекарственного препарата, соответствующее способам его введения и применения и обеспечивающее достижение необходимого лечебного эффекта.</w:t>
      </w:r>
    </w:p>
    <w:p w:rsidR="005469F3" w:rsidRPr="004C6F29" w:rsidRDefault="005469F3" w:rsidP="005469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802" w:type="dxa"/>
        <w:tblLayout w:type="fixed"/>
        <w:tblLook w:val="04A0"/>
      </w:tblPr>
      <w:tblGrid>
        <w:gridCol w:w="534"/>
        <w:gridCol w:w="3350"/>
        <w:gridCol w:w="2142"/>
        <w:gridCol w:w="1886"/>
        <w:gridCol w:w="1890"/>
      </w:tblGrid>
      <w:tr w:rsidR="005469F3" w:rsidRPr="00DE24FA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50" w:type="dxa"/>
          </w:tcPr>
          <w:p w:rsidR="005469F3" w:rsidRPr="00DE24FA" w:rsidRDefault="005469F3" w:rsidP="00FE05E0">
            <w:pPr>
              <w:suppressAutoHyphens/>
              <w:jc w:val="center"/>
              <w:rPr>
                <w:sz w:val="28"/>
                <w:szCs w:val="28"/>
              </w:rPr>
            </w:pPr>
            <w:r w:rsidRPr="00DE24FA">
              <w:rPr>
                <w:color w:val="000000"/>
                <w:sz w:val="28"/>
                <w:szCs w:val="28"/>
              </w:rPr>
              <w:t>Фармакологическая группа</w:t>
            </w:r>
          </w:p>
        </w:tc>
        <w:tc>
          <w:tcPr>
            <w:tcW w:w="2142" w:type="dxa"/>
          </w:tcPr>
          <w:p w:rsidR="005469F3" w:rsidRPr="00DE24FA" w:rsidRDefault="005469F3" w:rsidP="00FE05E0">
            <w:pPr>
              <w:suppressAutoHyphens/>
              <w:jc w:val="center"/>
              <w:rPr>
                <w:sz w:val="28"/>
                <w:szCs w:val="28"/>
              </w:rPr>
            </w:pPr>
            <w:r w:rsidRPr="00DE24FA">
              <w:rPr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1886" w:type="dxa"/>
          </w:tcPr>
          <w:p w:rsidR="005469F3" w:rsidRPr="00DE24FA" w:rsidRDefault="005469F3" w:rsidP="00FE05E0">
            <w:pPr>
              <w:suppressAutoHyphens/>
              <w:jc w:val="center"/>
              <w:rPr>
                <w:sz w:val="28"/>
                <w:szCs w:val="28"/>
              </w:rPr>
            </w:pPr>
            <w:r w:rsidRPr="00DE24FA">
              <w:rPr>
                <w:color w:val="000000"/>
                <w:sz w:val="28"/>
                <w:szCs w:val="28"/>
              </w:rPr>
              <w:t>ТН</w:t>
            </w:r>
          </w:p>
        </w:tc>
        <w:tc>
          <w:tcPr>
            <w:tcW w:w="1890" w:type="dxa"/>
          </w:tcPr>
          <w:p w:rsidR="005469F3" w:rsidRPr="00DE24FA" w:rsidRDefault="005469F3" w:rsidP="00FE05E0">
            <w:pPr>
              <w:suppressAutoHyphens/>
              <w:jc w:val="center"/>
              <w:rPr>
                <w:sz w:val="28"/>
                <w:szCs w:val="28"/>
              </w:rPr>
            </w:pPr>
            <w:r w:rsidRPr="00DE24FA">
              <w:rPr>
                <w:color w:val="000000"/>
                <w:sz w:val="28"/>
                <w:szCs w:val="28"/>
              </w:rPr>
              <w:t>Код АТХ</w:t>
            </w:r>
          </w:p>
        </w:tc>
      </w:tr>
      <w:tr w:rsidR="005469F3" w:rsidRPr="00A80F1E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Отхаркивающие </w:t>
            </w:r>
            <w:proofErr w:type="spellStart"/>
            <w:r>
              <w:rPr>
                <w:color w:val="000000"/>
                <w:sz w:val="27"/>
                <w:szCs w:val="27"/>
              </w:rPr>
              <w:t>муколитические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средства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Бромгексин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Амброксол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Бромгексин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Берлин-Хеми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Амбробене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Лазолван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Флавамед</w:t>
            </w:r>
            <w:proofErr w:type="spellEnd"/>
          </w:p>
        </w:tc>
        <w:tc>
          <w:tcPr>
            <w:tcW w:w="1890" w:type="dxa"/>
          </w:tcPr>
          <w:p w:rsidR="005469F3" w:rsidRPr="00A80F1E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</w:rPr>
              <w:t>R05CB02</w:t>
            </w:r>
          </w:p>
          <w:p w:rsidR="005469F3" w:rsidRPr="00A80F1E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</w:rPr>
              <w:t>R05CB06</w:t>
            </w:r>
          </w:p>
        </w:tc>
      </w:tr>
      <w:tr w:rsidR="005469F3" w:rsidRPr="00A80F1E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Диуретические средства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Фурасемид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Торасемид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Лазекс</w:t>
            </w:r>
            <w:proofErr w:type="spellEnd"/>
          </w:p>
          <w:p w:rsidR="005469F3" w:rsidRDefault="005469F3" w:rsidP="00FE05E0">
            <w:pPr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Диувер</w:t>
            </w:r>
            <w:proofErr w:type="spellEnd"/>
          </w:p>
          <w:p w:rsidR="005469F3" w:rsidRDefault="005469F3" w:rsidP="00FE05E0">
            <w:pPr>
              <w:suppressAutoHyphens/>
              <w:rPr>
                <w:color w:val="000000"/>
                <w:sz w:val="27"/>
                <w:szCs w:val="27"/>
              </w:rPr>
            </w:pPr>
          </w:p>
          <w:p w:rsidR="005469F3" w:rsidRDefault="005469F3" w:rsidP="00FE05E0">
            <w:pPr>
              <w:suppressAutoHyphens/>
              <w:rPr>
                <w:color w:val="000000"/>
                <w:sz w:val="27"/>
                <w:szCs w:val="27"/>
              </w:rPr>
            </w:pPr>
          </w:p>
          <w:p w:rsidR="005469F3" w:rsidRDefault="005469F3" w:rsidP="00FE05E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469F3" w:rsidRPr="00A80F1E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</w:rPr>
              <w:lastRenderedPageBreak/>
              <w:t>C03СA01</w:t>
            </w:r>
          </w:p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</w:rPr>
              <w:t>C03СA04</w:t>
            </w:r>
          </w:p>
        </w:tc>
      </w:tr>
      <w:tr w:rsidR="005469F3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Слабительные средства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Бисакодил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Натрия </w:t>
            </w:r>
            <w:proofErr w:type="spellStart"/>
            <w:r>
              <w:rPr>
                <w:color w:val="000000"/>
                <w:sz w:val="27"/>
                <w:szCs w:val="27"/>
              </w:rPr>
              <w:t>пикосульфат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Бисакодил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Гутталакс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Гуттасил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Слабилен</w:t>
            </w:r>
            <w:proofErr w:type="spellEnd"/>
          </w:p>
        </w:tc>
        <w:tc>
          <w:tcPr>
            <w:tcW w:w="1890" w:type="dxa"/>
          </w:tcPr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sz w:val="24"/>
                <w:szCs w:val="24"/>
              </w:rPr>
              <w:t>А06АВ02</w:t>
            </w:r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 w:rsidRPr="00A80F1E">
              <w:rPr>
                <w:color w:val="000000"/>
                <w:sz w:val="24"/>
                <w:szCs w:val="24"/>
              </w:rPr>
              <w:t>A06AB08</w:t>
            </w:r>
          </w:p>
        </w:tc>
      </w:tr>
      <w:tr w:rsidR="005469F3" w:rsidRPr="00A80F1E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0" w:type="dxa"/>
          </w:tcPr>
          <w:p w:rsidR="005469F3" w:rsidRPr="005469F3" w:rsidRDefault="005469F3" w:rsidP="00FE05E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469F3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Противогрибковые препараты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Флуконазол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1886" w:type="dxa"/>
          </w:tcPr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80F1E">
              <w:rPr>
                <w:sz w:val="24"/>
                <w:szCs w:val="24"/>
              </w:rPr>
              <w:t>Дифлюкан</w:t>
            </w:r>
            <w:proofErr w:type="spellEnd"/>
          </w:p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80F1E">
              <w:rPr>
                <w:sz w:val="24"/>
                <w:szCs w:val="24"/>
              </w:rPr>
              <w:t>Кандид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5469F3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J02AC01</w:t>
            </w:r>
          </w:p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G01AF02</w:t>
            </w:r>
          </w:p>
        </w:tc>
      </w:tr>
      <w:tr w:rsidR="005469F3" w:rsidRPr="00A80F1E" w:rsidTr="00FE05E0">
        <w:tc>
          <w:tcPr>
            <w:tcW w:w="534" w:type="dxa"/>
          </w:tcPr>
          <w:p w:rsidR="005469F3" w:rsidRPr="00A80292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 w:rsidRPr="00A80292">
              <w:rPr>
                <w:sz w:val="28"/>
                <w:szCs w:val="28"/>
              </w:rPr>
              <w:t>5</w:t>
            </w:r>
          </w:p>
        </w:tc>
        <w:tc>
          <w:tcPr>
            <w:tcW w:w="3350" w:type="dxa"/>
          </w:tcPr>
          <w:p w:rsidR="005469F3" w:rsidRPr="00A80292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80292">
              <w:rPr>
                <w:sz w:val="28"/>
                <w:szCs w:val="28"/>
                <w:shd w:val="clear" w:color="auto" w:fill="FFFFFF"/>
              </w:rPr>
              <w:t>Противогерпетические</w:t>
            </w:r>
            <w:proofErr w:type="spellEnd"/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Ацикловир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Валоцикловир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Зовиракс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Валтрекс</w:t>
            </w:r>
            <w:proofErr w:type="spellEnd"/>
          </w:p>
        </w:tc>
        <w:tc>
          <w:tcPr>
            <w:tcW w:w="1890" w:type="dxa"/>
          </w:tcPr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D06BB03</w:t>
            </w:r>
          </w:p>
        </w:tc>
      </w:tr>
      <w:tr w:rsidR="005469F3" w:rsidRPr="00A80F1E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0" w:type="dxa"/>
          </w:tcPr>
          <w:p w:rsidR="005469F3" w:rsidRPr="003E4DEE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3E4DEE">
              <w:rPr>
                <w:sz w:val="28"/>
                <w:szCs w:val="28"/>
                <w:shd w:val="clear" w:color="auto" w:fill="FFFFFF"/>
              </w:rPr>
              <w:t>Селе</w:t>
            </w:r>
            <w:r>
              <w:rPr>
                <w:sz w:val="28"/>
                <w:szCs w:val="28"/>
                <w:shd w:val="clear" w:color="auto" w:fill="FFFFFF"/>
              </w:rPr>
              <w:t>ктивные альфа 2</w:t>
            </w:r>
            <w:r w:rsidRPr="003E4DEE">
              <w:rPr>
                <w:sz w:val="28"/>
                <w:szCs w:val="28"/>
                <w:shd w:val="clear" w:color="auto" w:fill="FFFFFF"/>
              </w:rPr>
              <w:t>-адрено</w:t>
            </w:r>
            <w:r>
              <w:rPr>
                <w:sz w:val="28"/>
                <w:szCs w:val="28"/>
                <w:shd w:val="clear" w:color="auto" w:fill="FFFFFF"/>
              </w:rPr>
              <w:t xml:space="preserve">миметики </w:t>
            </w:r>
            <w:r w:rsidRPr="003E4DEE">
              <w:rPr>
                <w:sz w:val="28"/>
                <w:szCs w:val="28"/>
                <w:shd w:val="clear" w:color="auto" w:fill="FFFFFF"/>
              </w:rPr>
              <w:t>короткого действия</w:t>
            </w:r>
            <w:proofErr w:type="gramEnd"/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Сальбутамол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Фенотерол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Вентолин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Беротек</w:t>
            </w:r>
            <w:proofErr w:type="spellEnd"/>
          </w:p>
        </w:tc>
        <w:tc>
          <w:tcPr>
            <w:tcW w:w="1890" w:type="dxa"/>
          </w:tcPr>
          <w:p w:rsidR="005469F3" w:rsidRPr="00A80F1E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R03AC02</w:t>
            </w:r>
          </w:p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R03AC04</w:t>
            </w:r>
          </w:p>
        </w:tc>
      </w:tr>
      <w:tr w:rsidR="005469F3" w:rsidRPr="00A80F1E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Бутамират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Преноксдиазин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Синекод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Либексин</w:t>
            </w:r>
            <w:proofErr w:type="spellEnd"/>
          </w:p>
        </w:tc>
        <w:tc>
          <w:tcPr>
            <w:tcW w:w="1890" w:type="dxa"/>
          </w:tcPr>
          <w:p w:rsidR="005469F3" w:rsidRPr="00A80F1E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R05DB13</w:t>
            </w:r>
          </w:p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R05DB18</w:t>
            </w:r>
          </w:p>
        </w:tc>
      </w:tr>
      <w:tr w:rsidR="005469F3" w:rsidRPr="00A80F1E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Пропранолол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Атенолол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Анаприлин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Атенолол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Беталок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гилок</w:t>
            </w:r>
            <w:proofErr w:type="spellEnd"/>
          </w:p>
        </w:tc>
        <w:tc>
          <w:tcPr>
            <w:tcW w:w="1890" w:type="dxa"/>
          </w:tcPr>
          <w:p w:rsidR="005469F3" w:rsidRPr="00A80F1E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C07AA05</w:t>
            </w:r>
          </w:p>
          <w:p w:rsidR="005469F3" w:rsidRPr="00A80F1E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C07AB03</w:t>
            </w:r>
          </w:p>
          <w:p w:rsidR="005469F3" w:rsidRPr="00A80F1E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A80F1E">
              <w:rPr>
                <w:color w:val="000000"/>
                <w:sz w:val="24"/>
                <w:szCs w:val="24"/>
                <w:shd w:val="clear" w:color="auto" w:fill="FFFFFF"/>
              </w:rPr>
              <w:t>C07AB02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Блокаторы</w:t>
            </w:r>
            <w:proofErr w:type="spellEnd"/>
            <w:r>
              <w:rPr>
                <w:sz w:val="28"/>
                <w:szCs w:val="28"/>
              </w:rPr>
              <w:t xml:space="preserve"> кальциевых каналов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Верапамил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Изоптин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Коринфар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C08DA01</w:t>
            </w:r>
          </w:p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C08CA05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  <w:proofErr w:type="spellStart"/>
            <w:r>
              <w:rPr>
                <w:sz w:val="28"/>
                <w:szCs w:val="28"/>
              </w:rPr>
              <w:t>ангионтензина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Лозартан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Валсартан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Козар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Диован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C09CA01</w:t>
            </w:r>
          </w:p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EDF0F5"/>
              </w:rPr>
              <w:t>C09CA03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средства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Амиодарон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Кордарон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C01BD01</w:t>
            </w:r>
          </w:p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C08DA01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средства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Вольтарен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Нурофен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M02AA15</w:t>
            </w:r>
          </w:p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M01AE01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Спазмолитические средства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Дротаверин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Но- </w:t>
            </w:r>
            <w:proofErr w:type="spellStart"/>
            <w:r>
              <w:rPr>
                <w:sz w:val="28"/>
                <w:szCs w:val="28"/>
              </w:rPr>
              <w:t>шпа</w:t>
            </w:r>
            <w:proofErr w:type="spellEnd"/>
            <w:proofErr w:type="gram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Дюспаталин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A03AD02</w:t>
            </w:r>
          </w:p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A03AA04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Ноотропные</w:t>
            </w:r>
            <w:proofErr w:type="spellEnd"/>
            <w:r>
              <w:rPr>
                <w:sz w:val="28"/>
                <w:szCs w:val="28"/>
              </w:rPr>
              <w:t xml:space="preserve"> препараты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Пирацетам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Пикамилон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Ноотропил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Пикамилон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N06BX03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Нейролептики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Хлорпромазин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Аминазин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N05AA01</w:t>
            </w:r>
          </w:p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N05AD01</w:t>
            </w:r>
          </w:p>
        </w:tc>
      </w:tr>
      <w:tr w:rsidR="005469F3" w:rsidRPr="00CB16BC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Транквилизаторы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Диазепам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Тофизопам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Седукен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Грандаксин</w:t>
            </w:r>
            <w:proofErr w:type="spellEnd"/>
          </w:p>
        </w:tc>
        <w:tc>
          <w:tcPr>
            <w:tcW w:w="1890" w:type="dxa"/>
          </w:tcPr>
          <w:p w:rsidR="005469F3" w:rsidRPr="00CB16BC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N05BA01</w:t>
            </w:r>
          </w:p>
          <w:p w:rsidR="005469F3" w:rsidRPr="00CB16BC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CB16BC">
              <w:rPr>
                <w:color w:val="000000"/>
                <w:sz w:val="24"/>
                <w:szCs w:val="24"/>
                <w:shd w:val="clear" w:color="auto" w:fill="FFFFFF"/>
              </w:rPr>
              <w:t>N05BA23</w:t>
            </w:r>
          </w:p>
        </w:tc>
      </w:tr>
      <w:tr w:rsidR="005469F3" w:rsidRPr="008766D2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Золпидем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Ивадал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Имован</w:t>
            </w:r>
            <w:proofErr w:type="spellEnd"/>
          </w:p>
        </w:tc>
        <w:tc>
          <w:tcPr>
            <w:tcW w:w="1890" w:type="dxa"/>
          </w:tcPr>
          <w:p w:rsidR="005469F3" w:rsidRPr="008766D2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66D2">
              <w:rPr>
                <w:color w:val="000000"/>
                <w:sz w:val="24"/>
                <w:szCs w:val="24"/>
                <w:shd w:val="clear" w:color="auto" w:fill="FFFFFF"/>
              </w:rPr>
              <w:t>N05CF02</w:t>
            </w:r>
          </w:p>
          <w:p w:rsidR="005469F3" w:rsidRPr="008766D2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8766D2">
              <w:rPr>
                <w:color w:val="000000"/>
                <w:sz w:val="24"/>
                <w:szCs w:val="24"/>
                <w:shd w:val="clear" w:color="auto" w:fill="FFFFFF"/>
              </w:rPr>
              <w:t>N05CF01</w:t>
            </w:r>
          </w:p>
        </w:tc>
      </w:tr>
      <w:tr w:rsidR="005469F3" w:rsidRPr="008766D2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Антидепресивные</w:t>
            </w:r>
            <w:proofErr w:type="spellEnd"/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Тианептин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Коаксил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Золофт</w:t>
            </w:r>
            <w:proofErr w:type="spellEnd"/>
          </w:p>
        </w:tc>
        <w:tc>
          <w:tcPr>
            <w:tcW w:w="1890" w:type="dxa"/>
          </w:tcPr>
          <w:p w:rsidR="005469F3" w:rsidRPr="008766D2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66D2">
              <w:rPr>
                <w:color w:val="000000"/>
                <w:sz w:val="24"/>
                <w:szCs w:val="24"/>
                <w:shd w:val="clear" w:color="auto" w:fill="FFFFFF"/>
              </w:rPr>
              <w:t>N06AX14</w:t>
            </w:r>
          </w:p>
          <w:p w:rsidR="005469F3" w:rsidRPr="008766D2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8766D2">
              <w:rPr>
                <w:color w:val="000000"/>
                <w:sz w:val="24"/>
                <w:szCs w:val="24"/>
                <w:shd w:val="clear" w:color="auto" w:fill="FFFFFF"/>
              </w:rPr>
              <w:t>N06AB06</w:t>
            </w:r>
          </w:p>
        </w:tc>
      </w:tr>
      <w:tr w:rsidR="005469F3" w:rsidRPr="008766D2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Препараты</w:t>
            </w:r>
            <w:proofErr w:type="gramEnd"/>
            <w:r>
              <w:rPr>
                <w:sz w:val="28"/>
                <w:szCs w:val="28"/>
              </w:rPr>
              <w:t xml:space="preserve"> влияющие на функцию щитовидной железы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Тиамазол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Мерказолил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Йодомарин</w:t>
            </w:r>
            <w:proofErr w:type="spellEnd"/>
          </w:p>
        </w:tc>
        <w:tc>
          <w:tcPr>
            <w:tcW w:w="1890" w:type="dxa"/>
          </w:tcPr>
          <w:p w:rsidR="005469F3" w:rsidRPr="008766D2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66D2">
              <w:rPr>
                <w:color w:val="000000"/>
                <w:sz w:val="24"/>
                <w:szCs w:val="24"/>
                <w:shd w:val="clear" w:color="auto" w:fill="FFFFFF"/>
              </w:rPr>
              <w:t>H03BB02</w:t>
            </w:r>
          </w:p>
          <w:p w:rsidR="005469F3" w:rsidRPr="008766D2" w:rsidRDefault="005469F3" w:rsidP="00FE05E0">
            <w:pPr>
              <w:suppressAutoHyphens/>
              <w:jc w:val="both"/>
              <w:rPr>
                <w:sz w:val="24"/>
                <w:szCs w:val="24"/>
              </w:rPr>
            </w:pPr>
            <w:r w:rsidRPr="008766D2">
              <w:rPr>
                <w:color w:val="000000"/>
                <w:sz w:val="24"/>
                <w:szCs w:val="24"/>
                <w:shd w:val="clear" w:color="auto" w:fill="FFFFFF"/>
              </w:rPr>
              <w:t>D08AG</w:t>
            </w:r>
          </w:p>
        </w:tc>
      </w:tr>
      <w:tr w:rsidR="005469F3" w:rsidRPr="008766D2" w:rsidTr="00FE05E0">
        <w:tc>
          <w:tcPr>
            <w:tcW w:w="534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50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Гепатопротекторы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Фосфолипиды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Орнитин</w:t>
            </w:r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Эссенц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осфолипиды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Орнитин</w:t>
            </w:r>
          </w:p>
        </w:tc>
        <w:tc>
          <w:tcPr>
            <w:tcW w:w="1890" w:type="dxa"/>
          </w:tcPr>
          <w:p w:rsidR="005469F3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A05C</w:t>
            </w:r>
          </w:p>
          <w:p w:rsidR="005469F3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5469F3" w:rsidRPr="00C00676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A05BA</w:t>
            </w:r>
          </w:p>
        </w:tc>
      </w:tr>
      <w:tr w:rsidR="005469F3" w:rsidRPr="008766D2" w:rsidTr="00FE05E0">
        <w:tc>
          <w:tcPr>
            <w:tcW w:w="534" w:type="dxa"/>
          </w:tcPr>
          <w:p w:rsidR="005469F3" w:rsidRPr="00C00676" w:rsidRDefault="005469F3" w:rsidP="00FE05E0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3350" w:type="dxa"/>
          </w:tcPr>
          <w:p w:rsidR="005469F3" w:rsidRPr="00C00676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Противодиарейные</w:t>
            </w:r>
            <w:proofErr w:type="spellEnd"/>
          </w:p>
        </w:tc>
        <w:tc>
          <w:tcPr>
            <w:tcW w:w="2142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1886" w:type="dxa"/>
          </w:tcPr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Лоперамид</w:t>
            </w:r>
            <w:proofErr w:type="spellEnd"/>
          </w:p>
          <w:p w:rsidR="005469F3" w:rsidRDefault="005469F3" w:rsidP="00FE05E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Лопедиум</w:t>
            </w:r>
            <w:proofErr w:type="spellEnd"/>
          </w:p>
        </w:tc>
        <w:tc>
          <w:tcPr>
            <w:tcW w:w="1890" w:type="dxa"/>
          </w:tcPr>
          <w:p w:rsidR="005469F3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A07DA03</w:t>
            </w:r>
          </w:p>
          <w:p w:rsidR="005469F3" w:rsidRDefault="005469F3" w:rsidP="00FE05E0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A07DA03</w:t>
            </w:r>
          </w:p>
        </w:tc>
      </w:tr>
    </w:tbl>
    <w:p w:rsidR="005469F3" w:rsidRDefault="005469F3" w:rsidP="005469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9F3" w:rsidRDefault="005469F3" w:rsidP="005469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9F3" w:rsidRDefault="005469F3" w:rsidP="005469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9F3" w:rsidRPr="004C6F29" w:rsidRDefault="005469F3" w:rsidP="005469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9F3" w:rsidRPr="004C6F29" w:rsidRDefault="005469F3" w:rsidP="005469F3">
      <w:pPr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</w:t>
      </w:r>
      <w:r w:rsidRPr="004C6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маркировки ЛС</w:t>
      </w:r>
    </w:p>
    <w:p w:rsidR="005469F3" w:rsidRPr="007A1F35" w:rsidRDefault="005469F3" w:rsidP="005469F3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Маркировка</w:t>
      </w:r>
      <w:r w:rsidRPr="007A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обязательная информация, нанесенная на изделие или упаковку в виде комплексов знаков или символов, характеризующих это изделие.</w:t>
      </w:r>
    </w:p>
    <w:p w:rsidR="005469F3" w:rsidRPr="007A1F35" w:rsidRDefault="005469F3" w:rsidP="005469F3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F35">
        <w:rPr>
          <w:rFonts w:ascii="Times New Roman" w:hAnsi="Times New Roman" w:cs="Times New Roman"/>
          <w:color w:val="000000" w:themeColor="text1"/>
          <w:sz w:val="28"/>
          <w:szCs w:val="28"/>
        </w:rPr>
        <w:t>Правила маркировки ЛС</w:t>
      </w:r>
      <w:proofErr w:type="gramStart"/>
      <w:r w:rsidRPr="007A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A1F3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ФЗ РФ №61 «Об обращении лекарственных средств» от 12.04.2010  ЛП, за исключением ЛП, изготовленных аптечными организациями , индивидуальными предпринимателями ,имеющими лицензию на фармацевтическую деятельность, должны поступать в обращение , если:</w:t>
      </w:r>
    </w:p>
    <w:p w:rsidR="005469F3" w:rsidRPr="007A1F35" w:rsidRDefault="005469F3" w:rsidP="005469F3">
      <w:pPr>
        <w:pStyle w:val="a3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A1F35">
        <w:rPr>
          <w:color w:val="000000" w:themeColor="text1"/>
          <w:sz w:val="28"/>
          <w:szCs w:val="28"/>
        </w:rPr>
        <w:t xml:space="preserve">       </w:t>
      </w:r>
      <w:proofErr w:type="gramStart"/>
      <w:r w:rsidRPr="007A1F35">
        <w:rPr>
          <w:color w:val="000000" w:themeColor="text1"/>
          <w:sz w:val="28"/>
          <w:szCs w:val="28"/>
        </w:rPr>
        <w:t>1.</w:t>
      </w:r>
      <w:r w:rsidRPr="007A1F35">
        <w:rPr>
          <w:color w:val="000000"/>
          <w:sz w:val="28"/>
          <w:szCs w:val="28"/>
        </w:rPr>
        <w:t xml:space="preserve">На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7A1F35">
        <w:rPr>
          <w:color w:val="000000"/>
          <w:sz w:val="28"/>
          <w:szCs w:val="28"/>
        </w:rPr>
        <w:t>группировочное</w:t>
      </w:r>
      <w:proofErr w:type="spellEnd"/>
      <w:r w:rsidRPr="007A1F35">
        <w:rPr>
          <w:color w:val="000000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доз.</w:t>
      </w:r>
      <w:proofErr w:type="gramEnd"/>
    </w:p>
    <w:p w:rsidR="005469F3" w:rsidRPr="007A1F35" w:rsidRDefault="005469F3" w:rsidP="005469F3">
      <w:pPr>
        <w:pStyle w:val="a3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A1F35">
        <w:rPr>
          <w:color w:val="000000" w:themeColor="text1"/>
          <w:sz w:val="28"/>
          <w:szCs w:val="28"/>
        </w:rPr>
        <w:t xml:space="preserve">       2.</w:t>
      </w:r>
      <w:r w:rsidRPr="007A1F35">
        <w:rPr>
          <w:color w:val="000000"/>
          <w:sz w:val="28"/>
          <w:szCs w:val="28"/>
        </w:rPr>
        <w:t xml:space="preserve"> </w:t>
      </w:r>
      <w:proofErr w:type="gramStart"/>
      <w:r w:rsidRPr="007A1F35">
        <w:rPr>
          <w:color w:val="000000"/>
          <w:sz w:val="28"/>
          <w:szCs w:val="28"/>
        </w:rPr>
        <w:t xml:space="preserve">На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7A1F35">
        <w:rPr>
          <w:color w:val="000000"/>
          <w:sz w:val="28"/>
          <w:szCs w:val="28"/>
        </w:rPr>
        <w:t>группировочное</w:t>
      </w:r>
      <w:proofErr w:type="spellEnd"/>
      <w:r w:rsidRPr="007A1F35">
        <w:rPr>
          <w:color w:val="000000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упаковке.</w:t>
      </w:r>
      <w:proofErr w:type="gramEnd"/>
    </w:p>
    <w:p w:rsidR="005469F3" w:rsidRPr="007A1F35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7A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7A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7A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7A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  <w:proofErr w:type="gramEnd"/>
    </w:p>
    <w:p w:rsidR="005469F3" w:rsidRPr="007A1F35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7A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5469F3" w:rsidRPr="007A1F35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7A1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На первичную упаковку и вторичную (потребительскую) упаковку </w:t>
      </w:r>
      <w:proofErr w:type="spell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радиофармацевтических</w:t>
      </w:r>
      <w:proofErr w:type="spellEnd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 должен наноситься знак радиационной опасности.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условиях его хранения и перевозки, необходимые предупредительные надписи и манипуляторные знаки.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На первичную упаковку и вторичную (потребительскую) упаковку лекарственных сре</w:t>
      </w:r>
      <w:proofErr w:type="gram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ветеринарного применения должна наноситься надпись: "Для ветеринарного применения".</w:t>
      </w:r>
    </w:p>
    <w:p w:rsidR="005469F3" w:rsidRPr="004C6F29" w:rsidRDefault="005469F3" w:rsidP="00546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На вторичную (потребительскую) упаковку лекарственного препарата наносится штриховой код.</w:t>
      </w:r>
    </w:p>
    <w:p w:rsidR="005469F3" w:rsidRPr="004C6F29" w:rsidRDefault="005469F3" w:rsidP="005469F3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9F3" w:rsidRPr="004C6F29" w:rsidRDefault="005469F3" w:rsidP="005469F3">
      <w:pPr>
        <w:suppressAutoHyphens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хранения лекарственных сре</w:t>
      </w:r>
      <w:proofErr w:type="gramStart"/>
      <w:r w:rsidRPr="004C6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дств в с</w:t>
      </w:r>
      <w:proofErr w:type="gramEnd"/>
      <w:r w:rsidRPr="004C6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оответствии с требованиями приказа МЗ РФ № 706н, 646н, 647н. </w:t>
      </w:r>
    </w:p>
    <w:p w:rsidR="005469F3" w:rsidRPr="004C6F29" w:rsidRDefault="005469F3" w:rsidP="005469F3">
      <w:pPr>
        <w:suppressAutoHyphens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 соответствии с требованиями приказа №706н «Об утверждении правил хранения лекарственных средств» в помещениях хранения поддерживаются определенная температура и влажность воздуха, позволяющие обеспечить хранение лекарственных средств в соответствии с указанной на первичной и вторичной упаковке, требованиями производителей лекарственных средств.</w:t>
      </w:r>
      <w:proofErr w:type="gramEnd"/>
    </w:p>
    <w:p w:rsidR="005469F3" w:rsidRPr="004C6F29" w:rsidRDefault="005469F3" w:rsidP="005469F3">
      <w:pPr>
        <w:suppressAutoHyphens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В соответствии с требованиями приказа №646н помещения для хранения лекарственных средств оборудованы кондиционерами и форточками, </w:t>
      </w: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lastRenderedPageBreak/>
        <w:t>позволяющими обеспечить хранение лекарственных сре</w:t>
      </w:r>
      <w:proofErr w:type="gram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дств в с</w:t>
      </w:r>
      <w:proofErr w:type="gramEnd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оответствии с указанными на первичной и вторичной упаковке требованиями производителей лекарственных средств.</w:t>
      </w:r>
    </w:p>
    <w:p w:rsidR="005469F3" w:rsidRPr="004C6F2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Отделка помещений для хранения лекарственных средств (внутренние поверхности стен, потолков) допускает возможность проведения влажной уборки.</w:t>
      </w:r>
    </w:p>
    <w:p w:rsidR="005469F3" w:rsidRPr="004C6F2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Хранение лекарственных препаратов в соответствии с приказами №706н, №646н, №647н осуществляется в материальной комнате, которая оснащена гигрометром, который размещен на расстоянии 3м от дверей, окон и отопительных приборов, на высоте 1,5м от пола его показания ежедневно фиксируются в специальном журнале регистрации параметров влажности воздуха ответственным лицом. Контролирующий прибор сертифицирован, калиброван и подвергается проверке в установленном порядке.  Холодильники с термометрами на нижней и верхней полке, показатели которых также фиксируются ежедневно утром и вечером, в выходные и праздничные дни в журнале регистрации температурного режима. В холодильниках хранятся </w:t>
      </w:r>
      <w:proofErr w:type="spell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термолабильные</w:t>
      </w:r>
      <w:proofErr w:type="spellEnd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препараты.</w:t>
      </w:r>
    </w:p>
    <w:p w:rsidR="005469F3" w:rsidRPr="004C6F2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Наркотические, психотропные, сильнодействующие и ядовитые лекарственные средства, находящиеся под контролем, хранятся отдельно, в запирающемся сейфе. </w:t>
      </w:r>
    </w:p>
    <w:p w:rsidR="005469F3" w:rsidRPr="004C6F2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Все стеллажи (шкафы) установлены таким образом, чтобы обеспечить свободный доступ к лекарственным средствам, свободный проход персонала, а также доступность стеллажей, стен, пола для уборки. Стеллажи, шкафы, полки, предназначенные для хранения лекарственных средств – идентифицированы. Хранящиеся лекарственные средства также идентифицированы с помощью стеллажных карт, компьютерных технологий при помощи кодов и электронных устройств.</w:t>
      </w:r>
    </w:p>
    <w:p w:rsidR="005469F3" w:rsidRPr="004C6F2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Обеспечен </w:t>
      </w:r>
      <w:proofErr w:type="gram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контроль за</w:t>
      </w:r>
      <w:proofErr w:type="gramEnd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своевременной реализацией лекарственных средств с ограниченным сроком годности с использованием компьютерных технологий, с указанием наименования лекарственного средства, серии, срока годности.</w:t>
      </w:r>
    </w:p>
    <w:p w:rsidR="005469F3" w:rsidRPr="004C6F2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При выявлении лекарственных средств с истекшим сроком годности они хранятся отдельно от других групп лекарственных сре</w:t>
      </w:r>
      <w:proofErr w:type="gramStart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дств в сп</w:t>
      </w:r>
      <w:proofErr w:type="gramEnd"/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ециально выделенной и обозначенной (карантинной) зоне.</w:t>
      </w:r>
    </w:p>
    <w:p w:rsidR="005469F3" w:rsidRPr="004C6F29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В соответствии с требованиями приказа №647н лекарственные препараты, отпускаемые без рецепта, размещаются на витринах с учетом условий хранения, предусмотренных инструкцией по медицинскому применению или маркировкой на упаковке.</w:t>
      </w:r>
    </w:p>
    <w:p w:rsidR="005469F3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  Лекарственные препараты, отпускаемые по рецепту на лекарственный препарат, хранят в шкафах без доступа к ним покупателей.</w:t>
      </w:r>
    </w:p>
    <w:p w:rsidR="00C75E54" w:rsidRDefault="00C75E54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</w:p>
    <w:p w:rsidR="00C75E54" w:rsidRPr="004C6F29" w:rsidRDefault="00C75E54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Оценка: 3</w:t>
      </w:r>
    </w:p>
    <w:p w:rsidR="005469F3" w:rsidRPr="004C6F29" w:rsidRDefault="005469F3" w:rsidP="005469F3">
      <w:pP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4C6F29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br w:type="page"/>
      </w:r>
    </w:p>
    <w:p w:rsidR="005469F3" w:rsidRPr="004C6F29" w:rsidRDefault="005469F3" w:rsidP="005469F3">
      <w:pPr>
        <w:pStyle w:val="2"/>
        <w:ind w:firstLine="0"/>
        <w:rPr>
          <w:b/>
          <w:bCs/>
          <w:color w:val="000000" w:themeColor="text1"/>
          <w:szCs w:val="28"/>
        </w:rPr>
      </w:pPr>
      <w:bookmarkStart w:id="2" w:name="_Toc7979850"/>
      <w:r w:rsidRPr="004C6F29">
        <w:rPr>
          <w:b/>
          <w:color w:val="000000" w:themeColor="text1"/>
          <w:szCs w:val="28"/>
        </w:rPr>
        <w:lastRenderedPageBreak/>
        <w:t>Тема № 3.</w:t>
      </w:r>
      <w:r w:rsidRPr="004C6F29">
        <w:rPr>
          <w:b/>
          <w:bCs/>
          <w:color w:val="000000" w:themeColor="text1"/>
          <w:szCs w:val="28"/>
        </w:rPr>
        <w:t>Гомеопатические лекарственные препараты. Анализ ассортимента. Хранение. Реализация.</w:t>
      </w:r>
      <w:bookmarkEnd w:id="2"/>
    </w:p>
    <w:p w:rsidR="005469F3" w:rsidRPr="004C6F29" w:rsidRDefault="005469F3" w:rsidP="00546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469F3" w:rsidRPr="004C6F29" w:rsidRDefault="005469F3" w:rsidP="005469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Гомеопатические лекарственные препараты</w:t>
      </w:r>
      <w:r w:rsidRPr="004C6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препараты из натурального вещества минерального, растительного или животного происхождения.</w:t>
      </w:r>
    </w:p>
    <w:p w:rsidR="005469F3" w:rsidRDefault="005469F3" w:rsidP="00546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Основоположник </w:t>
      </w:r>
      <w:r w:rsidRPr="009D0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гомеопатии - </w:t>
      </w:r>
      <w:hyperlink r:id="rId6" w:tooltip="Ганеман, Христиан Фридрих Самуэль" w:history="1">
        <w:r w:rsidRPr="009D057B">
          <w:rPr>
            <w:rStyle w:val="a6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Христиан Фридрих </w:t>
        </w:r>
        <w:proofErr w:type="spellStart"/>
        <w:r w:rsidRPr="009D057B">
          <w:rPr>
            <w:rStyle w:val="a6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Самуэль</w:t>
        </w:r>
        <w:proofErr w:type="spellEnd"/>
        <w:r w:rsidRPr="009D057B">
          <w:rPr>
            <w:rStyle w:val="a6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Ганеман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40795">
        <w:rPr>
          <w:rFonts w:ascii="Times New Roman" w:hAnsi="Times New Roman" w:cs="Times New Roman"/>
          <w:sz w:val="28"/>
          <w:szCs w:val="28"/>
        </w:rPr>
        <w:t>Основные принципы гомеопатии: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40795">
        <w:rPr>
          <w:rFonts w:ascii="Times New Roman" w:hAnsi="Times New Roman" w:cs="Times New Roman"/>
          <w:sz w:val="28"/>
          <w:szCs w:val="28"/>
        </w:rPr>
        <w:t>Подобное лечится подобным (принцип подобия)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40795">
        <w:rPr>
          <w:rFonts w:ascii="Times New Roman" w:hAnsi="Times New Roman" w:cs="Times New Roman"/>
          <w:sz w:val="28"/>
          <w:szCs w:val="28"/>
        </w:rPr>
        <w:t>Потенцирование веществ с целью п</w:t>
      </w:r>
      <w:r>
        <w:rPr>
          <w:rFonts w:ascii="Times New Roman" w:hAnsi="Times New Roman" w:cs="Times New Roman"/>
          <w:sz w:val="28"/>
          <w:szCs w:val="28"/>
        </w:rPr>
        <w:t>олучения гомеопатических лекарст</w:t>
      </w:r>
      <w:r w:rsidRPr="00540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540795">
        <w:rPr>
          <w:rFonts w:ascii="Times New Roman" w:hAnsi="Times New Roman" w:cs="Times New Roman"/>
          <w:sz w:val="28"/>
          <w:szCs w:val="28"/>
        </w:rPr>
        <w:t>Испытание препаратов на здоровых людях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540795">
        <w:rPr>
          <w:rFonts w:ascii="Times New Roman" w:hAnsi="Times New Roman" w:cs="Times New Roman"/>
          <w:sz w:val="28"/>
          <w:szCs w:val="28"/>
        </w:rPr>
        <w:t>Учет индивидуальной картины болезни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69F3" w:rsidRDefault="005469F3" w:rsidP="00546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применению:</w:t>
      </w:r>
    </w:p>
    <w:p w:rsidR="005469F3" w:rsidRPr="00664911" w:rsidRDefault="005469F3" w:rsidP="005469F3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64911">
        <w:rPr>
          <w:rFonts w:ascii="Times New Roman" w:eastAsia="Times New Roman" w:hAnsi="Times New Roman" w:cs="Times New Roman"/>
          <w:sz w:val="28"/>
          <w:szCs w:val="28"/>
        </w:rPr>
        <w:t xml:space="preserve">Поскольку гомеопатия стимулирует механизм </w:t>
      </w:r>
      <w:proofErr w:type="spellStart"/>
      <w:r w:rsidRPr="0066491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64911">
        <w:rPr>
          <w:rFonts w:ascii="Times New Roman" w:eastAsia="Times New Roman" w:hAnsi="Times New Roman" w:cs="Times New Roman"/>
          <w:sz w:val="28"/>
          <w:szCs w:val="28"/>
        </w:rPr>
        <w:t>, то показаниями для назначения гомеопатического лечения могут как острые, так и различные хронические заболевания.</w:t>
      </w:r>
    </w:p>
    <w:p w:rsidR="005469F3" w:rsidRPr="00664911" w:rsidRDefault="005469F3" w:rsidP="005469F3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4911">
        <w:rPr>
          <w:rFonts w:ascii="Times New Roman" w:eastAsia="Times New Roman" w:hAnsi="Times New Roman" w:cs="Times New Roman"/>
          <w:sz w:val="28"/>
          <w:szCs w:val="28"/>
        </w:rPr>
        <w:t>Ограничения существуют при специфических хирургических показаниях, онкологических и тяжелых психиатрических заболеваниях, когда возможно сопутствующее гомеопатическое лечение.</w:t>
      </w:r>
    </w:p>
    <w:p w:rsidR="005469F3" w:rsidRPr="00664911" w:rsidRDefault="005469F3" w:rsidP="005469F3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4911">
        <w:rPr>
          <w:rFonts w:ascii="Times New Roman" w:eastAsia="Times New Roman" w:hAnsi="Times New Roman" w:cs="Times New Roman"/>
          <w:sz w:val="28"/>
          <w:szCs w:val="28"/>
        </w:rPr>
        <w:t>Гомеопатия особенно показана в случаях, когда есть непереносимость или противопоказания к фармакотерапии. </w:t>
      </w:r>
    </w:p>
    <w:p w:rsidR="005469F3" w:rsidRPr="004C6F29" w:rsidRDefault="005469F3" w:rsidP="005469F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9F3" w:rsidRDefault="005469F3" w:rsidP="005469F3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F29">
        <w:rPr>
          <w:rFonts w:ascii="Times New Roman" w:hAnsi="Times New Roman" w:cs="Times New Roman"/>
          <w:color w:val="000000" w:themeColor="text1"/>
          <w:sz w:val="28"/>
          <w:szCs w:val="28"/>
        </w:rPr>
        <w:t>Гомеопатические лекарственные средства, которые представлены в аптеке:</w:t>
      </w:r>
    </w:p>
    <w:p w:rsidR="005469F3" w:rsidRPr="007A1F35" w:rsidRDefault="005469F3" w:rsidP="005469F3">
      <w:pPr>
        <w:pStyle w:val="a7"/>
        <w:numPr>
          <w:ilvl w:val="0"/>
          <w:numId w:val="2"/>
        </w:numPr>
        <w:suppressAutoHyphens/>
        <w:spacing w:before="120"/>
        <w:ind w:left="1797" w:hanging="357"/>
        <w:jc w:val="both"/>
        <w:rPr>
          <w:color w:val="000000" w:themeColor="text1"/>
          <w:sz w:val="28"/>
          <w:szCs w:val="28"/>
        </w:rPr>
      </w:pPr>
      <w:proofErr w:type="spellStart"/>
      <w:r w:rsidRPr="007A1F35">
        <w:rPr>
          <w:color w:val="000000" w:themeColor="text1"/>
          <w:sz w:val="28"/>
          <w:szCs w:val="28"/>
        </w:rPr>
        <w:t>Траумель</w:t>
      </w:r>
      <w:proofErr w:type="spellEnd"/>
      <w:proofErr w:type="gramStart"/>
      <w:r w:rsidRPr="007A1F35">
        <w:rPr>
          <w:color w:val="000000" w:themeColor="text1"/>
          <w:sz w:val="28"/>
          <w:szCs w:val="28"/>
        </w:rPr>
        <w:t xml:space="preserve"> С</w:t>
      </w:r>
      <w:proofErr w:type="gramEnd"/>
      <w:r w:rsidRPr="007A1F35">
        <w:rPr>
          <w:color w:val="000000" w:themeColor="text1"/>
          <w:sz w:val="28"/>
          <w:szCs w:val="28"/>
        </w:rPr>
        <w:t xml:space="preserve"> -</w:t>
      </w:r>
      <w:r w:rsidRPr="007A1F35">
        <w:rPr>
          <w:color w:val="000000"/>
          <w:sz w:val="28"/>
          <w:szCs w:val="28"/>
        </w:rPr>
        <w:t xml:space="preserve"> гомеопатический препарат, применяемый при </w:t>
      </w:r>
      <w:r w:rsidRPr="007A1F35">
        <w:rPr>
          <w:color w:val="222222"/>
          <w:sz w:val="28"/>
          <w:szCs w:val="28"/>
          <w:shd w:val="clear" w:color="auto" w:fill="FFFFFF"/>
        </w:rPr>
        <w:t>воспалительных заболеваний различных органов и тканей.</w:t>
      </w:r>
    </w:p>
    <w:p w:rsidR="005469F3" w:rsidRPr="007A1F35" w:rsidRDefault="005469F3" w:rsidP="005469F3">
      <w:pPr>
        <w:pStyle w:val="a7"/>
        <w:numPr>
          <w:ilvl w:val="0"/>
          <w:numId w:val="1"/>
        </w:numPr>
        <w:suppressAutoHyphens/>
        <w:spacing w:before="120"/>
        <w:ind w:left="1797" w:hanging="357"/>
        <w:jc w:val="both"/>
        <w:rPr>
          <w:color w:val="000000" w:themeColor="text1"/>
          <w:sz w:val="28"/>
          <w:szCs w:val="28"/>
        </w:rPr>
      </w:pPr>
      <w:proofErr w:type="spellStart"/>
      <w:r w:rsidRPr="007A1F35">
        <w:rPr>
          <w:color w:val="000000" w:themeColor="text1"/>
          <w:sz w:val="28"/>
          <w:szCs w:val="28"/>
        </w:rPr>
        <w:t>Гомеовокс</w:t>
      </w:r>
      <w:proofErr w:type="spellEnd"/>
      <w:r w:rsidRPr="007A1F35">
        <w:rPr>
          <w:color w:val="000000" w:themeColor="text1"/>
          <w:sz w:val="28"/>
          <w:szCs w:val="28"/>
        </w:rPr>
        <w:t xml:space="preserve"> - </w:t>
      </w:r>
      <w:r w:rsidRPr="007A1F35">
        <w:rPr>
          <w:color w:val="000000"/>
          <w:sz w:val="28"/>
          <w:szCs w:val="28"/>
        </w:rPr>
        <w:t>гомеопатический препарат, применяемый при потере голоса и усталости голосовых связок.</w:t>
      </w:r>
    </w:p>
    <w:p w:rsidR="005469F3" w:rsidRPr="007A1F35" w:rsidRDefault="005469F3" w:rsidP="005469F3">
      <w:pPr>
        <w:pStyle w:val="a7"/>
        <w:numPr>
          <w:ilvl w:val="0"/>
          <w:numId w:val="1"/>
        </w:numPr>
        <w:suppressAutoHyphens/>
        <w:spacing w:before="120"/>
        <w:ind w:left="1797" w:hanging="357"/>
        <w:jc w:val="both"/>
        <w:rPr>
          <w:color w:val="000000" w:themeColor="text1"/>
          <w:sz w:val="28"/>
          <w:szCs w:val="28"/>
        </w:rPr>
      </w:pPr>
      <w:proofErr w:type="spellStart"/>
      <w:r w:rsidRPr="007A1F35">
        <w:rPr>
          <w:color w:val="000000" w:themeColor="text1"/>
          <w:sz w:val="28"/>
          <w:szCs w:val="28"/>
        </w:rPr>
        <w:t>Дантинорм</w:t>
      </w:r>
      <w:proofErr w:type="spellEnd"/>
      <w:r w:rsidRPr="007A1F35">
        <w:rPr>
          <w:color w:val="000000" w:themeColor="text1"/>
          <w:sz w:val="28"/>
          <w:szCs w:val="28"/>
        </w:rPr>
        <w:t xml:space="preserve"> Бэби - </w:t>
      </w:r>
      <w:r w:rsidRPr="007A1F35">
        <w:rPr>
          <w:color w:val="000000"/>
          <w:sz w:val="28"/>
          <w:szCs w:val="28"/>
        </w:rPr>
        <w:t>гомеопатический препарат, применяемый при болезненном прорезывании зубов у детей.</w:t>
      </w:r>
    </w:p>
    <w:p w:rsidR="005469F3" w:rsidRPr="007A1F35" w:rsidRDefault="005469F3" w:rsidP="005469F3">
      <w:pPr>
        <w:pStyle w:val="a7"/>
        <w:numPr>
          <w:ilvl w:val="0"/>
          <w:numId w:val="1"/>
        </w:numPr>
        <w:suppressAutoHyphens/>
        <w:spacing w:before="120"/>
        <w:ind w:left="1797" w:hanging="357"/>
        <w:jc w:val="both"/>
        <w:rPr>
          <w:color w:val="000000" w:themeColor="text1"/>
          <w:sz w:val="28"/>
          <w:szCs w:val="28"/>
        </w:rPr>
      </w:pPr>
      <w:proofErr w:type="spellStart"/>
      <w:r w:rsidRPr="007A1F35">
        <w:rPr>
          <w:color w:val="000000" w:themeColor="text1"/>
          <w:sz w:val="28"/>
          <w:szCs w:val="28"/>
        </w:rPr>
        <w:t>Оциллококцинум</w:t>
      </w:r>
      <w:proofErr w:type="spellEnd"/>
      <w:r w:rsidRPr="007A1F35">
        <w:rPr>
          <w:color w:val="000000" w:themeColor="text1"/>
          <w:sz w:val="28"/>
          <w:szCs w:val="28"/>
        </w:rPr>
        <w:t xml:space="preserve"> -</w:t>
      </w:r>
      <w:r w:rsidRPr="007A1F35">
        <w:rPr>
          <w:color w:val="000000"/>
          <w:sz w:val="28"/>
          <w:szCs w:val="28"/>
        </w:rPr>
        <w:t xml:space="preserve"> гомеопатический препарат, применяемый при простудных заболеваниях.</w:t>
      </w:r>
    </w:p>
    <w:p w:rsidR="005469F3" w:rsidRPr="007A1F35" w:rsidRDefault="005469F3" w:rsidP="005469F3">
      <w:pPr>
        <w:pStyle w:val="a7"/>
        <w:numPr>
          <w:ilvl w:val="0"/>
          <w:numId w:val="1"/>
        </w:numPr>
        <w:suppressAutoHyphens/>
        <w:spacing w:before="120"/>
        <w:ind w:left="1797" w:hanging="357"/>
        <w:jc w:val="both"/>
        <w:rPr>
          <w:color w:val="000000" w:themeColor="text1"/>
          <w:sz w:val="28"/>
          <w:szCs w:val="28"/>
        </w:rPr>
      </w:pPr>
      <w:proofErr w:type="spellStart"/>
      <w:r w:rsidRPr="007A1F35">
        <w:rPr>
          <w:color w:val="000000" w:themeColor="text1"/>
          <w:sz w:val="28"/>
          <w:szCs w:val="28"/>
        </w:rPr>
        <w:t>Климактопан</w:t>
      </w:r>
      <w:proofErr w:type="spellEnd"/>
      <w:r w:rsidRPr="007A1F35">
        <w:rPr>
          <w:color w:val="000000" w:themeColor="text1"/>
          <w:sz w:val="28"/>
          <w:szCs w:val="28"/>
        </w:rPr>
        <w:t xml:space="preserve"> - </w:t>
      </w:r>
      <w:r w:rsidRPr="007A1F35">
        <w:rPr>
          <w:color w:val="000000"/>
          <w:sz w:val="28"/>
          <w:szCs w:val="28"/>
        </w:rPr>
        <w:t>гомеопатический препарат, применяемый при головокружении</w:t>
      </w:r>
      <w:proofErr w:type="gramStart"/>
      <w:r w:rsidRPr="007A1F35">
        <w:rPr>
          <w:color w:val="000000"/>
          <w:sz w:val="28"/>
          <w:szCs w:val="28"/>
        </w:rPr>
        <w:t xml:space="preserve"> ,</w:t>
      </w:r>
      <w:proofErr w:type="gramEnd"/>
      <w:r w:rsidRPr="007A1F35">
        <w:rPr>
          <w:color w:val="000000"/>
          <w:sz w:val="28"/>
          <w:szCs w:val="28"/>
        </w:rPr>
        <w:t>нарушении сна и нервных напряжениях.</w:t>
      </w:r>
    </w:p>
    <w:p w:rsidR="005469F3" w:rsidRPr="007A1F35" w:rsidRDefault="00E90089" w:rsidP="005469F3">
      <w:pPr>
        <w:pStyle w:val="a7"/>
        <w:numPr>
          <w:ilvl w:val="0"/>
          <w:numId w:val="2"/>
        </w:numPr>
        <w:suppressAutoHyphens/>
        <w:spacing w:before="120"/>
        <w:ind w:left="1797" w:hanging="35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Стодаль</w:t>
      </w:r>
      <w:proofErr w:type="spellEnd"/>
      <w:r>
        <w:rPr>
          <w:color w:val="000000" w:themeColor="text1"/>
          <w:sz w:val="28"/>
          <w:szCs w:val="28"/>
        </w:rPr>
        <w:t xml:space="preserve"> – препарат, применяемые при симпатическом лечении кашля различной этиологии.</w:t>
      </w:r>
      <w:proofErr w:type="gramEnd"/>
    </w:p>
    <w:p w:rsidR="005469F3" w:rsidRPr="007A1F35" w:rsidRDefault="005469F3" w:rsidP="005469F3">
      <w:pPr>
        <w:pStyle w:val="a7"/>
        <w:numPr>
          <w:ilvl w:val="0"/>
          <w:numId w:val="2"/>
        </w:numPr>
        <w:suppressAutoHyphens/>
        <w:spacing w:before="240"/>
        <w:jc w:val="both"/>
        <w:rPr>
          <w:color w:val="000000" w:themeColor="text1"/>
          <w:sz w:val="28"/>
          <w:szCs w:val="28"/>
        </w:rPr>
      </w:pPr>
      <w:proofErr w:type="spellStart"/>
      <w:r w:rsidRPr="007A1F35">
        <w:rPr>
          <w:color w:val="000000" w:themeColor="text1"/>
          <w:sz w:val="28"/>
          <w:szCs w:val="28"/>
        </w:rPr>
        <w:t>Гомеостресс</w:t>
      </w:r>
      <w:proofErr w:type="spellEnd"/>
      <w:r w:rsidRPr="007A1F35">
        <w:rPr>
          <w:color w:val="000000" w:themeColor="text1"/>
          <w:sz w:val="28"/>
          <w:szCs w:val="28"/>
        </w:rPr>
        <w:t xml:space="preserve"> -</w:t>
      </w:r>
      <w:r w:rsidRPr="007A1F35">
        <w:rPr>
          <w:color w:val="000000"/>
          <w:sz w:val="28"/>
          <w:szCs w:val="28"/>
        </w:rPr>
        <w:t xml:space="preserve"> гомеопатический препарат, применяемый при нарушении сна и расстройствах.</w:t>
      </w:r>
    </w:p>
    <w:p w:rsidR="005469F3" w:rsidRPr="0087444B" w:rsidRDefault="005469F3" w:rsidP="005469F3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7444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Pr="008744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Особенности маркировки гомеопатических ЛС в соответствии с ФЗ №61</w:t>
      </w:r>
      <w:proofErr w:type="gramStart"/>
      <w:r w:rsidRPr="008744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:</w:t>
      </w:r>
      <w:proofErr w:type="gramEnd"/>
      <w:r w:rsidRPr="008744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5469F3" w:rsidRPr="007A1F35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7A1F35">
        <w:rPr>
          <w:rFonts w:ascii="Times New Roman" w:eastAsia="Times New Roman" w:hAnsi="Times New Roman" w:cs="Times New Roman"/>
          <w:color w:val="000000"/>
          <w:sz w:val="28"/>
          <w:szCs w:val="28"/>
        </w:rPr>
        <w:t>1.На первичной упаковке хорошо читаемым шрифтом на русском языке указаны наименование гомеопатического препарата, номер серии, срок</w:t>
      </w:r>
    </w:p>
    <w:p w:rsidR="005469F3" w:rsidRPr="007A1F35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годности, дозировка или концентрация, объем, активность в единицах действия или количество доз. </w:t>
      </w:r>
    </w:p>
    <w:p w:rsidR="005469F3" w:rsidRPr="007A1F35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2.На вторичной (потребительской) упаковке хорошо читаемым шрифтом на русском языке указаны наименование гомеопатического препарата, наименование производителя, номер серии, срок годности, номер регистрационного удостоверения,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надписи, штриховой код.</w:t>
      </w:r>
    </w:p>
    <w:p w:rsidR="005469F3" w:rsidRPr="007A1F35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3.На вторичную (потребительскую) упаковку гомеопатических препаратов должна наноситься надпись: "Гомеопатический".</w:t>
      </w:r>
    </w:p>
    <w:p w:rsidR="005469F3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69F3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A0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A770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 хранения и гомеопатических л</w:t>
      </w:r>
      <w:r w:rsidRPr="00DA0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екарственных средств, реализация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 аптеки:</w:t>
      </w:r>
    </w:p>
    <w:p w:rsidR="005469F3" w:rsidRPr="00DA0678" w:rsidRDefault="005469F3" w:rsidP="00546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69F3" w:rsidRPr="00DA0678" w:rsidRDefault="005469F3" w:rsidP="005469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678">
        <w:rPr>
          <w:rFonts w:ascii="Times New Roman" w:eastAsia="Times New Roman" w:hAnsi="Times New Roman" w:cs="Times New Roman"/>
          <w:bCs/>
          <w:sz w:val="28"/>
          <w:szCs w:val="28"/>
        </w:rPr>
        <w:t>Хранятся гомеопатические средства в соответствие с инструкцией, данной производителем.</w:t>
      </w:r>
    </w:p>
    <w:p w:rsidR="005469F3" w:rsidRPr="00DA0678" w:rsidRDefault="005469F3" w:rsidP="005469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678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Хранят на отдельной полке с учетом их физико-химических свойств, при условиях, указанных предприятием – производителем, соблюдая режимы температуры, влажности и освещенности.</w:t>
      </w:r>
    </w:p>
    <w:p w:rsidR="005469F3" w:rsidRPr="00DA0678" w:rsidRDefault="005469F3" w:rsidP="005469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6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Реализация гомеопатических лекарственных средств из аптеки осуществляется только в потребительской упаковке по требованию покупателя без рецепта, кроме парентеральных гомеопатических лекарственных средств.</w:t>
      </w:r>
    </w:p>
    <w:p w:rsidR="005469F3" w:rsidRPr="0087444B" w:rsidRDefault="005469F3" w:rsidP="00546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6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 допускается отпуск гомеопатических лекарственных средств не прошедших государственную регистрацию; отсутствие удостоверения о качестве и безопасности; не соответствие санитарным правилам и нормам; с истекшим сроком годности; при отсутствии надлежащих условий реализации; отсутствие на этикетке информации, наносимой в соответствии с требованиями действующего законодательства.</w:t>
      </w:r>
    </w:p>
    <w:p w:rsidR="005469F3" w:rsidRPr="0087444B" w:rsidRDefault="005469F3" w:rsidP="0054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4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реализации гомеопатических препаратов:</w:t>
      </w:r>
    </w:p>
    <w:p w:rsidR="005469F3" w:rsidRPr="00E567BB" w:rsidRDefault="005469F3" w:rsidP="00546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78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приказу МЗ РФ от 29.11.95. №335 «Об использовании метода гомеопатии в практическом здравоохранении» приведены </w:t>
      </w:r>
      <w:r w:rsidRPr="0087444B">
        <w:rPr>
          <w:rFonts w:ascii="Times New Roman" w:eastAsia="Times New Roman" w:hAnsi="Times New Roman" w:cs="Times New Roman"/>
          <w:sz w:val="28"/>
          <w:szCs w:val="28"/>
        </w:rPr>
        <w:t>правила отпуска гомеопатических ЛС:</w:t>
      </w:r>
    </w:p>
    <w:p w:rsidR="005469F3" w:rsidRPr="00DA0678" w:rsidRDefault="005469F3" w:rsidP="005469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1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4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A0678">
        <w:rPr>
          <w:rFonts w:ascii="Times New Roman" w:eastAsia="Times New Roman" w:hAnsi="Times New Roman" w:cs="Times New Roman"/>
          <w:sz w:val="28"/>
          <w:szCs w:val="28"/>
        </w:rPr>
        <w:t>Без рецепта отпускаются комплексные гомеопатические средства с показаниями для применения и простые (однокомпонентные) препараты по утвержденной МЗ номенклатуре.</w:t>
      </w:r>
    </w:p>
    <w:p w:rsidR="005469F3" w:rsidRDefault="005469F3" w:rsidP="005469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2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A0678">
        <w:rPr>
          <w:rFonts w:ascii="Times New Roman" w:eastAsia="Times New Roman" w:hAnsi="Times New Roman" w:cs="Times New Roman"/>
          <w:sz w:val="28"/>
          <w:szCs w:val="28"/>
        </w:rPr>
        <w:t xml:space="preserve">По рецепту отпускаются простые (однокомпонентные) </w:t>
      </w:r>
      <w:proofErr w:type="gramStart"/>
      <w:r w:rsidRPr="00DA0678">
        <w:rPr>
          <w:rFonts w:ascii="Times New Roman" w:eastAsia="Times New Roman" w:hAnsi="Times New Roman" w:cs="Times New Roman"/>
          <w:sz w:val="28"/>
          <w:szCs w:val="28"/>
        </w:rPr>
        <w:t xml:space="preserve">препараты, внесенные в список А.В соответствии с приказом основные гомеопатические </w:t>
      </w:r>
      <w:r w:rsidRPr="00DA0678">
        <w:rPr>
          <w:rFonts w:ascii="Times New Roman" w:eastAsia="Times New Roman" w:hAnsi="Times New Roman" w:cs="Times New Roman"/>
          <w:sz w:val="28"/>
          <w:szCs w:val="28"/>
        </w:rPr>
        <w:lastRenderedPageBreak/>
        <w:t>ЛС отпускаются</w:t>
      </w:r>
      <w:proofErr w:type="gramEnd"/>
      <w:r w:rsidRPr="00DA0678">
        <w:rPr>
          <w:rFonts w:ascii="Times New Roman" w:eastAsia="Times New Roman" w:hAnsi="Times New Roman" w:cs="Times New Roman"/>
          <w:sz w:val="28"/>
          <w:szCs w:val="28"/>
        </w:rPr>
        <w:t xml:space="preserve"> без рецепта врача за исключение инъекционных форм, на что есть особое указание в соответствующих инструкциях по применения этих препаратов. В этом приказе приведен список</w:t>
      </w:r>
      <w:proofErr w:type="gramStart"/>
      <w:r w:rsidRPr="00DA067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A0678">
        <w:rPr>
          <w:rFonts w:ascii="Times New Roman" w:eastAsia="Times New Roman" w:hAnsi="Times New Roman" w:cs="Times New Roman"/>
          <w:sz w:val="28"/>
          <w:szCs w:val="28"/>
        </w:rPr>
        <w:t xml:space="preserve"> ядовитых веществ (субстанций), их </w:t>
      </w:r>
      <w:proofErr w:type="spellStart"/>
      <w:r w:rsidRPr="00DA0678">
        <w:rPr>
          <w:rFonts w:ascii="Times New Roman" w:eastAsia="Times New Roman" w:hAnsi="Times New Roman" w:cs="Times New Roman"/>
          <w:sz w:val="28"/>
          <w:szCs w:val="28"/>
        </w:rPr>
        <w:t>тритураций</w:t>
      </w:r>
      <w:proofErr w:type="spellEnd"/>
      <w:r w:rsidRPr="00DA0678">
        <w:rPr>
          <w:rFonts w:ascii="Times New Roman" w:eastAsia="Times New Roman" w:hAnsi="Times New Roman" w:cs="Times New Roman"/>
          <w:sz w:val="28"/>
          <w:szCs w:val="28"/>
        </w:rPr>
        <w:t xml:space="preserve"> и растворов, применяемых в гомеопатии, которые должны храниться в отдельном шкафу (помещении) и под замком.</w:t>
      </w:r>
    </w:p>
    <w:p w:rsidR="0007704C" w:rsidRPr="004C6F29" w:rsidRDefault="0007704C" w:rsidP="000770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Оценка: 3</w:t>
      </w:r>
    </w:p>
    <w:p w:rsidR="005469F3" w:rsidRPr="004C6F29" w:rsidRDefault="005469F3" w:rsidP="00546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F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74B61" w:rsidRDefault="005469F3" w:rsidP="005469F3">
      <w:r w:rsidRPr="004C6F29">
        <w:rPr>
          <w:i/>
          <w:color w:val="000000" w:themeColor="text1"/>
          <w:szCs w:val="28"/>
        </w:rPr>
        <w:lastRenderedPageBreak/>
        <w:br w:type="page"/>
      </w:r>
    </w:p>
    <w:sectPr w:rsidR="00274B61" w:rsidSect="0027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0F13"/>
    <w:multiLevelType w:val="hybridMultilevel"/>
    <w:tmpl w:val="64882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067995"/>
    <w:multiLevelType w:val="hybridMultilevel"/>
    <w:tmpl w:val="8BF0F1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F3"/>
    <w:rsid w:val="0007704C"/>
    <w:rsid w:val="000F607B"/>
    <w:rsid w:val="00274B61"/>
    <w:rsid w:val="005469F3"/>
    <w:rsid w:val="00731B98"/>
    <w:rsid w:val="00977E00"/>
    <w:rsid w:val="00B0094C"/>
    <w:rsid w:val="00C75E54"/>
    <w:rsid w:val="00E90089"/>
    <w:rsid w:val="00E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69F3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6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5469F3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469F3"/>
    <w:rPr>
      <w:b/>
      <w:bCs/>
    </w:rPr>
  </w:style>
  <w:style w:type="character" w:styleId="a6">
    <w:name w:val="Hyperlink"/>
    <w:uiPriority w:val="99"/>
    <w:rsid w:val="005469F3"/>
    <w:rPr>
      <w:rFonts w:cs="Times New Roman"/>
      <w:color w:val="0066CC"/>
      <w:u w:val="single"/>
    </w:rPr>
  </w:style>
  <w:style w:type="paragraph" w:styleId="a7">
    <w:name w:val="List Paragraph"/>
    <w:basedOn w:val="a"/>
    <w:uiPriority w:val="34"/>
    <w:qFormat/>
    <w:rsid w:val="005469F3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0%D0%BD%D0%B5%D0%BC%D0%B0%D0%BD,_%D0%A5%D1%80%D0%B8%D1%81%D1%82%D0%B8%D0%B0%D0%BD_%D0%A4%D1%80%D0%B8%D0%B4%D1%80%D0%B8%D1%85_%D0%A1%D0%B0%D0%BC%D1%83%D1%8D%D0%BB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FA67-6C3A-4731-AA36-D6D7BCF2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2020-05-18T10:10:00Z</dcterms:created>
  <dcterms:modified xsi:type="dcterms:W3CDTF">2020-05-26T09:26:00Z</dcterms:modified>
</cp:coreProperties>
</file>