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CDDD" w14:textId="77777777" w:rsidR="00011325" w:rsidRPr="00011325" w:rsidRDefault="00011325" w:rsidP="00011325">
      <w:pPr>
        <w:pStyle w:val="a5"/>
        <w:spacing w:line="360" w:lineRule="auto"/>
        <w:jc w:val="center"/>
      </w:pPr>
      <w:r w:rsidRPr="00011325"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45CF5DDE" w14:textId="77777777" w:rsidR="00011325" w:rsidRPr="00011325" w:rsidRDefault="00011325" w:rsidP="00011325">
      <w:pPr>
        <w:pStyle w:val="a5"/>
        <w:jc w:val="center"/>
      </w:pPr>
    </w:p>
    <w:p w14:paraId="3F50EB89" w14:textId="77777777" w:rsidR="00011325" w:rsidRPr="00011325" w:rsidRDefault="00011325" w:rsidP="00011325">
      <w:pPr>
        <w:pStyle w:val="a5"/>
        <w:jc w:val="center"/>
      </w:pPr>
      <w:r w:rsidRPr="00011325">
        <w:t>Кафедра терапии ИПО</w:t>
      </w:r>
    </w:p>
    <w:p w14:paraId="1E68B11A" w14:textId="77777777" w:rsidR="00011325" w:rsidRPr="00011325" w:rsidRDefault="00011325" w:rsidP="00011325">
      <w:pPr>
        <w:pStyle w:val="a5"/>
        <w:jc w:val="center"/>
      </w:pPr>
      <w:r w:rsidRPr="00011325">
        <w:t xml:space="preserve">Заведующий кафедрой: д.м.н., профессор </w:t>
      </w:r>
      <w:proofErr w:type="spellStart"/>
      <w:r w:rsidRPr="00011325">
        <w:t>Гринштейн</w:t>
      </w:r>
      <w:proofErr w:type="spellEnd"/>
      <w:r w:rsidRPr="00011325">
        <w:t xml:space="preserve"> Юрий Исаевич</w:t>
      </w:r>
    </w:p>
    <w:p w14:paraId="315EED1E" w14:textId="77777777" w:rsidR="00011325" w:rsidRPr="00011325" w:rsidRDefault="00011325" w:rsidP="00011325">
      <w:pPr>
        <w:pStyle w:val="a5"/>
        <w:jc w:val="center"/>
      </w:pPr>
      <w:r w:rsidRPr="00011325">
        <w:t>РЕФЕРАТ</w:t>
      </w:r>
    </w:p>
    <w:p w14:paraId="21BB53FE" w14:textId="77777777" w:rsidR="00011325" w:rsidRPr="00011325" w:rsidRDefault="00011325" w:rsidP="00011325">
      <w:pPr>
        <w:pStyle w:val="a5"/>
        <w:jc w:val="center"/>
      </w:pPr>
    </w:p>
    <w:p w14:paraId="2A9204AD" w14:textId="75CBB7F2" w:rsidR="00011325" w:rsidRPr="00011325" w:rsidRDefault="00011325" w:rsidP="00011325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Тема: «Диагностика и лечение синдрома раздраженного кишечника»</w:t>
      </w:r>
    </w:p>
    <w:p w14:paraId="3ECA2CAD" w14:textId="77777777" w:rsidR="00011325" w:rsidRPr="00011325" w:rsidRDefault="00011325" w:rsidP="00011325">
      <w:pPr>
        <w:pStyle w:val="a5"/>
        <w:jc w:val="center"/>
      </w:pPr>
      <w:r w:rsidRPr="00011325">
        <w:t xml:space="preserve"> </w:t>
      </w:r>
    </w:p>
    <w:p w14:paraId="6D20BBCA" w14:textId="77777777" w:rsidR="00011325" w:rsidRPr="00011325" w:rsidRDefault="00011325" w:rsidP="00011325">
      <w:pPr>
        <w:pStyle w:val="a5"/>
        <w:jc w:val="center"/>
      </w:pPr>
    </w:p>
    <w:p w14:paraId="1BD13783" w14:textId="77777777" w:rsidR="00011325" w:rsidRPr="00011325" w:rsidRDefault="00011325" w:rsidP="00011325">
      <w:pPr>
        <w:pStyle w:val="a5"/>
        <w:jc w:val="center"/>
      </w:pPr>
    </w:p>
    <w:p w14:paraId="444B4B45" w14:textId="77777777" w:rsidR="00011325" w:rsidRPr="00011325" w:rsidRDefault="00011325" w:rsidP="00011325">
      <w:pPr>
        <w:pStyle w:val="a5"/>
        <w:jc w:val="center"/>
      </w:pPr>
      <w:r w:rsidRPr="00011325">
        <w:t xml:space="preserve">                                                   Выполнил: ординатор 1 года 111 группы кафедры Терапия ИПО </w:t>
      </w:r>
      <w:proofErr w:type="spellStart"/>
      <w:r w:rsidRPr="00011325">
        <w:t>Борчикова</w:t>
      </w:r>
      <w:proofErr w:type="spellEnd"/>
      <w:r w:rsidRPr="00011325">
        <w:t xml:space="preserve"> Татьяна Владимировна</w:t>
      </w:r>
    </w:p>
    <w:p w14:paraId="17937621" w14:textId="77777777" w:rsidR="00011325" w:rsidRPr="00011325" w:rsidRDefault="00011325" w:rsidP="00011325">
      <w:pPr>
        <w:pStyle w:val="a5"/>
        <w:jc w:val="center"/>
      </w:pPr>
    </w:p>
    <w:p w14:paraId="0F277E39" w14:textId="77777777" w:rsidR="00011325" w:rsidRPr="00011325" w:rsidRDefault="00011325" w:rsidP="00011325">
      <w:pPr>
        <w:pStyle w:val="a5"/>
        <w:jc w:val="center"/>
      </w:pPr>
      <w:r w:rsidRPr="00011325">
        <w:t xml:space="preserve">                                                Проверил: КМН, Доцент кафедры Терапия ИПО Бойкова Ольга Анатольевна</w:t>
      </w:r>
    </w:p>
    <w:p w14:paraId="792206F4" w14:textId="77777777" w:rsidR="00011325" w:rsidRPr="00011325" w:rsidRDefault="00011325" w:rsidP="00011325">
      <w:pPr>
        <w:pStyle w:val="a5"/>
        <w:jc w:val="center"/>
      </w:pPr>
    </w:p>
    <w:p w14:paraId="2971ABF6" w14:textId="77777777" w:rsidR="00011325" w:rsidRPr="00011325" w:rsidRDefault="00011325" w:rsidP="00011325">
      <w:pPr>
        <w:pStyle w:val="a5"/>
        <w:jc w:val="center"/>
      </w:pPr>
    </w:p>
    <w:p w14:paraId="67E37FE4" w14:textId="77777777" w:rsidR="00011325" w:rsidRPr="00011325" w:rsidRDefault="00011325" w:rsidP="00011325">
      <w:pPr>
        <w:pStyle w:val="a5"/>
      </w:pPr>
    </w:p>
    <w:p w14:paraId="1DAE2C9D" w14:textId="77777777" w:rsidR="00011325" w:rsidRPr="00011325" w:rsidRDefault="00011325" w:rsidP="00011325">
      <w:pPr>
        <w:pStyle w:val="a5"/>
        <w:jc w:val="center"/>
      </w:pPr>
    </w:p>
    <w:p w14:paraId="3DF25442" w14:textId="77777777" w:rsidR="00011325" w:rsidRPr="00011325" w:rsidRDefault="00011325" w:rsidP="00011325">
      <w:pPr>
        <w:pStyle w:val="a5"/>
        <w:jc w:val="center"/>
      </w:pPr>
    </w:p>
    <w:p w14:paraId="14973DEC" w14:textId="77777777" w:rsidR="00011325" w:rsidRPr="00011325" w:rsidRDefault="00011325" w:rsidP="00011325">
      <w:pPr>
        <w:pStyle w:val="a5"/>
        <w:jc w:val="center"/>
      </w:pPr>
      <w:r w:rsidRPr="00011325">
        <w:t>Красноярск 2023</w:t>
      </w:r>
    </w:p>
    <w:p w14:paraId="092F4754" w14:textId="77777777" w:rsidR="00011325" w:rsidRPr="00011325" w:rsidRDefault="00011325" w:rsidP="00011325">
      <w:pPr>
        <w:rPr>
          <w:rFonts w:ascii="Times New Roman" w:hAnsi="Times New Roman" w:cs="Times New Roman"/>
          <w:sz w:val="24"/>
          <w:szCs w:val="24"/>
        </w:rPr>
        <w:sectPr w:rsidR="00011325" w:rsidRPr="000113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850" w:bottom="1134" w:left="1701" w:header="720" w:footer="720" w:gutter="0"/>
          <w:cols w:space="720"/>
        </w:sectPr>
      </w:pPr>
    </w:p>
    <w:p w14:paraId="75D004A7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11325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Оглавление </w:t>
      </w:r>
    </w:p>
    <w:p w14:paraId="484F8223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11325">
        <w:rPr>
          <w:rFonts w:ascii="Times New Roman" w:hAnsi="Times New Roman" w:cs="Times New Roman"/>
          <w:kern w:val="36"/>
          <w:sz w:val="24"/>
          <w:szCs w:val="24"/>
        </w:rPr>
        <w:t>Введение……………………………………………………………………………</w:t>
      </w:r>
      <w:proofErr w:type="gramStart"/>
      <w:r w:rsidRPr="00011325">
        <w:rPr>
          <w:rFonts w:ascii="Times New Roman" w:hAnsi="Times New Roman" w:cs="Times New Roman"/>
          <w:kern w:val="36"/>
          <w:sz w:val="24"/>
          <w:szCs w:val="24"/>
        </w:rPr>
        <w:t>…….</w:t>
      </w:r>
      <w:proofErr w:type="gramEnd"/>
      <w:r w:rsidRPr="00011325">
        <w:rPr>
          <w:rFonts w:ascii="Times New Roman" w:hAnsi="Times New Roman" w:cs="Times New Roman"/>
          <w:kern w:val="36"/>
          <w:sz w:val="24"/>
          <w:szCs w:val="24"/>
        </w:rPr>
        <w:t>3</w:t>
      </w:r>
    </w:p>
    <w:p w14:paraId="2D406224" w14:textId="7654C2C0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11325">
        <w:rPr>
          <w:rFonts w:ascii="Times New Roman" w:hAnsi="Times New Roman" w:cs="Times New Roman"/>
          <w:kern w:val="36"/>
          <w:sz w:val="24"/>
          <w:szCs w:val="24"/>
        </w:rPr>
        <w:t xml:space="preserve">Классификация </w:t>
      </w:r>
      <w:r>
        <w:rPr>
          <w:rFonts w:ascii="Times New Roman" w:hAnsi="Times New Roman" w:cs="Times New Roman"/>
          <w:kern w:val="36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</w:rPr>
        <w:t>…….</w:t>
      </w:r>
      <w:proofErr w:type="gramEnd"/>
      <w:r w:rsidRPr="00011325">
        <w:rPr>
          <w:rFonts w:ascii="Times New Roman" w:hAnsi="Times New Roman" w:cs="Times New Roman"/>
          <w:kern w:val="36"/>
          <w:sz w:val="24"/>
          <w:szCs w:val="24"/>
        </w:rPr>
        <w:t>………....……………………………………………3</w:t>
      </w:r>
    </w:p>
    <w:p w14:paraId="1A01C85C" w14:textId="2B3CAD92" w:rsidR="00011325" w:rsidRPr="00011325" w:rsidRDefault="00B53231" w:rsidP="000113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и д</w:t>
      </w:r>
      <w:r w:rsidR="00011325" w:rsidRPr="00011325">
        <w:rPr>
          <w:rFonts w:ascii="Times New Roman" w:hAnsi="Times New Roman" w:cs="Times New Roman"/>
          <w:sz w:val="24"/>
          <w:szCs w:val="24"/>
        </w:rPr>
        <w:t>иагностика</w:t>
      </w:r>
      <w:r w:rsidR="00011325">
        <w:rPr>
          <w:rFonts w:ascii="Times New Roman" w:hAnsi="Times New Roman" w:cs="Times New Roman"/>
          <w:sz w:val="24"/>
          <w:szCs w:val="24"/>
        </w:rPr>
        <w:t xml:space="preserve"> </w:t>
      </w:r>
      <w:r w:rsidR="00011325" w:rsidRPr="0001132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011325" w:rsidRPr="00011325">
        <w:rPr>
          <w:rFonts w:ascii="Times New Roman" w:hAnsi="Times New Roman" w:cs="Times New Roman"/>
          <w:sz w:val="24"/>
          <w:szCs w:val="24"/>
        </w:rPr>
        <w:t>…</w:t>
      </w:r>
      <w:r w:rsidR="000113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1325" w:rsidRPr="00011325">
        <w:rPr>
          <w:rFonts w:ascii="Times New Roman" w:hAnsi="Times New Roman" w:cs="Times New Roman"/>
          <w:sz w:val="24"/>
          <w:szCs w:val="24"/>
        </w:rPr>
        <w:t>……......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8011E8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011325" w:rsidRPr="00011325">
        <w:rPr>
          <w:rFonts w:ascii="Times New Roman" w:hAnsi="Times New Roman" w:cs="Times New Roman"/>
          <w:sz w:val="24"/>
          <w:szCs w:val="24"/>
        </w:rPr>
        <w:t>...…</w:t>
      </w:r>
      <w:r w:rsidR="008011E8">
        <w:rPr>
          <w:rFonts w:ascii="Times New Roman" w:hAnsi="Times New Roman" w:cs="Times New Roman"/>
          <w:sz w:val="24"/>
          <w:szCs w:val="24"/>
        </w:rPr>
        <w:t>4</w:t>
      </w:r>
    </w:p>
    <w:p w14:paraId="51703DA0" w14:textId="6E3E01FF" w:rsidR="00011325" w:rsidRPr="00011325" w:rsidRDefault="00B53231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Дифференциальный диагноз</w:t>
      </w:r>
      <w:r w:rsidR="00011325" w:rsidRPr="00011325">
        <w:rPr>
          <w:rFonts w:ascii="Times New Roman" w:hAnsi="Times New Roman" w:cs="Times New Roman"/>
          <w:kern w:val="36"/>
          <w:sz w:val="24"/>
          <w:szCs w:val="24"/>
        </w:rPr>
        <w:t>……………………</w:t>
      </w:r>
      <w:proofErr w:type="gramStart"/>
      <w:r w:rsidR="00011325" w:rsidRPr="00011325">
        <w:rPr>
          <w:rFonts w:ascii="Times New Roman" w:hAnsi="Times New Roman" w:cs="Times New Roman"/>
          <w:kern w:val="36"/>
          <w:sz w:val="24"/>
          <w:szCs w:val="24"/>
        </w:rPr>
        <w:t>…….</w:t>
      </w:r>
      <w:proofErr w:type="gramEnd"/>
      <w:r w:rsidR="00011325" w:rsidRPr="00011325">
        <w:rPr>
          <w:rFonts w:ascii="Times New Roman" w:hAnsi="Times New Roman" w:cs="Times New Roman"/>
          <w:kern w:val="36"/>
          <w:sz w:val="24"/>
          <w:szCs w:val="24"/>
        </w:rPr>
        <w:t>.………………………….….....</w:t>
      </w:r>
      <w:r w:rsidR="008011E8">
        <w:rPr>
          <w:rFonts w:ascii="Times New Roman" w:hAnsi="Times New Roman" w:cs="Times New Roman"/>
          <w:kern w:val="36"/>
          <w:sz w:val="24"/>
          <w:szCs w:val="24"/>
        </w:rPr>
        <w:t>5</w:t>
      </w:r>
      <w:r w:rsidR="00011325" w:rsidRPr="0001132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14:paraId="59F8F28C" w14:textId="5296846A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Лечение</w:t>
      </w:r>
      <w:proofErr w:type="gramStart"/>
      <w:r w:rsidRPr="000113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13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</w:t>
      </w:r>
      <w:r w:rsidR="008011E8">
        <w:rPr>
          <w:rFonts w:ascii="Times New Roman" w:hAnsi="Times New Roman" w:cs="Times New Roman"/>
          <w:sz w:val="24"/>
          <w:szCs w:val="24"/>
        </w:rPr>
        <w:t>..6</w:t>
      </w:r>
    </w:p>
    <w:p w14:paraId="7C230700" w14:textId="2C48DC22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Выводы………………………………………………………………………</w:t>
      </w:r>
      <w:proofErr w:type="gramStart"/>
      <w:r w:rsidRPr="000113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1325">
        <w:rPr>
          <w:rFonts w:ascii="Times New Roman" w:hAnsi="Times New Roman" w:cs="Times New Roman"/>
          <w:sz w:val="24"/>
          <w:szCs w:val="24"/>
        </w:rPr>
        <w:t>…</w:t>
      </w:r>
      <w:r w:rsidR="008011E8">
        <w:rPr>
          <w:rFonts w:ascii="Times New Roman" w:hAnsi="Times New Roman" w:cs="Times New Roman"/>
          <w:sz w:val="24"/>
          <w:szCs w:val="24"/>
        </w:rPr>
        <w:t>….8</w:t>
      </w:r>
      <w:r w:rsidRPr="00011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0983D" w14:textId="230A14B4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</w:t>
      </w:r>
      <w:proofErr w:type="gramStart"/>
      <w:r w:rsidRPr="000113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1325">
        <w:rPr>
          <w:rFonts w:ascii="Times New Roman" w:hAnsi="Times New Roman" w:cs="Times New Roman"/>
          <w:sz w:val="24"/>
          <w:szCs w:val="24"/>
        </w:rPr>
        <w:t>.…...</w:t>
      </w:r>
      <w:r w:rsidR="008011E8">
        <w:rPr>
          <w:rFonts w:ascii="Times New Roman" w:hAnsi="Times New Roman" w:cs="Times New Roman"/>
          <w:sz w:val="24"/>
          <w:szCs w:val="24"/>
        </w:rPr>
        <w:t>.....9</w:t>
      </w:r>
    </w:p>
    <w:p w14:paraId="6B6D4522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02158C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0180CA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5DB6928F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4021553C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59CFBE1B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1132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14:paraId="11BCED73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17EE0DE0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22970D96" w14:textId="77777777" w:rsidR="00011325" w:rsidRP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17F10AB6" w14:textId="03DA87AF" w:rsidR="00011325" w:rsidRDefault="00011325" w:rsidP="00011325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7193F413" w14:textId="5407833F" w:rsidR="00011325" w:rsidRDefault="00011325" w:rsidP="00011325"/>
    <w:p w14:paraId="3F42FBF3" w14:textId="07C880FB" w:rsidR="00011325" w:rsidRDefault="00011325" w:rsidP="00011325"/>
    <w:p w14:paraId="3208DFA5" w14:textId="19789B34" w:rsidR="00011325" w:rsidRDefault="00011325" w:rsidP="00011325"/>
    <w:p w14:paraId="42E6E0B3" w14:textId="2E46FF75" w:rsidR="00011325" w:rsidRDefault="00011325" w:rsidP="00011325"/>
    <w:p w14:paraId="74C2E977" w14:textId="427F4A61" w:rsidR="00011325" w:rsidRDefault="00011325" w:rsidP="00011325"/>
    <w:p w14:paraId="2855398A" w14:textId="77777777" w:rsidR="00C42FE2" w:rsidRDefault="00C42FE2" w:rsidP="00011325"/>
    <w:p w14:paraId="23E2A9E2" w14:textId="0F816CB4" w:rsidR="00011325" w:rsidRPr="00011325" w:rsidRDefault="00011325" w:rsidP="00011325">
      <w:pPr>
        <w:pStyle w:val="1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4AA4C8A6" w14:textId="77777777" w:rsid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3B0EA" w14:textId="670700E2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3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F8A545" w14:textId="77777777" w:rsid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A44BD" w14:textId="16E901D7" w:rsid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СРК составляет часть большой группы функциональной патологии ЖКТ и служит своеобразным «эталоном» для понимания патогенетической сути функциональных заболеваний органов пищеварения, поскольку является наиболее изученной и распространённой патологией. Заболевание наносит большой экономический ущерб обществу по прямым показателям затрат на медицинское обслуживание и лечение и по показатели непрямой деятельности. Глобальная распространенность СРК составляет 11,2% (мета-анализ 80 исследований с участием 260 960 пациентов), распространенность выше: среди женщин, чем среди мужчин; у более молодых людей, чем у лиц старше 50 лет.</w:t>
      </w:r>
    </w:p>
    <w:p w14:paraId="03F84A4F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BF1E1" w14:textId="5910728A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Классификация.</w:t>
      </w:r>
    </w:p>
    <w:p w14:paraId="7ADB422A" w14:textId="77777777" w:rsidR="00011325" w:rsidRPr="00011325" w:rsidRDefault="00011325" w:rsidP="00011325">
      <w:p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64828" w14:textId="7D65432C" w:rsidR="00011325" w:rsidRPr="00011325" w:rsidRDefault="00011325" w:rsidP="0001132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28B0CF5" w14:textId="46598E5D" w:rsid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СРК - </w:t>
      </w:r>
      <w:r w:rsidRPr="00011325">
        <w:rPr>
          <w:rFonts w:ascii="Times New Roman" w:hAnsi="Times New Roman" w:cs="Times New Roman"/>
          <w:bCs/>
          <w:sz w:val="24"/>
          <w:szCs w:val="24"/>
        </w:rPr>
        <w:t>функциональное расстройство кишечника, проявляющееся рецидивирующими болями в животе, которые возникают, по меньшей мере, 1 раз в неделю и характеризуются следующими признаками (двумя или более): связаны с дефекацией; связаны с изменением частоты последней; связаны с изменением формы (внешнего вида) стула. Эти признаки должны отмечаться у больного последние 3 месяца при общей продолжительности не менее 6 месяцев (</w:t>
      </w:r>
      <w:r w:rsidRPr="00011325">
        <w:rPr>
          <w:rFonts w:ascii="Times New Roman" w:hAnsi="Times New Roman" w:cs="Times New Roman"/>
          <w:bCs/>
          <w:i/>
          <w:sz w:val="24"/>
          <w:szCs w:val="24"/>
        </w:rPr>
        <w:t>Римские критерии функциональных расстройств ЖКТ, IV пересмотра, 2016г).</w:t>
      </w:r>
    </w:p>
    <w:p w14:paraId="74B754FB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B287AD4" w14:textId="38442129" w:rsidR="00011325" w:rsidRPr="00B53231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231">
        <w:rPr>
          <w:rFonts w:ascii="Times New Roman" w:hAnsi="Times New Roman" w:cs="Times New Roman"/>
          <w:sz w:val="24"/>
          <w:szCs w:val="24"/>
        </w:rPr>
        <w:t>Этиология, патогенез и факторы риска.</w:t>
      </w:r>
    </w:p>
    <w:p w14:paraId="3B9E6370" w14:textId="77777777" w:rsid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CF876" w14:textId="12B9C0DC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325">
        <w:rPr>
          <w:rFonts w:ascii="Times New Roman" w:hAnsi="Times New Roman" w:cs="Times New Roman"/>
          <w:sz w:val="24"/>
          <w:szCs w:val="24"/>
        </w:rPr>
        <w:t xml:space="preserve">Выделяют факторы, которые повышают риск развития СРК (генетические, экологические и социально-психологические); факторы, которые вызывают возникновение или обострение симптомов СРК (пищевая непереносимость, хронический стресс,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дивертикулит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, хирургическое вмешательство). Патофизиологические механизмы: измененная моторика ЖКТ, изменение состава кишечной микрофлоры, повышенная проницаемость кишечника, активации иммунной системы с повышением количества Т-лимфоцитов, тучных клеток в слизистой оболочке кишки и уровня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провоспалительных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цитокинов, нарушение регуляции со стороны ЦНС. Все эти механизмы приводят к формированию главного патогенетического звена СРК - </w:t>
      </w:r>
      <w:r w:rsidRPr="00011325">
        <w:rPr>
          <w:rFonts w:ascii="Times New Roman" w:hAnsi="Times New Roman" w:cs="Times New Roman"/>
          <w:i/>
          <w:sz w:val="24"/>
          <w:szCs w:val="24"/>
        </w:rPr>
        <w:t>висцеральной гиперчувствительности (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гипералгезия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), приводящей к развитию болевого синдрома в ответ на минимальные раздражители. </w:t>
      </w:r>
    </w:p>
    <w:p w14:paraId="54547818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01785" w14:textId="77777777" w:rsidR="00011325" w:rsidRPr="00011325" w:rsidRDefault="00011325" w:rsidP="00011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и диагностика</w:t>
      </w:r>
    </w:p>
    <w:p w14:paraId="7DE32B3F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011325">
        <w:rPr>
          <w:rFonts w:ascii="Times New Roman" w:hAnsi="Times New Roman" w:cs="Times New Roman"/>
          <w:bCs/>
          <w:sz w:val="24"/>
          <w:szCs w:val="24"/>
        </w:rPr>
        <w:t>МКБ-10 выделяет</w:t>
      </w: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325">
        <w:rPr>
          <w:rFonts w:ascii="Times New Roman" w:hAnsi="Times New Roman" w:cs="Times New Roman"/>
          <w:sz w:val="24"/>
          <w:szCs w:val="24"/>
        </w:rPr>
        <w:t>Синдром раздраженного кишечника (K58), Синдром раздражённого кишечника с диареей (</w:t>
      </w:r>
      <w:r w:rsidRPr="0001132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11325">
        <w:rPr>
          <w:rFonts w:ascii="Times New Roman" w:hAnsi="Times New Roman" w:cs="Times New Roman"/>
          <w:sz w:val="24"/>
          <w:szCs w:val="24"/>
        </w:rPr>
        <w:t xml:space="preserve"> 58.0), </w:t>
      </w:r>
      <w:r w:rsidRPr="00011325">
        <w:rPr>
          <w:rFonts w:ascii="Times New Roman" w:hAnsi="Times New Roman" w:cs="Times New Roman"/>
          <w:spacing w:val="-1"/>
          <w:sz w:val="24"/>
          <w:szCs w:val="24"/>
        </w:rPr>
        <w:t>Синдром раздражённого кишечника без диареи (58.9).</w:t>
      </w:r>
    </w:p>
    <w:p w14:paraId="0EFEF93D" w14:textId="77777777" w:rsidR="00011325" w:rsidRPr="00011325" w:rsidRDefault="00011325" w:rsidP="00011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1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Римские критерии </w:t>
      </w:r>
      <w:r w:rsidRPr="00011325">
        <w:rPr>
          <w:rFonts w:ascii="Times New Roman" w:hAnsi="Times New Roman" w:cs="Times New Roman"/>
          <w:bCs/>
          <w:sz w:val="24"/>
          <w:szCs w:val="24"/>
        </w:rPr>
        <w:t>функциональных расстройств ЖКТ, IV пересмотра (2016г),</w:t>
      </w:r>
      <w:r w:rsidRPr="0001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СРК выделяют следующие функциональные расстройства кишечника: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01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ункциональный запор</w:t>
      </w:r>
      <w:r w:rsidRPr="00011325">
        <w:rPr>
          <w:rFonts w:ascii="Times New Roman" w:hAnsi="Times New Roman" w:cs="Times New Roman"/>
          <w:bCs/>
          <w:sz w:val="24"/>
          <w:szCs w:val="24"/>
        </w:rPr>
        <w:t>; ф</w:t>
      </w:r>
      <w:r w:rsidRPr="0001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ункциональная диарея</w:t>
      </w:r>
      <w:r w:rsidRPr="00011325">
        <w:rPr>
          <w:rFonts w:ascii="Times New Roman" w:hAnsi="Times New Roman" w:cs="Times New Roman"/>
          <w:bCs/>
          <w:sz w:val="24"/>
          <w:szCs w:val="24"/>
        </w:rPr>
        <w:t>, ф</w:t>
      </w:r>
      <w:r w:rsidRPr="0001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ункциональное вздутие/растяжение живота; неопределенные функциональные расстройства кишечника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 и о</w:t>
      </w:r>
      <w:r w:rsidRPr="00011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пиоид-индуцированный запор.</w:t>
      </w:r>
    </w:p>
    <w:p w14:paraId="66AC5B9F" w14:textId="77777777" w:rsidR="00011325" w:rsidRPr="00011325" w:rsidRDefault="00011325" w:rsidP="00011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1A171B"/>
          <w:spacing w:val="-2"/>
          <w:sz w:val="24"/>
          <w:szCs w:val="24"/>
        </w:rPr>
      </w:pPr>
      <w:r w:rsidRPr="00011325">
        <w:rPr>
          <w:rFonts w:ascii="Times New Roman" w:hAnsi="Times New Roman" w:cs="Times New Roman"/>
          <w:bCs/>
          <w:sz w:val="24"/>
          <w:szCs w:val="24"/>
        </w:rPr>
        <w:t xml:space="preserve">        Выделяют четыре возможных варианта СРК, в зависимости от характера изменений стула. </w:t>
      </w:r>
      <w:r w:rsidRPr="00011325">
        <w:rPr>
          <w:rFonts w:ascii="Times New Roman" w:hAnsi="Times New Roman" w:cs="Times New Roman"/>
          <w:bCs/>
          <w:color w:val="1A171B"/>
          <w:spacing w:val="-2"/>
          <w:sz w:val="24"/>
          <w:szCs w:val="24"/>
        </w:rPr>
        <w:t xml:space="preserve">В основу данной классификации положена форма стула по Бристольской шкале, которая легко понимается больными и позволяет быстро идентифицировать характер нарушений стула. </w:t>
      </w:r>
    </w:p>
    <w:p w14:paraId="7D43C105" w14:textId="77777777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1325">
        <w:rPr>
          <w:rFonts w:ascii="Times New Roman" w:hAnsi="Times New Roman" w:cs="Times New Roman"/>
          <w:bCs/>
          <w:sz w:val="24"/>
          <w:szCs w:val="24"/>
        </w:rPr>
        <w:t>Бристольская шкала формы стула</w:t>
      </w:r>
    </w:p>
    <w:p w14:paraId="2B50C9FD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Тип 1. Отдельные твердые комки, как орехи (проходят с трудом).</w:t>
      </w:r>
    </w:p>
    <w:p w14:paraId="5561BB69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lastRenderedPageBreak/>
        <w:t>Тип 2. В форме колбаски, но комковатый.</w:t>
      </w:r>
    </w:p>
    <w:p w14:paraId="215F9672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Тип 3.В форме колбаски, но с бороздами на поверхности.</w:t>
      </w:r>
    </w:p>
    <w:p w14:paraId="6B1B4B15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Тип 4. В форме колбаски или змейки, гладкий и мягкий.</w:t>
      </w:r>
    </w:p>
    <w:p w14:paraId="111C6343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Тип 5. Мягкие комочки с четкими краями.</w:t>
      </w:r>
    </w:p>
    <w:p w14:paraId="0918B3EC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Тип 6. Рыхлые куски с рваными краями, кашицеобразный стул.</w:t>
      </w:r>
    </w:p>
    <w:p w14:paraId="13BB0927" w14:textId="77777777" w:rsidR="00011325" w:rsidRPr="00011325" w:rsidRDefault="00011325" w:rsidP="00011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Тип 7. Водянистый, без плотных частей, полностью жидкий.</w:t>
      </w:r>
    </w:p>
    <w:p w14:paraId="095ADB4A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  СРК с преобладанием запоров. Более 25% стула имеет типы 1 или 2 по Бристольской шкале и менее 25% стула - типы 6 или 7. Альтернатива для клинической практики: пациент сообщает о том, что нарушение функции кишечника, как правило, запор (на подобии 1 или 2 типов по Бристольской шкале). </w:t>
      </w:r>
    </w:p>
    <w:p w14:paraId="7D9B493F" w14:textId="77777777" w:rsidR="00011325" w:rsidRPr="00011325" w:rsidRDefault="00011325" w:rsidP="00011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Натуживание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при дефекации</w:t>
      </w:r>
    </w:p>
    <w:p w14:paraId="4955EBE6" w14:textId="77777777" w:rsidR="00011325" w:rsidRPr="00011325" w:rsidRDefault="00011325" w:rsidP="00011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Твердый стул (овечий)</w:t>
      </w:r>
    </w:p>
    <w:p w14:paraId="0047B3B2" w14:textId="77777777" w:rsidR="00011325" w:rsidRPr="00011325" w:rsidRDefault="00011325" w:rsidP="00011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Менее 3 дефекаций в неделю</w:t>
      </w:r>
    </w:p>
    <w:p w14:paraId="59C55EAC" w14:textId="77777777" w:rsidR="00011325" w:rsidRPr="00011325" w:rsidRDefault="00011325" w:rsidP="00011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Чувство неполного опорожнения кишечника</w:t>
      </w:r>
    </w:p>
    <w:p w14:paraId="03CDD05F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 СРК с преобладанием диареи. Более 25% стула имеет типы 6 или 7 по Бристольской шкале и менее 25% стула - типы 1 или 2. Альтернатива для клинической практики: пациент сообщает о том, что нарушение функции кишечника, как правило, диарея (на подобии 6 или 7 типов по Бристольской шкале). </w:t>
      </w:r>
    </w:p>
    <w:p w14:paraId="09BF6CE2" w14:textId="77777777" w:rsidR="00011325" w:rsidRPr="00011325" w:rsidRDefault="00011325" w:rsidP="000113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Стул 3 и более раз в сутки</w:t>
      </w:r>
    </w:p>
    <w:p w14:paraId="0FC0DF90" w14:textId="77777777" w:rsidR="00011325" w:rsidRPr="00011325" w:rsidRDefault="00011325" w:rsidP="000113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Возрастает объем кала</w:t>
      </w:r>
    </w:p>
    <w:p w14:paraId="754D5965" w14:textId="77777777" w:rsidR="00011325" w:rsidRPr="00011325" w:rsidRDefault="00011325" w:rsidP="000113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>Консистенция кала становится более жидкой.</w:t>
      </w:r>
    </w:p>
    <w:p w14:paraId="336B7FD6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СРК смешанного типа. Более 25% стула имеет типы 6 или 7 по Бристольской шкале и более 25% стула - типы 1 или 2. Альтернатива для клинической практики: пациент сообщает о том, что нарушение функции кишечника, как правило, соответствуют как запору, так и диарее. </w:t>
      </w:r>
    </w:p>
    <w:p w14:paraId="3E14103B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СРК неклассифицированный. Пациенты, которые отвечают диагностическим критериям СРК, но функция кишечника не может быть точно отнесена к одной из трех указанных ранее групп, должны быть отнесены к «неклассифицированному» СРК. </w:t>
      </w:r>
    </w:p>
    <w:p w14:paraId="22BF78F5" w14:textId="489C19C2" w:rsid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 Как и в случае других функциональных заболеваний ЖКТ, диагноз СРК устанавливается на основании соответствия симптомов пациента </w:t>
      </w:r>
      <w:r w:rsidRPr="00011325">
        <w:rPr>
          <w:rFonts w:ascii="Times New Roman" w:hAnsi="Times New Roman" w:cs="Times New Roman"/>
          <w:spacing w:val="-2"/>
          <w:sz w:val="24"/>
          <w:szCs w:val="24"/>
        </w:rPr>
        <w:t xml:space="preserve">Римским критериям </w:t>
      </w:r>
      <w:r w:rsidRPr="00011325">
        <w:rPr>
          <w:rFonts w:ascii="Times New Roman" w:hAnsi="Times New Roman" w:cs="Times New Roman"/>
          <w:bCs/>
          <w:sz w:val="24"/>
          <w:szCs w:val="24"/>
        </w:rPr>
        <w:t>IV</w:t>
      </w: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325">
        <w:rPr>
          <w:rFonts w:ascii="Times New Roman" w:hAnsi="Times New Roman" w:cs="Times New Roman"/>
          <w:spacing w:val="-2"/>
          <w:sz w:val="24"/>
          <w:szCs w:val="24"/>
        </w:rPr>
        <w:t>пересмотра</w:t>
      </w:r>
      <w:r w:rsidRPr="00011325">
        <w:rPr>
          <w:rFonts w:ascii="Times New Roman" w:hAnsi="Times New Roman" w:cs="Times New Roman"/>
          <w:sz w:val="24"/>
          <w:szCs w:val="24"/>
        </w:rPr>
        <w:t xml:space="preserve"> при отсутствии органических причин для их возникновения. </w:t>
      </w:r>
    </w:p>
    <w:p w14:paraId="2794F7BA" w14:textId="77777777" w:rsidR="00552B05" w:rsidRDefault="00552B0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96F4" w14:textId="45A5DA4A" w:rsidR="00552B05" w:rsidRDefault="00552B05" w:rsidP="00552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B05">
        <w:rPr>
          <w:rFonts w:ascii="Times New Roman" w:hAnsi="Times New Roman" w:cs="Times New Roman"/>
          <w:b/>
          <w:bCs/>
          <w:sz w:val="24"/>
          <w:szCs w:val="24"/>
        </w:rPr>
        <w:t>Клиника и диагностика</w:t>
      </w:r>
    </w:p>
    <w:p w14:paraId="06B4292B" w14:textId="77777777" w:rsidR="00552B05" w:rsidRPr="00552B05" w:rsidRDefault="00552B05" w:rsidP="00011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01A75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    Клинические проявления характеризуются следующими особенностями. Изменчивость жалоб, связь ухудшения самочувствия с </w:t>
      </w:r>
      <w:proofErr w:type="gramStart"/>
      <w:r w:rsidRPr="00011325">
        <w:rPr>
          <w:rFonts w:ascii="Times New Roman" w:hAnsi="Times New Roman" w:cs="Times New Roman"/>
          <w:sz w:val="24"/>
          <w:szCs w:val="24"/>
        </w:rPr>
        <w:t>психо-эмоциональными</w:t>
      </w:r>
      <w:proofErr w:type="gramEnd"/>
      <w:r w:rsidRPr="00011325">
        <w:rPr>
          <w:rFonts w:ascii="Times New Roman" w:hAnsi="Times New Roman" w:cs="Times New Roman"/>
          <w:sz w:val="24"/>
          <w:szCs w:val="24"/>
        </w:rPr>
        <w:t xml:space="preserve"> факторами: стрессы, психические заболевания, депрессия, агрессивные реакции, навязчивость. Отсутствие расстройств в ночное время. Связь с другими функциональными расстройствами: синдром желудочной диспепсии, синдром вегетативной астении, ортостатические сосудистые расстройства, неврозы, синдром раздраженного мочевого пузыря; связь с менструациями, дисменореей, климаксом.</w:t>
      </w:r>
    </w:p>
    <w:p w14:paraId="0153D0FA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 СРК, как диагностическая гипотеза</w:t>
      </w:r>
      <w:r w:rsidRPr="00011325">
        <w:rPr>
          <w:rFonts w:ascii="Times New Roman" w:hAnsi="Times New Roman" w:cs="Times New Roman"/>
          <w:sz w:val="24"/>
          <w:szCs w:val="24"/>
        </w:rPr>
        <w:t xml:space="preserve"> (типичные жалобы и анамнез, изменчивость жалоб, отсутствие динамики заболевания, постоянство массы тела, связь со стрессом общие вегетативные симптомы), </w:t>
      </w:r>
      <w:r w:rsidRPr="00011325">
        <w:rPr>
          <w:rFonts w:ascii="Times New Roman" w:hAnsi="Times New Roman" w:cs="Times New Roman"/>
          <w:bCs/>
          <w:sz w:val="24"/>
          <w:szCs w:val="24"/>
        </w:rPr>
        <w:t>требует уточняющих диагностических действий.</w:t>
      </w:r>
      <w:r w:rsidRPr="00011325">
        <w:rPr>
          <w:rFonts w:ascii="Times New Roman" w:hAnsi="Times New Roman" w:cs="Times New Roman"/>
          <w:bCs/>
          <w:i/>
          <w:sz w:val="24"/>
          <w:szCs w:val="24"/>
        </w:rPr>
        <w:t xml:space="preserve">             </w:t>
      </w:r>
    </w:p>
    <w:p w14:paraId="0784AB77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011325">
        <w:rPr>
          <w:rFonts w:ascii="Times New Roman" w:hAnsi="Times New Roman" w:cs="Times New Roman"/>
          <w:i/>
          <w:sz w:val="24"/>
          <w:szCs w:val="24"/>
        </w:rPr>
        <w:t>Лабораторные исследования</w:t>
      </w:r>
      <w:r w:rsidRPr="00011325">
        <w:rPr>
          <w:rFonts w:ascii="Times New Roman" w:hAnsi="Times New Roman" w:cs="Times New Roman"/>
          <w:sz w:val="24"/>
          <w:szCs w:val="24"/>
        </w:rPr>
        <w:t xml:space="preserve">: СРБ, клинический анализ крови и СОЭ, электролиты. Обнаружение анемии или повышенного количества лейкоцитов в крови требует дальнейшего исследования. Исследование фекального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кальпротектина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– продукта нейтрофильных гранулоцитов, обнаружение которых в кале указывает на воспаление стенки кишки. Умеренное повышение фекального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кальпротектина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наблюдают при </w:t>
      </w:r>
      <w:r w:rsidRPr="00011325">
        <w:rPr>
          <w:rFonts w:ascii="Times New Roman" w:hAnsi="Times New Roman" w:cs="Times New Roman"/>
          <w:sz w:val="24"/>
          <w:szCs w:val="24"/>
        </w:rPr>
        <w:lastRenderedPageBreak/>
        <w:t xml:space="preserve">поражении слизистой (целиакия,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лактазная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недостаточность), значительное повышение концентрации отмечают при ВЗК, бактериальных инфекциях ЖКТ и других органических заболеваниях кишечника, но не при СРК. Серологические тесты для целиакии у пациентов с преобладанием диареи или смешанного типа СРК, с неудачной пробной терапией. При диарее также определяют пассаж бария, анализ кала на патогенные бактерии и паразитов. </w:t>
      </w:r>
      <w:r w:rsidRPr="00011325">
        <w:rPr>
          <w:rFonts w:ascii="Times New Roman" w:hAnsi="Times New Roman" w:cs="Times New Roman"/>
          <w:i/>
          <w:sz w:val="24"/>
          <w:szCs w:val="24"/>
        </w:rPr>
        <w:t>ФКС</w:t>
      </w:r>
      <w:r w:rsidRPr="00011325">
        <w:rPr>
          <w:rFonts w:ascii="Times New Roman" w:hAnsi="Times New Roman" w:cs="Times New Roman"/>
          <w:sz w:val="24"/>
          <w:szCs w:val="24"/>
        </w:rPr>
        <w:t xml:space="preserve">: скрининговое исследование показано пациентам 50 лет и старше при отсутствии сигнальных симптомов. </w:t>
      </w:r>
      <w:r w:rsidRPr="00011325">
        <w:rPr>
          <w:rFonts w:ascii="Times New Roman" w:hAnsi="Times New Roman" w:cs="Times New Roman"/>
          <w:i/>
          <w:sz w:val="24"/>
          <w:szCs w:val="24"/>
        </w:rPr>
        <w:t>УЗИ</w:t>
      </w:r>
      <w:r w:rsidRPr="00011325">
        <w:rPr>
          <w:rFonts w:ascii="Times New Roman" w:hAnsi="Times New Roman" w:cs="Times New Roman"/>
          <w:sz w:val="24"/>
          <w:szCs w:val="24"/>
        </w:rPr>
        <w:t>, при диспепсии – ЭГДС.</w:t>
      </w:r>
    </w:p>
    <w:p w14:paraId="07B2A0E5" w14:textId="77777777" w:rsidR="00011325" w:rsidRPr="00011325" w:rsidRDefault="00011325" w:rsidP="00011325">
      <w:pPr>
        <w:pStyle w:val="2"/>
        <w:keepLines/>
        <w:suppressAutoHyphens/>
        <w:spacing w:before="0" w:after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534B8C10" w14:textId="77777777" w:rsidR="00552B05" w:rsidRDefault="00552B05" w:rsidP="00011325">
      <w:pPr>
        <w:pStyle w:val="2"/>
        <w:keepLines/>
        <w:suppressAutoHyphens/>
        <w:spacing w:before="0" w:after="0"/>
        <w:jc w:val="center"/>
        <w:rPr>
          <w:rFonts w:ascii="Times New Roman" w:hAnsi="Times New Roman" w:cs="Times New Roman"/>
          <w:i w:val="0"/>
          <w:color w:val="00000A"/>
          <w:sz w:val="24"/>
          <w:szCs w:val="24"/>
        </w:rPr>
      </w:pPr>
    </w:p>
    <w:p w14:paraId="6AD313B2" w14:textId="5717E069" w:rsidR="00011325" w:rsidRPr="00011325" w:rsidRDefault="00552B05" w:rsidP="00011325">
      <w:pPr>
        <w:pStyle w:val="2"/>
        <w:keepLines/>
        <w:suppressAutoHyphens/>
        <w:spacing w:before="0" w:after="0"/>
        <w:jc w:val="center"/>
        <w:rPr>
          <w:rFonts w:ascii="Times New Roman" w:hAnsi="Times New Roman" w:cs="Times New Roman"/>
          <w:i w:val="0"/>
          <w:color w:val="00000A"/>
          <w:sz w:val="24"/>
          <w:szCs w:val="24"/>
        </w:rPr>
      </w:pPr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Д</w:t>
      </w:r>
      <w:r w:rsidR="00011325" w:rsidRPr="00011325">
        <w:rPr>
          <w:rFonts w:ascii="Times New Roman" w:hAnsi="Times New Roman" w:cs="Times New Roman"/>
          <w:i w:val="0"/>
          <w:color w:val="00000A"/>
          <w:sz w:val="24"/>
          <w:szCs w:val="24"/>
        </w:rPr>
        <w:t>ифференциальный диагноз</w:t>
      </w:r>
    </w:p>
    <w:p w14:paraId="3EA77316" w14:textId="77777777" w:rsidR="00011325" w:rsidRPr="00011325" w:rsidRDefault="00011325" w:rsidP="0001132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F6E5F0" w14:textId="571C50CC" w:rsidR="00011325" w:rsidRDefault="00011325" w:rsidP="00011325">
      <w:pPr>
        <w:pStyle w:val="2"/>
        <w:keepLines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11325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011325">
        <w:rPr>
          <w:rFonts w:ascii="Times New Roman" w:hAnsi="Times New Roman" w:cs="Times New Roman"/>
          <w:b w:val="0"/>
          <w:i w:val="0"/>
          <w:color w:val="00000A"/>
          <w:sz w:val="24"/>
          <w:szCs w:val="24"/>
        </w:rPr>
        <w:t xml:space="preserve">Выделение ряда признаков, нацеливает врача на поиск и исключение </w:t>
      </w:r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органической патологии. Такой подход используют при </w:t>
      </w:r>
      <w:r w:rsidRPr="00011325">
        <w:rPr>
          <w:rFonts w:ascii="Times New Roman" w:hAnsi="Times New Roman" w:cs="Times New Roman"/>
          <w:b w:val="0"/>
          <w:i w:val="0"/>
          <w:color w:val="00000A"/>
          <w:sz w:val="24"/>
          <w:szCs w:val="24"/>
        </w:rPr>
        <w:t>диагностике всех функциональных заболеваний органов ЖКТ</w:t>
      </w:r>
      <w:r w:rsidRPr="00011325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. </w:t>
      </w:r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Появление хотя бы одного из «симптомов тревоги» является показанием к углубленному обследованию пациента. К ним относятся, по </w:t>
      </w:r>
      <w:r w:rsidRPr="00011325">
        <w:rPr>
          <w:rFonts w:ascii="Times New Roman" w:hAnsi="Times New Roman" w:cs="Times New Roman"/>
          <w:b w:val="0"/>
          <w:bCs w:val="0"/>
          <w:sz w:val="24"/>
          <w:szCs w:val="24"/>
        </w:rPr>
        <w:t>данным жалоб и анамнеза</w:t>
      </w:r>
      <w:r w:rsidRPr="0001132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: потеря массы тела; начало заболевания в пожилом возрасте; ночная </w:t>
      </w:r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>диарея;</w:t>
      </w:r>
      <w:r w:rsidRPr="0001132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постоянные боли в животе как единственный и ведущий симптом поражения ЖКТ; прогрессирующее течение заболевания;</w:t>
      </w:r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семейная история рака</w:t>
      </w:r>
      <w:r w:rsidRPr="0001132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толстой кишки</w:t>
      </w:r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ВЗК (язвенный колит и болезнь Крона), целиакия </w:t>
      </w:r>
      <w:r w:rsidRPr="0001132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у родственников. По данным </w:t>
      </w:r>
      <w:r w:rsidRPr="00011325">
        <w:rPr>
          <w:rFonts w:ascii="Times New Roman" w:hAnsi="Times New Roman" w:cs="Times New Roman"/>
          <w:b w:val="0"/>
          <w:sz w:val="24"/>
          <w:szCs w:val="24"/>
        </w:rPr>
        <w:t>непосредственного обследования:</w:t>
      </w:r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лихорадка; изменения со стороны внутренних органов (</w:t>
      </w:r>
      <w:proofErr w:type="spellStart"/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>гепатомегалия</w:t>
      </w:r>
      <w:proofErr w:type="spellEnd"/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спленомегалия и др.). По данным </w:t>
      </w:r>
      <w:r w:rsidRPr="00011325">
        <w:rPr>
          <w:rFonts w:ascii="Times New Roman" w:hAnsi="Times New Roman" w:cs="Times New Roman"/>
          <w:b w:val="0"/>
          <w:sz w:val="24"/>
          <w:szCs w:val="24"/>
        </w:rPr>
        <w:t>лабораторных показателей</w:t>
      </w:r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>: анемия; лейкоцитоз; повышение</w:t>
      </w:r>
      <w:r w:rsidRPr="0001132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СОЭ; кровь в кале; изменения в биохимическом анализе крови; </w:t>
      </w:r>
      <w:proofErr w:type="spellStart"/>
      <w:r w:rsidRPr="0001132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стеаторея</w:t>
      </w:r>
      <w:proofErr w:type="spellEnd"/>
      <w:r w:rsidRPr="0001132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</w:t>
      </w:r>
      <w:proofErr w:type="spellStart"/>
      <w:r w:rsidRPr="0001132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полифекалия</w:t>
      </w:r>
      <w:proofErr w:type="spellEnd"/>
      <w:r w:rsidRPr="0001132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</w:t>
      </w:r>
      <w:r w:rsidRPr="000113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</w:p>
    <w:p w14:paraId="74548AA2" w14:textId="77777777" w:rsidR="00011325" w:rsidRPr="00011325" w:rsidRDefault="00011325" w:rsidP="00011325">
      <w:pPr>
        <w:rPr>
          <w:lang w:eastAsia="ru-RU"/>
        </w:rPr>
      </w:pPr>
    </w:p>
    <w:p w14:paraId="32E25863" w14:textId="77777777" w:rsidR="00011325" w:rsidRDefault="00011325" w:rsidP="00011325">
      <w:pPr>
        <w:pStyle w:val="11"/>
        <w:spacing w:after="0" w:line="240" w:lineRule="auto"/>
        <w:jc w:val="both"/>
        <w:rPr>
          <w:sz w:val="24"/>
          <w:szCs w:val="24"/>
        </w:rPr>
      </w:pPr>
      <w:r w:rsidRPr="00011325">
        <w:rPr>
          <w:sz w:val="24"/>
          <w:szCs w:val="24"/>
        </w:rPr>
        <w:t xml:space="preserve">          </w:t>
      </w:r>
      <w:r w:rsidRPr="00011325">
        <w:rPr>
          <w:b/>
          <w:sz w:val="24"/>
          <w:szCs w:val="24"/>
        </w:rPr>
        <w:t>Спектр заболеваний для дифференциальной диагностики</w:t>
      </w:r>
      <w:r w:rsidRPr="00011325">
        <w:rPr>
          <w:sz w:val="24"/>
          <w:szCs w:val="24"/>
        </w:rPr>
        <w:t xml:space="preserve">. </w:t>
      </w:r>
    </w:p>
    <w:p w14:paraId="72E004F2" w14:textId="6A575199" w:rsidR="00011325" w:rsidRPr="00011325" w:rsidRDefault="00011325" w:rsidP="00011325">
      <w:pPr>
        <w:pStyle w:val="11"/>
        <w:spacing w:after="0" w:line="240" w:lineRule="auto"/>
        <w:jc w:val="both"/>
        <w:rPr>
          <w:b/>
          <w:sz w:val="24"/>
          <w:szCs w:val="24"/>
        </w:rPr>
      </w:pPr>
      <w:r w:rsidRPr="00011325">
        <w:rPr>
          <w:i/>
          <w:sz w:val="24"/>
          <w:szCs w:val="24"/>
        </w:rPr>
        <w:t>Целиакия</w:t>
      </w:r>
      <w:r w:rsidRPr="00011325">
        <w:rPr>
          <w:sz w:val="24"/>
          <w:szCs w:val="24"/>
        </w:rPr>
        <w:t>:</w:t>
      </w:r>
      <w:r w:rsidRPr="00011325">
        <w:rPr>
          <w:b/>
          <w:sz w:val="24"/>
          <w:szCs w:val="24"/>
        </w:rPr>
        <w:t xml:space="preserve"> </w:t>
      </w:r>
      <w:r w:rsidRPr="00011325">
        <w:rPr>
          <w:sz w:val="24"/>
          <w:szCs w:val="24"/>
        </w:rPr>
        <w:t xml:space="preserve">начало заболевания в детстве, что может служить причиной замедленного развития ребенка; для исключения целиакии, определяют антитела </w:t>
      </w:r>
      <w:r w:rsidRPr="00011325">
        <w:rPr>
          <w:sz w:val="24"/>
          <w:szCs w:val="24"/>
          <w:lang w:val="en-US"/>
        </w:rPr>
        <w:t>IgA</w:t>
      </w:r>
      <w:r w:rsidRPr="00011325">
        <w:rPr>
          <w:sz w:val="24"/>
          <w:szCs w:val="24"/>
        </w:rPr>
        <w:t xml:space="preserve"> к тканевой </w:t>
      </w:r>
      <w:proofErr w:type="spellStart"/>
      <w:r w:rsidRPr="00011325">
        <w:rPr>
          <w:sz w:val="24"/>
          <w:szCs w:val="24"/>
        </w:rPr>
        <w:t>трансглутаминазе</w:t>
      </w:r>
      <w:proofErr w:type="spellEnd"/>
      <w:r w:rsidRPr="00011325">
        <w:rPr>
          <w:sz w:val="24"/>
          <w:szCs w:val="24"/>
        </w:rPr>
        <w:t xml:space="preserve"> и </w:t>
      </w:r>
      <w:proofErr w:type="spellStart"/>
      <w:r w:rsidRPr="00011325">
        <w:rPr>
          <w:sz w:val="24"/>
          <w:szCs w:val="24"/>
        </w:rPr>
        <w:t>эндомизию</w:t>
      </w:r>
      <w:proofErr w:type="spellEnd"/>
      <w:r w:rsidRPr="00011325">
        <w:rPr>
          <w:sz w:val="24"/>
          <w:szCs w:val="24"/>
        </w:rPr>
        <w:t xml:space="preserve">. </w:t>
      </w:r>
      <w:proofErr w:type="spellStart"/>
      <w:r w:rsidRPr="00011325">
        <w:rPr>
          <w:i/>
          <w:sz w:val="24"/>
          <w:szCs w:val="24"/>
        </w:rPr>
        <w:t>Лактазная</w:t>
      </w:r>
      <w:proofErr w:type="spellEnd"/>
      <w:r w:rsidRPr="00011325">
        <w:rPr>
          <w:i/>
          <w:sz w:val="24"/>
          <w:szCs w:val="24"/>
        </w:rPr>
        <w:t xml:space="preserve"> и </w:t>
      </w:r>
      <w:proofErr w:type="spellStart"/>
      <w:r w:rsidRPr="00011325">
        <w:rPr>
          <w:i/>
          <w:sz w:val="24"/>
          <w:szCs w:val="24"/>
        </w:rPr>
        <w:t>дисахаридазная</w:t>
      </w:r>
      <w:proofErr w:type="spellEnd"/>
      <w:r w:rsidRPr="00011325">
        <w:rPr>
          <w:i/>
          <w:sz w:val="24"/>
          <w:szCs w:val="24"/>
        </w:rPr>
        <w:t xml:space="preserve"> недостаточность</w:t>
      </w:r>
      <w:r w:rsidRPr="00011325">
        <w:rPr>
          <w:sz w:val="24"/>
          <w:szCs w:val="24"/>
        </w:rPr>
        <w:t xml:space="preserve">: связь симптомов с приемом определенных продуктов. Диагностика проводится при помощи дыхательного водородного теста с нагрузкой лактозой или фруктозой. </w:t>
      </w:r>
      <w:r w:rsidRPr="00011325">
        <w:rPr>
          <w:i/>
          <w:sz w:val="24"/>
          <w:szCs w:val="24"/>
        </w:rPr>
        <w:t>Внешнесекреторная</w:t>
      </w:r>
      <w:r w:rsidRPr="00011325">
        <w:rPr>
          <w:sz w:val="24"/>
          <w:szCs w:val="24"/>
        </w:rPr>
        <w:t xml:space="preserve"> </w:t>
      </w:r>
      <w:r w:rsidRPr="00011325">
        <w:rPr>
          <w:i/>
          <w:sz w:val="24"/>
          <w:szCs w:val="24"/>
        </w:rPr>
        <w:t>недостаточность поджелудочной железы</w:t>
      </w:r>
      <w:r w:rsidRPr="00011325">
        <w:rPr>
          <w:sz w:val="24"/>
          <w:szCs w:val="24"/>
        </w:rPr>
        <w:t xml:space="preserve"> (см. раздел 7). </w:t>
      </w:r>
      <w:r w:rsidRPr="00011325">
        <w:rPr>
          <w:i/>
          <w:sz w:val="24"/>
          <w:szCs w:val="24"/>
        </w:rPr>
        <w:t>Эндокринные расстройства</w:t>
      </w:r>
      <w:r w:rsidRPr="00011325">
        <w:rPr>
          <w:sz w:val="24"/>
          <w:szCs w:val="24"/>
        </w:rPr>
        <w:t xml:space="preserve"> (гипертиреоз, гормон-продуцирующие опухоли ЖКТ). </w:t>
      </w:r>
      <w:r w:rsidRPr="00011325">
        <w:rPr>
          <w:i/>
          <w:sz w:val="24"/>
          <w:szCs w:val="24"/>
        </w:rPr>
        <w:t xml:space="preserve">ВЗК: </w:t>
      </w:r>
      <w:r w:rsidRPr="00011325">
        <w:rPr>
          <w:sz w:val="24"/>
          <w:szCs w:val="24"/>
        </w:rPr>
        <w:t xml:space="preserve">наличие </w:t>
      </w:r>
      <w:proofErr w:type="spellStart"/>
      <w:r w:rsidRPr="00011325">
        <w:rPr>
          <w:sz w:val="24"/>
          <w:szCs w:val="24"/>
        </w:rPr>
        <w:t>гематохезии</w:t>
      </w:r>
      <w:proofErr w:type="spellEnd"/>
      <w:r w:rsidRPr="00011325">
        <w:rPr>
          <w:sz w:val="24"/>
          <w:szCs w:val="24"/>
        </w:rPr>
        <w:t xml:space="preserve">, хронической диареи, необъяснимой потери массы тела, анемии, </w:t>
      </w:r>
      <w:proofErr w:type="spellStart"/>
      <w:r w:rsidRPr="00011325">
        <w:rPr>
          <w:sz w:val="24"/>
          <w:szCs w:val="24"/>
        </w:rPr>
        <w:t>перианальные</w:t>
      </w:r>
      <w:proofErr w:type="spellEnd"/>
      <w:r w:rsidRPr="00011325">
        <w:rPr>
          <w:sz w:val="24"/>
          <w:szCs w:val="24"/>
        </w:rPr>
        <w:t xml:space="preserve"> поражения (свищи, трещины), показано проведение ФКС. </w:t>
      </w:r>
      <w:proofErr w:type="spellStart"/>
      <w:r w:rsidRPr="00011325">
        <w:rPr>
          <w:i/>
          <w:sz w:val="24"/>
          <w:szCs w:val="24"/>
        </w:rPr>
        <w:t>Лимфоцитарный</w:t>
      </w:r>
      <w:proofErr w:type="spellEnd"/>
      <w:r w:rsidRPr="00011325">
        <w:rPr>
          <w:i/>
          <w:sz w:val="24"/>
          <w:szCs w:val="24"/>
        </w:rPr>
        <w:t xml:space="preserve"> или коллагеновый колит</w:t>
      </w:r>
      <w:r w:rsidRPr="00011325">
        <w:rPr>
          <w:sz w:val="24"/>
          <w:szCs w:val="24"/>
        </w:rPr>
        <w:t xml:space="preserve"> (микроскопические колиты): протекают без боли и являются причиной 30% случаев хронической диареи у лиц старшего возраста, для подтверждения диагноза – ФКС с биопсией слизистой оболочки ободочной кишки. </w:t>
      </w:r>
      <w:r w:rsidRPr="00011325">
        <w:rPr>
          <w:i/>
          <w:sz w:val="24"/>
          <w:szCs w:val="24"/>
        </w:rPr>
        <w:t>Радиационный колит</w:t>
      </w:r>
      <w:r w:rsidRPr="00011325">
        <w:rPr>
          <w:sz w:val="24"/>
          <w:szCs w:val="24"/>
        </w:rPr>
        <w:t xml:space="preserve"> </w:t>
      </w:r>
      <w:r w:rsidRPr="00011325">
        <w:rPr>
          <w:i/>
          <w:sz w:val="24"/>
          <w:szCs w:val="24"/>
        </w:rPr>
        <w:t>и колит, ассоциированный с приемом НПВС</w:t>
      </w:r>
      <w:r w:rsidRPr="00011325">
        <w:rPr>
          <w:sz w:val="24"/>
          <w:szCs w:val="24"/>
        </w:rPr>
        <w:t xml:space="preserve">: анамнез. </w:t>
      </w:r>
      <w:r w:rsidRPr="00011325">
        <w:rPr>
          <w:i/>
          <w:sz w:val="24"/>
          <w:szCs w:val="24"/>
        </w:rPr>
        <w:t>Синдром избыточного бактериального роста в тонкой кишке</w:t>
      </w:r>
      <w:r w:rsidRPr="00011325">
        <w:rPr>
          <w:sz w:val="24"/>
          <w:szCs w:val="24"/>
        </w:rPr>
        <w:t xml:space="preserve">: диарея, вздутие живота и </w:t>
      </w:r>
      <w:proofErr w:type="spellStart"/>
      <w:r w:rsidRPr="00011325">
        <w:rPr>
          <w:sz w:val="24"/>
          <w:szCs w:val="24"/>
        </w:rPr>
        <w:t>мальабсорбция</w:t>
      </w:r>
      <w:proofErr w:type="spellEnd"/>
      <w:r w:rsidRPr="00011325">
        <w:rPr>
          <w:sz w:val="24"/>
          <w:szCs w:val="24"/>
        </w:rPr>
        <w:t xml:space="preserve">. Для подтверждения СИБР - дыхательный водородный тест (однако СИБР встречается у 84% больных с СРК). </w:t>
      </w:r>
      <w:proofErr w:type="spellStart"/>
      <w:r w:rsidRPr="00011325">
        <w:rPr>
          <w:i/>
          <w:sz w:val="24"/>
          <w:szCs w:val="24"/>
        </w:rPr>
        <w:t>Дивертикулит</w:t>
      </w:r>
      <w:proofErr w:type="spellEnd"/>
      <w:r w:rsidRPr="00011325">
        <w:rPr>
          <w:i/>
          <w:sz w:val="24"/>
          <w:szCs w:val="24"/>
        </w:rPr>
        <w:t>:</w:t>
      </w:r>
      <w:r w:rsidRPr="00011325">
        <w:rPr>
          <w:sz w:val="24"/>
          <w:szCs w:val="24"/>
        </w:rPr>
        <w:t xml:space="preserve"> лихорадка и боли в левой подвздошной области, а также инфильтрат в виде пальпируемого мягкого образования в этой зоне. </w:t>
      </w:r>
      <w:r w:rsidRPr="00011325">
        <w:rPr>
          <w:i/>
          <w:sz w:val="24"/>
          <w:szCs w:val="24"/>
        </w:rPr>
        <w:t>Гинекологические заболевания</w:t>
      </w:r>
      <w:r w:rsidRPr="00011325">
        <w:rPr>
          <w:sz w:val="24"/>
          <w:szCs w:val="24"/>
        </w:rPr>
        <w:t xml:space="preserve"> (эндометр</w:t>
      </w:r>
      <w:r w:rsidRPr="00011325">
        <w:rPr>
          <w:rFonts w:eastAsia="+mn-ea"/>
          <w:sz w:val="24"/>
          <w:szCs w:val="24"/>
        </w:rPr>
        <w:t xml:space="preserve">иоз, воспалительные заболевания, опухоли яичника). </w:t>
      </w:r>
      <w:r w:rsidRPr="00011325">
        <w:rPr>
          <w:i/>
          <w:sz w:val="24"/>
          <w:szCs w:val="24"/>
        </w:rPr>
        <w:t>Ишемическая болезнь органов пищеварения, рак толстой кишки, острая инфекционная диарея, антибиотико-ассоциированная диарея, псевдомембранозный колит, лямблиоз.</w:t>
      </w:r>
      <w:r w:rsidRPr="00011325">
        <w:rPr>
          <w:rFonts w:eastAsia="+mn-ea"/>
          <w:sz w:val="24"/>
          <w:szCs w:val="24"/>
        </w:rPr>
        <w:t xml:space="preserve"> Р</w:t>
      </w:r>
      <w:r w:rsidRPr="00011325">
        <w:rPr>
          <w:sz w:val="24"/>
          <w:szCs w:val="24"/>
        </w:rPr>
        <w:t xml:space="preserve">едкие причины СРК-подобных симптомов, в первую очередь, диареи: </w:t>
      </w:r>
      <w:r w:rsidRPr="00011325">
        <w:rPr>
          <w:i/>
          <w:sz w:val="24"/>
          <w:szCs w:val="24"/>
        </w:rPr>
        <w:t xml:space="preserve">болезнь </w:t>
      </w:r>
      <w:proofErr w:type="spellStart"/>
      <w:r w:rsidRPr="00011325">
        <w:rPr>
          <w:i/>
          <w:sz w:val="24"/>
          <w:szCs w:val="24"/>
        </w:rPr>
        <w:t>Уиппла</w:t>
      </w:r>
      <w:proofErr w:type="spellEnd"/>
      <w:r w:rsidRPr="00011325">
        <w:rPr>
          <w:i/>
          <w:sz w:val="24"/>
          <w:szCs w:val="24"/>
        </w:rPr>
        <w:t>, амилоидоз с по</w:t>
      </w:r>
      <w:r w:rsidRPr="00011325">
        <w:rPr>
          <w:i/>
          <w:iCs/>
          <w:sz w:val="24"/>
          <w:szCs w:val="24"/>
        </w:rPr>
        <w:t>ражением кишечни</w:t>
      </w:r>
      <w:r w:rsidRPr="00011325">
        <w:rPr>
          <w:i/>
          <w:sz w:val="24"/>
          <w:szCs w:val="24"/>
        </w:rPr>
        <w:t>ка, вирусные поражения толстой кишки</w:t>
      </w:r>
      <w:r w:rsidRPr="00011325">
        <w:rPr>
          <w:sz w:val="24"/>
          <w:szCs w:val="24"/>
        </w:rPr>
        <w:t xml:space="preserve"> (цитомегаловирус, вирус простого герпеса).</w:t>
      </w:r>
      <w:r w:rsidRPr="00011325">
        <w:rPr>
          <w:b/>
          <w:sz w:val="24"/>
          <w:szCs w:val="24"/>
        </w:rPr>
        <w:t xml:space="preserve"> </w:t>
      </w:r>
    </w:p>
    <w:p w14:paraId="172AB32D" w14:textId="77777777" w:rsidR="00011325" w:rsidRPr="00011325" w:rsidRDefault="00011325" w:rsidP="00011325">
      <w:pPr>
        <w:pStyle w:val="11"/>
        <w:spacing w:after="0" w:line="240" w:lineRule="auto"/>
        <w:jc w:val="both"/>
        <w:rPr>
          <w:rFonts w:eastAsia="+mn-ea"/>
          <w:sz w:val="24"/>
          <w:szCs w:val="24"/>
        </w:rPr>
      </w:pPr>
      <w:r w:rsidRPr="00011325">
        <w:rPr>
          <w:b/>
          <w:sz w:val="24"/>
          <w:szCs w:val="24"/>
        </w:rPr>
        <w:lastRenderedPageBreak/>
        <w:t xml:space="preserve">             </w:t>
      </w:r>
      <w:r w:rsidRPr="00011325">
        <w:rPr>
          <w:sz w:val="24"/>
          <w:szCs w:val="24"/>
        </w:rPr>
        <w:t xml:space="preserve">Для дифференцирования симптомов СРК и органических заболеваний кишечника можно использовать данные таблицы №43. </w:t>
      </w:r>
    </w:p>
    <w:p w14:paraId="5C28712E" w14:textId="7F2C5FFC" w:rsidR="00011325" w:rsidRDefault="00011325" w:rsidP="000113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AB571" w14:textId="77777777" w:rsidR="00011325" w:rsidRPr="00B53231" w:rsidRDefault="00011325" w:rsidP="00B5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AD585" w14:textId="01A7030B" w:rsidR="00011325" w:rsidRPr="00011325" w:rsidRDefault="00011325" w:rsidP="000113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325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72E00B1" w14:textId="77777777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25">
        <w:rPr>
          <w:rFonts w:ascii="Times New Roman" w:hAnsi="Times New Roman" w:cs="Times New Roman"/>
          <w:b/>
          <w:sz w:val="24"/>
          <w:szCs w:val="24"/>
        </w:rPr>
        <w:t>Дифференциальный диагноз СРК и органических заболеваний кишечника</w:t>
      </w:r>
    </w:p>
    <w:p w14:paraId="6ADD7B09" w14:textId="77777777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5"/>
        <w:gridCol w:w="2506"/>
        <w:gridCol w:w="2334"/>
      </w:tblGrid>
      <w:tr w:rsidR="00011325" w:rsidRPr="00011325" w14:paraId="2112B773" w14:textId="77777777" w:rsidTr="00357E85">
        <w:tc>
          <w:tcPr>
            <w:tcW w:w="4644" w:type="dxa"/>
          </w:tcPr>
          <w:p w14:paraId="4DC60852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</w:tcPr>
          <w:p w14:paraId="413A1BF6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заболевания</w:t>
            </w:r>
          </w:p>
        </w:tc>
        <w:tc>
          <w:tcPr>
            <w:tcW w:w="2375" w:type="dxa"/>
          </w:tcPr>
          <w:p w14:paraId="6D4F94F7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b/>
                <w:sz w:val="24"/>
                <w:szCs w:val="24"/>
              </w:rPr>
              <w:t>СРК</w:t>
            </w:r>
          </w:p>
        </w:tc>
      </w:tr>
      <w:tr w:rsidR="00011325" w:rsidRPr="00011325" w14:paraId="5D8DECD7" w14:textId="77777777" w:rsidTr="00357E85">
        <w:tc>
          <w:tcPr>
            <w:tcW w:w="4644" w:type="dxa"/>
          </w:tcPr>
          <w:p w14:paraId="66148A05" w14:textId="77777777" w:rsidR="00011325" w:rsidRPr="00011325" w:rsidRDefault="00011325" w:rsidP="0035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Длительность анамнеза</w:t>
            </w:r>
          </w:p>
        </w:tc>
        <w:tc>
          <w:tcPr>
            <w:tcW w:w="2552" w:type="dxa"/>
          </w:tcPr>
          <w:p w14:paraId="3CFFDA74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2375" w:type="dxa"/>
          </w:tcPr>
          <w:p w14:paraId="3E6C588D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</w:p>
        </w:tc>
      </w:tr>
      <w:tr w:rsidR="00011325" w:rsidRPr="00011325" w14:paraId="61DD5B35" w14:textId="77777777" w:rsidTr="00357E85">
        <w:tc>
          <w:tcPr>
            <w:tcW w:w="4644" w:type="dxa"/>
          </w:tcPr>
          <w:p w14:paraId="28C3E938" w14:textId="77777777" w:rsidR="00011325" w:rsidRPr="00011325" w:rsidRDefault="00011325" w:rsidP="0035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Постоянство жалоб</w:t>
            </w:r>
          </w:p>
        </w:tc>
        <w:tc>
          <w:tcPr>
            <w:tcW w:w="2552" w:type="dxa"/>
          </w:tcPr>
          <w:p w14:paraId="7ED6DF82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монотонные</w:t>
            </w:r>
          </w:p>
        </w:tc>
        <w:tc>
          <w:tcPr>
            <w:tcW w:w="2375" w:type="dxa"/>
          </w:tcPr>
          <w:p w14:paraId="14497A16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изменчивые</w:t>
            </w:r>
          </w:p>
        </w:tc>
      </w:tr>
      <w:tr w:rsidR="00011325" w:rsidRPr="00011325" w14:paraId="1A7877A3" w14:textId="77777777" w:rsidTr="00357E85">
        <w:tc>
          <w:tcPr>
            <w:tcW w:w="4644" w:type="dxa"/>
          </w:tcPr>
          <w:p w14:paraId="0400E975" w14:textId="77777777" w:rsidR="00011325" w:rsidRPr="00011325" w:rsidRDefault="00011325" w:rsidP="0035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Локализация болей</w:t>
            </w:r>
          </w:p>
        </w:tc>
        <w:tc>
          <w:tcPr>
            <w:tcW w:w="2552" w:type="dxa"/>
          </w:tcPr>
          <w:p w14:paraId="3208E1E1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</w:p>
        </w:tc>
        <w:tc>
          <w:tcPr>
            <w:tcW w:w="2375" w:type="dxa"/>
          </w:tcPr>
          <w:p w14:paraId="19CE4D4E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мигрирующие</w:t>
            </w:r>
          </w:p>
        </w:tc>
      </w:tr>
      <w:tr w:rsidR="00011325" w:rsidRPr="00011325" w14:paraId="70DCF29C" w14:textId="77777777" w:rsidTr="00357E85">
        <w:tc>
          <w:tcPr>
            <w:tcW w:w="4644" w:type="dxa"/>
          </w:tcPr>
          <w:p w14:paraId="1A927AF0" w14:textId="77777777" w:rsidR="00011325" w:rsidRPr="00011325" w:rsidRDefault="00011325" w:rsidP="0035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Потеря массы тела</w:t>
            </w:r>
          </w:p>
        </w:tc>
        <w:tc>
          <w:tcPr>
            <w:tcW w:w="2552" w:type="dxa"/>
          </w:tcPr>
          <w:p w14:paraId="0083110C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</w:tcPr>
          <w:p w14:paraId="3F31B441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325" w:rsidRPr="00011325" w14:paraId="0F2857C7" w14:textId="77777777" w:rsidTr="00357E85">
        <w:tc>
          <w:tcPr>
            <w:tcW w:w="4644" w:type="dxa"/>
          </w:tcPr>
          <w:p w14:paraId="67543D89" w14:textId="77777777" w:rsidR="00011325" w:rsidRPr="00011325" w:rsidRDefault="00011325" w:rsidP="0035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Зависимость жалоб от стресса</w:t>
            </w:r>
          </w:p>
        </w:tc>
        <w:tc>
          <w:tcPr>
            <w:tcW w:w="2552" w:type="dxa"/>
          </w:tcPr>
          <w:p w14:paraId="25C99C25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5" w:type="dxa"/>
          </w:tcPr>
          <w:p w14:paraId="4277F615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325" w:rsidRPr="00011325" w14:paraId="7123F59F" w14:textId="77777777" w:rsidTr="00357E85">
        <w:tc>
          <w:tcPr>
            <w:tcW w:w="4644" w:type="dxa"/>
          </w:tcPr>
          <w:p w14:paraId="19BC2019" w14:textId="77777777" w:rsidR="00011325" w:rsidRPr="00011325" w:rsidRDefault="00011325" w:rsidP="00357E85">
            <w:pPr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Частота стула реже на фоне</w:t>
            </w:r>
            <w:r w:rsidRPr="0001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3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приступа боли</w:t>
            </w:r>
          </w:p>
        </w:tc>
        <w:tc>
          <w:tcPr>
            <w:tcW w:w="2552" w:type="dxa"/>
          </w:tcPr>
          <w:p w14:paraId="61281867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375" w:type="dxa"/>
          </w:tcPr>
          <w:p w14:paraId="5A3CFF88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011325" w:rsidRPr="00011325" w14:paraId="2CFB680A" w14:textId="77777777" w:rsidTr="00357E85">
        <w:tc>
          <w:tcPr>
            <w:tcW w:w="4644" w:type="dxa"/>
          </w:tcPr>
          <w:p w14:paraId="0B92C036" w14:textId="77777777" w:rsidR="00011325" w:rsidRPr="00011325" w:rsidRDefault="00011325" w:rsidP="00357E85">
            <w:pPr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Повышение перистальтики</w:t>
            </w:r>
            <w:r w:rsidRPr="0001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3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кишечника на фоне боли</w:t>
            </w:r>
          </w:p>
        </w:tc>
        <w:tc>
          <w:tcPr>
            <w:tcW w:w="2552" w:type="dxa"/>
          </w:tcPr>
          <w:p w14:paraId="17E49D61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75" w:type="dxa"/>
          </w:tcPr>
          <w:p w14:paraId="387649D6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011325" w:rsidRPr="00011325" w14:paraId="65674346" w14:textId="77777777" w:rsidTr="00357E85">
        <w:tc>
          <w:tcPr>
            <w:tcW w:w="4644" w:type="dxa"/>
          </w:tcPr>
          <w:p w14:paraId="43D3248B" w14:textId="77777777" w:rsidR="00011325" w:rsidRPr="00011325" w:rsidRDefault="00011325" w:rsidP="00357E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Облегчение боли после</w:t>
            </w:r>
            <w:r w:rsidRPr="0001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3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опорожнения кишечника</w:t>
            </w:r>
          </w:p>
        </w:tc>
        <w:tc>
          <w:tcPr>
            <w:tcW w:w="2552" w:type="dxa"/>
          </w:tcPr>
          <w:p w14:paraId="162DCB54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75" w:type="dxa"/>
          </w:tcPr>
          <w:p w14:paraId="75DE1F64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011325" w:rsidRPr="00011325" w14:paraId="37E54562" w14:textId="77777777" w:rsidTr="00357E85">
        <w:tc>
          <w:tcPr>
            <w:tcW w:w="4644" w:type="dxa"/>
          </w:tcPr>
          <w:p w14:paraId="458CCFB0" w14:textId="77777777" w:rsidR="00011325" w:rsidRPr="00011325" w:rsidRDefault="00011325" w:rsidP="0035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 xml:space="preserve">Метеоризм </w:t>
            </w:r>
          </w:p>
        </w:tc>
        <w:tc>
          <w:tcPr>
            <w:tcW w:w="2552" w:type="dxa"/>
          </w:tcPr>
          <w:p w14:paraId="4608650F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375" w:type="dxa"/>
          </w:tcPr>
          <w:p w14:paraId="4B19CD49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011325" w:rsidRPr="00011325" w14:paraId="6D1107C5" w14:textId="77777777" w:rsidTr="00357E85">
        <w:tc>
          <w:tcPr>
            <w:tcW w:w="4644" w:type="dxa"/>
          </w:tcPr>
          <w:p w14:paraId="71A38E99" w14:textId="77777777" w:rsidR="00011325" w:rsidRPr="00011325" w:rsidRDefault="00011325" w:rsidP="00357E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Ощущение неполного</w:t>
            </w:r>
            <w:r w:rsidRPr="0001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3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опорожнения кишечника</w:t>
            </w:r>
          </w:p>
        </w:tc>
        <w:tc>
          <w:tcPr>
            <w:tcW w:w="2552" w:type="dxa"/>
          </w:tcPr>
          <w:p w14:paraId="2AA28728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375" w:type="dxa"/>
          </w:tcPr>
          <w:p w14:paraId="3827E1DF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</w:tbl>
    <w:p w14:paraId="4163EFA7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DA07A" w14:textId="77777777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325">
        <w:rPr>
          <w:rFonts w:ascii="Times New Roman" w:hAnsi="Times New Roman" w:cs="Times New Roman"/>
          <w:b/>
          <w:bCs/>
          <w:sz w:val="24"/>
          <w:szCs w:val="24"/>
        </w:rPr>
        <w:t>Лечение</w:t>
      </w:r>
    </w:p>
    <w:p w14:paraId="043234C0" w14:textId="77777777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E67B8" w14:textId="00597EA4" w:rsidR="00011325" w:rsidRDefault="00011325" w:rsidP="000113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    Как и при других функциональных страданиях, в лечении СРК большое значение придается общим мероприятиям: образованию и переубеждению больных, </w:t>
      </w:r>
      <w:r w:rsidRPr="00011325">
        <w:rPr>
          <w:rFonts w:ascii="Times New Roman" w:hAnsi="Times New Roman" w:cs="Times New Roman"/>
          <w:bCs/>
          <w:sz w:val="24"/>
          <w:szCs w:val="24"/>
        </w:rPr>
        <w:t>стилю жизни</w:t>
      </w:r>
      <w:r w:rsidRPr="00011325">
        <w:rPr>
          <w:rFonts w:ascii="Times New Roman" w:hAnsi="Times New Roman" w:cs="Times New Roman"/>
          <w:sz w:val="24"/>
          <w:szCs w:val="24"/>
        </w:rPr>
        <w:t xml:space="preserve"> (физические упражнения, снижение стресса, внимание к нарушениям сна).</w:t>
      </w: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325">
        <w:rPr>
          <w:rFonts w:ascii="Times New Roman" w:hAnsi="Times New Roman" w:cs="Times New Roman"/>
          <w:sz w:val="24"/>
          <w:szCs w:val="24"/>
        </w:rPr>
        <w:t xml:space="preserve">Определенное место отведено регулярности питания и диете, которые могут улучшить симптомы СРК. Рекомендуют обеспечить достаточное потребление жидкости, ограничить чай и кофе до 3 чашек в день, алкоголь и газированные напитки, высокое потребление нерастворимых зерновых волокон в пище; ограничить свежие фрукты до 3 порций в день. </w:t>
      </w:r>
    </w:p>
    <w:p w14:paraId="16BCEC63" w14:textId="77777777" w:rsidR="00011325" w:rsidRPr="00011325" w:rsidRDefault="00011325" w:rsidP="00B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пациенту с СРК должна быть подобрана индивидуально путем исключения продуктов, вызывающих усиление симптомов заболевания (</w:t>
      </w:r>
      <w:proofErr w:type="spellStart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элиминационная</w:t>
      </w:r>
      <w:proofErr w:type="spellEnd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диета). Несмотря на противоречивые данные исследований по оценке эффекта от назначения конкретной диеты, всем больным с СРК следует рекомендовать:</w:t>
      </w:r>
    </w:p>
    <w:p w14:paraId="68C55938" w14:textId="77777777" w:rsidR="00011325" w:rsidRPr="00011325" w:rsidRDefault="00011325" w:rsidP="00B53231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пищу регулярно в специально отведенное для этого время, избегать приема пищи в спешке, в процессе работы.</w:t>
      </w:r>
    </w:p>
    <w:p w14:paraId="75FCAF94" w14:textId="77777777" w:rsidR="00011325" w:rsidRPr="00011325" w:rsidRDefault="00011325" w:rsidP="00B53231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пропускать приемы пищи и не допускать длительных перерывов между ними.</w:t>
      </w:r>
    </w:p>
    <w:p w14:paraId="79E8B2BA" w14:textId="77777777" w:rsidR="00011325" w:rsidRPr="00011325" w:rsidRDefault="00011325" w:rsidP="00B53231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рекомендовать пациенту «ведение пищевого дневника» для выявления продуктов, употребление которых приводит к усилению симптомов заболевания.</w:t>
      </w:r>
    </w:p>
    <w:p w14:paraId="6F1D9469" w14:textId="77777777" w:rsidR="00011325" w:rsidRPr="00011325" w:rsidRDefault="00011325" w:rsidP="00B53231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с </w:t>
      </w:r>
      <w:proofErr w:type="spellStart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диарейным</w:t>
      </w:r>
      <w:proofErr w:type="spellEnd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смешанным вариантами СРК возможно назначение</w:t>
      </w:r>
      <w:r w:rsidRPr="00011325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 </w:t>
      </w:r>
      <w:proofErr w:type="spellStart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аглютеновой</w:t>
      </w:r>
      <w:proofErr w:type="spellEnd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 [5].</w:t>
      </w:r>
    </w:p>
    <w:p w14:paraId="5CD37050" w14:textId="17817816" w:rsidR="00011325" w:rsidRPr="00011325" w:rsidRDefault="00011325" w:rsidP="00B5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диеты с низким содержанием олиго-</w:t>
      </w:r>
      <w:proofErr w:type="spellStart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-моносахаридов (лактозы, фруктозы, </w:t>
      </w:r>
      <w:proofErr w:type="spellStart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фруктанов</w:t>
      </w:r>
      <w:proofErr w:type="spellEnd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галактанов</w:t>
      </w:r>
      <w:proofErr w:type="spellEnd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полиолов</w:t>
      </w:r>
      <w:proofErr w:type="spellEnd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(сорбитола, </w:t>
      </w:r>
      <w:proofErr w:type="spellStart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ксилитола</w:t>
      </w:r>
      <w:proofErr w:type="spellEnd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маннитола)  сомнительна</w:t>
      </w:r>
      <w:proofErr w:type="gramEnd"/>
      <w:r w:rsidR="00B53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D8FC4B" w14:textId="434D2B4A" w:rsidR="00B53231" w:rsidRDefault="00011325" w:rsidP="00B5323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i/>
          <w:iCs/>
          <w:sz w:val="27"/>
          <w:szCs w:val="27"/>
          <w:lang w:eastAsia="ru-RU"/>
        </w:rPr>
      </w:pPr>
      <w:r w:rsidRPr="00011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Масштабные исследования эффективности увеличения физической активности при СРК не проводились. Тем не менее, пациентам с СРК следует рекомендовать умеренные физические нагрузки (ходьба, езда на велосипеде, занятия аэробикой), которые приводят к достоверному уменьшению основных симптомов заболевания</w:t>
      </w:r>
      <w:r w:rsidR="00B53231">
        <w:rPr>
          <w:rFonts w:ascii="PT Serif" w:eastAsia="Times New Roman" w:hAnsi="PT Serif" w:cs="Times New Roman"/>
          <w:i/>
          <w:iCs/>
          <w:sz w:val="27"/>
          <w:szCs w:val="27"/>
          <w:lang w:eastAsia="ru-RU"/>
        </w:rPr>
        <w:t>.</w:t>
      </w:r>
    </w:p>
    <w:p w14:paraId="0282877C" w14:textId="77777777" w:rsidR="00B53231" w:rsidRPr="00B53231" w:rsidRDefault="00B53231" w:rsidP="00B53231">
      <w:pPr>
        <w:shd w:val="clear" w:color="auto" w:fill="FFFFFF"/>
        <w:spacing w:after="0" w:line="390" w:lineRule="atLeast"/>
        <w:jc w:val="both"/>
        <w:rPr>
          <w:rFonts w:ascii="PT Serif" w:eastAsia="Times New Roman" w:hAnsi="PT Serif" w:cs="Times New Roman"/>
          <w:i/>
          <w:iCs/>
          <w:sz w:val="27"/>
          <w:szCs w:val="27"/>
          <w:lang w:eastAsia="ru-RU"/>
        </w:rPr>
      </w:pPr>
    </w:p>
    <w:p w14:paraId="4A7DB9A3" w14:textId="6F0880B6" w:rsidR="00011325" w:rsidRPr="00011325" w:rsidRDefault="00011325" w:rsidP="000113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1325">
        <w:rPr>
          <w:rFonts w:ascii="Times New Roman" w:hAnsi="Times New Roman" w:cs="Times New Roman"/>
          <w:bCs/>
          <w:sz w:val="24"/>
          <w:szCs w:val="24"/>
        </w:rPr>
        <w:t>Лекарственные препараты,</w:t>
      </w:r>
      <w:r w:rsidRPr="00011325">
        <w:rPr>
          <w:rFonts w:ascii="Times New Roman" w:hAnsi="Times New Roman" w:cs="Times New Roman"/>
          <w:sz w:val="24"/>
          <w:szCs w:val="24"/>
        </w:rPr>
        <w:t xml:space="preserve"> </w:t>
      </w:r>
      <w:r w:rsidRPr="00011325">
        <w:rPr>
          <w:rFonts w:ascii="Times New Roman" w:hAnsi="Times New Roman" w:cs="Times New Roman"/>
          <w:bCs/>
          <w:sz w:val="24"/>
          <w:szCs w:val="24"/>
        </w:rPr>
        <w:t>рекомендованные</w:t>
      </w:r>
      <w:r w:rsidRPr="0001132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11325">
        <w:rPr>
          <w:rFonts w:ascii="Times New Roman" w:hAnsi="Times New Roman" w:cs="Times New Roman"/>
          <w:bCs/>
          <w:sz w:val="24"/>
          <w:szCs w:val="24"/>
        </w:rPr>
        <w:t>лечения</w:t>
      </w:r>
      <w:r w:rsidRPr="000113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11325">
        <w:rPr>
          <w:rFonts w:ascii="Times New Roman" w:hAnsi="Times New Roman" w:cs="Times New Roman"/>
          <w:iCs/>
          <w:sz w:val="24"/>
          <w:szCs w:val="24"/>
        </w:rPr>
        <w:t>болевого синдрома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 при СРК, представлены ниже (таблица №</w:t>
      </w: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477A1B" w14:textId="77777777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14:paraId="55243A1F" w14:textId="480EE10F" w:rsidR="00011325" w:rsidRPr="00011325" w:rsidRDefault="00011325" w:rsidP="000113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1325">
        <w:rPr>
          <w:rFonts w:ascii="Times New Roman" w:hAnsi="Times New Roman" w:cs="Times New Roman"/>
          <w:b/>
          <w:bCs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9D688B5" w14:textId="77777777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Лекарственные препараты для лечения болевого синдрома при СРК </w:t>
      </w:r>
    </w:p>
    <w:p w14:paraId="6647729A" w14:textId="77777777" w:rsidR="00011325" w:rsidRPr="00011325" w:rsidRDefault="00011325" w:rsidP="00011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8"/>
        <w:gridCol w:w="5087"/>
      </w:tblGrid>
      <w:tr w:rsidR="00011325" w:rsidRPr="00011325" w14:paraId="16C4019A" w14:textId="77777777" w:rsidTr="00357E85">
        <w:tc>
          <w:tcPr>
            <w:tcW w:w="4361" w:type="dxa"/>
          </w:tcPr>
          <w:p w14:paraId="5E045888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препаратов</w:t>
            </w:r>
          </w:p>
        </w:tc>
        <w:tc>
          <w:tcPr>
            <w:tcW w:w="5210" w:type="dxa"/>
          </w:tcPr>
          <w:p w14:paraId="67C54A65" w14:textId="77777777" w:rsidR="00011325" w:rsidRPr="00011325" w:rsidRDefault="00011325" w:rsidP="00357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Доза, химическое название</w:t>
            </w:r>
          </w:p>
        </w:tc>
      </w:tr>
      <w:tr w:rsidR="00011325" w:rsidRPr="00011325" w14:paraId="77D24C49" w14:textId="77777777" w:rsidTr="00357E85">
        <w:tc>
          <w:tcPr>
            <w:tcW w:w="4361" w:type="dxa"/>
          </w:tcPr>
          <w:p w14:paraId="787E1C8D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Гладкомышечные спазмолитики</w:t>
            </w:r>
          </w:p>
        </w:tc>
        <w:tc>
          <w:tcPr>
            <w:tcW w:w="5210" w:type="dxa"/>
          </w:tcPr>
          <w:p w14:paraId="191A427D" w14:textId="77777777" w:rsidR="00011325" w:rsidRPr="00011325" w:rsidRDefault="00011325" w:rsidP="0035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Дицикломин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10-20 мг х 4 р/д (М-</w:t>
            </w: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холинолитик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Отилониум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Спазмомен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блокатор </w:t>
            </w: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каналов) 40-80 мг х 2-3 р/д; </w:t>
            </w:r>
          </w:p>
          <w:p w14:paraId="1F75733A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Мебеверин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135 мг х 3 р/д</w:t>
            </w:r>
          </w:p>
        </w:tc>
      </w:tr>
      <w:tr w:rsidR="00011325" w:rsidRPr="00011325" w14:paraId="74F93DD0" w14:textId="77777777" w:rsidTr="00357E85">
        <w:tc>
          <w:tcPr>
            <w:tcW w:w="4361" w:type="dxa"/>
          </w:tcPr>
          <w:p w14:paraId="59C59304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Пробиотики</w:t>
            </w:r>
          </w:p>
        </w:tc>
        <w:tc>
          <w:tcPr>
            <w:tcW w:w="5210" w:type="dxa"/>
          </w:tcPr>
          <w:p w14:paraId="0BA5DC18" w14:textId="77777777" w:rsidR="00011325" w:rsidRPr="00011325" w:rsidRDefault="00011325" w:rsidP="00357E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hAnsi="Times New Roman" w:cs="Times New Roman"/>
                <w:bCs/>
                <w:sz w:val="24"/>
                <w:szCs w:val="24"/>
              </w:rPr>
              <w:t>Мультиштаммовые</w:t>
            </w:r>
            <w:proofErr w:type="spellEnd"/>
          </w:p>
        </w:tc>
      </w:tr>
      <w:tr w:rsidR="00011325" w:rsidRPr="00011325" w14:paraId="7386C3A7" w14:textId="77777777" w:rsidTr="00357E85">
        <w:tc>
          <w:tcPr>
            <w:tcW w:w="4361" w:type="dxa"/>
          </w:tcPr>
          <w:p w14:paraId="18C53E24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Масло мяты перечной</w:t>
            </w:r>
          </w:p>
        </w:tc>
        <w:tc>
          <w:tcPr>
            <w:tcW w:w="5210" w:type="dxa"/>
          </w:tcPr>
          <w:p w14:paraId="61ED9C01" w14:textId="77777777" w:rsidR="00011325" w:rsidRPr="00011325" w:rsidRDefault="00011325" w:rsidP="00357E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Капсулы, </w:t>
            </w: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покр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кишечнорастворимой оболочкой 250-750 мг х 2-3 р/д</w:t>
            </w:r>
          </w:p>
        </w:tc>
      </w:tr>
      <w:tr w:rsidR="00011325" w:rsidRPr="00011325" w14:paraId="29FD8D8A" w14:textId="77777777" w:rsidTr="00357E85">
        <w:tc>
          <w:tcPr>
            <w:tcW w:w="4361" w:type="dxa"/>
          </w:tcPr>
          <w:p w14:paraId="140CD016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Трициклические антидепрессанты</w:t>
            </w:r>
          </w:p>
        </w:tc>
        <w:tc>
          <w:tcPr>
            <w:tcW w:w="5210" w:type="dxa"/>
          </w:tcPr>
          <w:p w14:paraId="4A979D8E" w14:textId="77777777" w:rsidR="00011325" w:rsidRPr="00011325" w:rsidRDefault="00011325" w:rsidP="0035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Деспирамин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25-100 мг на ночь; </w:t>
            </w:r>
          </w:p>
          <w:p w14:paraId="358427F4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Амитриптилин 10-50 мг на ночь</w:t>
            </w:r>
          </w:p>
        </w:tc>
      </w:tr>
      <w:tr w:rsidR="00011325" w:rsidRPr="00011325" w14:paraId="5FB10995" w14:textId="77777777" w:rsidTr="00357E85">
        <w:tc>
          <w:tcPr>
            <w:tcW w:w="4361" w:type="dxa"/>
          </w:tcPr>
          <w:p w14:paraId="7F2BAF0F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5210" w:type="dxa"/>
          </w:tcPr>
          <w:p w14:paraId="49E7E10A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10-40 мг ежедневно</w:t>
            </w:r>
          </w:p>
        </w:tc>
      </w:tr>
      <w:tr w:rsidR="00011325" w:rsidRPr="00011325" w14:paraId="08A65117" w14:textId="77777777" w:rsidTr="00357E85">
        <w:tc>
          <w:tcPr>
            <w:tcW w:w="4361" w:type="dxa"/>
          </w:tcPr>
          <w:p w14:paraId="25C987E0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Активаторы хлоридного канала</w:t>
            </w:r>
          </w:p>
        </w:tc>
        <w:tc>
          <w:tcPr>
            <w:tcW w:w="5210" w:type="dxa"/>
          </w:tcPr>
          <w:p w14:paraId="3F6E61AF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Лубипростон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8 мкг х 2 р/д</w:t>
            </w:r>
          </w:p>
        </w:tc>
      </w:tr>
      <w:tr w:rsidR="00011325" w:rsidRPr="00011325" w14:paraId="4D4C6FA5" w14:textId="77777777" w:rsidTr="00357E85">
        <w:trPr>
          <w:trHeight w:val="313"/>
        </w:trPr>
        <w:tc>
          <w:tcPr>
            <w:tcW w:w="4361" w:type="dxa"/>
          </w:tcPr>
          <w:p w14:paraId="6F81A303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гуанилатциклазы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210" w:type="dxa"/>
          </w:tcPr>
          <w:p w14:paraId="5B57AB1D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Линаклотид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290 мкг ежедневно</w:t>
            </w:r>
          </w:p>
        </w:tc>
      </w:tr>
      <w:tr w:rsidR="00011325" w:rsidRPr="00011325" w14:paraId="3ECC6465" w14:textId="77777777" w:rsidTr="00357E85">
        <w:trPr>
          <w:trHeight w:val="135"/>
        </w:trPr>
        <w:tc>
          <w:tcPr>
            <w:tcW w:w="4361" w:type="dxa"/>
          </w:tcPr>
          <w:p w14:paraId="0863ED4E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5-HT</w:t>
            </w: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антагонисты</w:t>
            </w:r>
          </w:p>
        </w:tc>
        <w:tc>
          <w:tcPr>
            <w:tcW w:w="5210" w:type="dxa"/>
          </w:tcPr>
          <w:p w14:paraId="7C936D13" w14:textId="77777777" w:rsidR="00011325" w:rsidRPr="00011325" w:rsidRDefault="00011325" w:rsidP="0035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Алосетрон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0,5-1,0 мг х 2 р/д</w:t>
            </w:r>
          </w:p>
        </w:tc>
      </w:tr>
    </w:tbl>
    <w:p w14:paraId="42343F26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32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</w:t>
      </w:r>
      <w:r w:rsidRPr="00011325">
        <w:rPr>
          <w:rFonts w:ascii="Times New Roman" w:hAnsi="Times New Roman" w:cs="Times New Roman"/>
          <w:iCs/>
          <w:sz w:val="24"/>
          <w:szCs w:val="24"/>
        </w:rPr>
        <w:t>Лечение функционального запора</w:t>
      </w: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011325">
        <w:rPr>
          <w:rFonts w:ascii="Times New Roman" w:hAnsi="Times New Roman" w:cs="Times New Roman"/>
          <w:bCs/>
          <w:i/>
          <w:sz w:val="24"/>
          <w:szCs w:val="24"/>
        </w:rPr>
        <w:t>Диета</w:t>
      </w: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В день необходимо принимать 30 г </w:t>
      </w:r>
      <w:r w:rsidRPr="00011325">
        <w:rPr>
          <w:rFonts w:ascii="Times New Roman" w:hAnsi="Times New Roman" w:cs="Times New Roman"/>
          <w:bCs/>
          <w:i/>
          <w:sz w:val="24"/>
          <w:szCs w:val="24"/>
        </w:rPr>
        <w:t>балластных веществ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. Такое количество содержится в примерном меню: 200 г хлеба из муки грубого помола (16 г балластных веществ), 200 г картофеля (7г), 250 г овощей (7г), 250 г </w:t>
      </w:r>
      <w:r w:rsidRPr="000113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фруктов (5 г) – в сумме 35 г. Большое количество </w:t>
      </w:r>
      <w:r w:rsidRPr="00011325">
        <w:rPr>
          <w:rFonts w:ascii="Times New Roman" w:hAnsi="Times New Roman" w:cs="Times New Roman"/>
          <w:bCs/>
          <w:i/>
          <w:sz w:val="24"/>
          <w:szCs w:val="24"/>
        </w:rPr>
        <w:t>жидкости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 в день, в том числе 700 мл утром. Расширение двигательного режима пациента, массаж кишечника.</w:t>
      </w:r>
    </w:p>
    <w:p w14:paraId="69676114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32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11325">
        <w:rPr>
          <w:rFonts w:ascii="Times New Roman" w:hAnsi="Times New Roman" w:cs="Times New Roman"/>
          <w:i/>
          <w:sz w:val="24"/>
          <w:szCs w:val="24"/>
        </w:rPr>
        <w:t>Слабительные.</w:t>
      </w:r>
      <w:r w:rsidRPr="000113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11325">
        <w:rPr>
          <w:rFonts w:ascii="Times New Roman" w:hAnsi="Times New Roman" w:cs="Times New Roman"/>
          <w:sz w:val="24"/>
          <w:szCs w:val="24"/>
        </w:rPr>
        <w:t xml:space="preserve">Антрахиноны (алоэ, листья и плоды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сенны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, корень ревеня, кора крушины).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Дифенолы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бисакодил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>. Солевые слабительные. Спирты-углеводы: сорбит, лактулоза. Форлакс (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полиэтиленгликоль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</w:t>
      </w:r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17 - 34 г/сутки</w:t>
      </w:r>
      <w:r w:rsidRPr="00011325">
        <w:rPr>
          <w:rFonts w:ascii="Times New Roman" w:hAnsi="Times New Roman" w:cs="Times New Roman"/>
          <w:sz w:val="24"/>
          <w:szCs w:val="24"/>
        </w:rPr>
        <w:t xml:space="preserve">). Набухающие вещества и вещества-наполнители: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мукофальк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(оболочка семян подорожника).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1325">
        <w:rPr>
          <w:rFonts w:ascii="Times New Roman" w:hAnsi="Times New Roman" w:cs="Times New Roman"/>
          <w:i/>
          <w:sz w:val="24"/>
          <w:szCs w:val="24"/>
        </w:rPr>
        <w:t>Прокинетики</w:t>
      </w:r>
      <w:proofErr w:type="spellEnd"/>
      <w:r w:rsidRPr="00011325">
        <w:rPr>
          <w:rFonts w:ascii="Times New Roman" w:hAnsi="Times New Roman" w:cs="Times New Roman"/>
          <w:i/>
          <w:sz w:val="24"/>
          <w:szCs w:val="24"/>
        </w:rPr>
        <w:t xml:space="preserve">, желчегонные, </w:t>
      </w:r>
      <w:proofErr w:type="spellStart"/>
      <w:r w:rsidRPr="00011325">
        <w:rPr>
          <w:rFonts w:ascii="Times New Roman" w:hAnsi="Times New Roman" w:cs="Times New Roman"/>
          <w:i/>
          <w:sz w:val="24"/>
          <w:szCs w:val="24"/>
        </w:rPr>
        <w:t>тюбажи</w:t>
      </w:r>
      <w:proofErr w:type="spellEnd"/>
      <w:r w:rsidRPr="00011325">
        <w:rPr>
          <w:rFonts w:ascii="Times New Roman" w:hAnsi="Times New Roman" w:cs="Times New Roman"/>
          <w:i/>
          <w:sz w:val="24"/>
          <w:szCs w:val="24"/>
        </w:rPr>
        <w:t>.</w:t>
      </w:r>
      <w:r w:rsidRPr="000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Псилиум</w:t>
      </w:r>
      <w:proofErr w:type="spellEnd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до 30 г/</w:t>
      </w:r>
      <w:proofErr w:type="spellStart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сут</w:t>
      </w:r>
      <w:proofErr w:type="spellEnd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в несколько приемов. Активаторы хлоридного канала: </w:t>
      </w:r>
      <w:proofErr w:type="spellStart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Лубипростон</w:t>
      </w:r>
      <w:proofErr w:type="spellEnd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8 мкг х 2 р/день. Агонисты </w:t>
      </w:r>
      <w:proofErr w:type="spellStart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гуанилатциклазы</w:t>
      </w:r>
      <w:proofErr w:type="spellEnd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C</w:t>
      </w:r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: </w:t>
      </w:r>
      <w:proofErr w:type="spellStart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Линаклотид</w:t>
      </w:r>
      <w:proofErr w:type="spellEnd"/>
      <w:r w:rsidRPr="000113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290 мкг ежедневно.</w:t>
      </w:r>
    </w:p>
    <w:p w14:paraId="3E043906" w14:textId="0D0AFF23" w:rsidR="00011325" w:rsidRPr="00011325" w:rsidRDefault="00011325" w:rsidP="000113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11325">
        <w:rPr>
          <w:rFonts w:ascii="Times New Roman" w:hAnsi="Times New Roman" w:cs="Times New Roman"/>
          <w:i/>
          <w:sz w:val="24"/>
          <w:szCs w:val="24"/>
        </w:rPr>
        <w:t>Лечение функциональной диареи</w:t>
      </w:r>
      <w:r w:rsidRPr="00011325">
        <w:rPr>
          <w:rFonts w:ascii="Times New Roman" w:hAnsi="Times New Roman" w:cs="Times New Roman"/>
          <w:sz w:val="24"/>
          <w:szCs w:val="24"/>
        </w:rPr>
        <w:t>.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 Лекарственные препараты,</w:t>
      </w:r>
      <w:r w:rsidRPr="00011325">
        <w:rPr>
          <w:rFonts w:ascii="Times New Roman" w:hAnsi="Times New Roman" w:cs="Times New Roman"/>
          <w:sz w:val="24"/>
          <w:szCs w:val="24"/>
        </w:rPr>
        <w:t xml:space="preserve"> </w:t>
      </w:r>
      <w:r w:rsidRPr="00011325">
        <w:rPr>
          <w:rFonts w:ascii="Times New Roman" w:hAnsi="Times New Roman" w:cs="Times New Roman"/>
          <w:bCs/>
          <w:sz w:val="24"/>
          <w:szCs w:val="24"/>
        </w:rPr>
        <w:t>рекомендованные</w:t>
      </w:r>
      <w:r w:rsidRPr="0001132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11325">
        <w:rPr>
          <w:rFonts w:ascii="Times New Roman" w:hAnsi="Times New Roman" w:cs="Times New Roman"/>
          <w:bCs/>
          <w:sz w:val="24"/>
          <w:szCs w:val="24"/>
        </w:rPr>
        <w:t>СРК с преобладанием диареи, представлены в таблице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113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0C5F37" w14:textId="77777777" w:rsidR="00011325" w:rsidRPr="00011325" w:rsidRDefault="00011325" w:rsidP="00011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D981F" w14:textId="5911F612" w:rsidR="00011325" w:rsidRPr="00011325" w:rsidRDefault="00011325" w:rsidP="000113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1325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B1C09E" w14:textId="77777777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325">
        <w:rPr>
          <w:rFonts w:ascii="Times New Roman" w:hAnsi="Times New Roman" w:cs="Times New Roman"/>
          <w:b/>
          <w:bCs/>
          <w:sz w:val="24"/>
          <w:szCs w:val="24"/>
        </w:rPr>
        <w:t xml:space="preserve">Лекарственные препараты для лечения функциональной диареи </w:t>
      </w:r>
    </w:p>
    <w:p w14:paraId="503741B1" w14:textId="77777777" w:rsidR="00011325" w:rsidRPr="00011325" w:rsidRDefault="00011325" w:rsidP="000113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5"/>
        <w:gridCol w:w="4700"/>
      </w:tblGrid>
      <w:tr w:rsidR="00011325" w:rsidRPr="00011325" w14:paraId="362118DD" w14:textId="77777777" w:rsidTr="00357E85">
        <w:tc>
          <w:tcPr>
            <w:tcW w:w="4785" w:type="dxa"/>
          </w:tcPr>
          <w:p w14:paraId="72E00A66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>Группы препаратов</w:t>
            </w:r>
          </w:p>
        </w:tc>
        <w:tc>
          <w:tcPr>
            <w:tcW w:w="4786" w:type="dxa"/>
          </w:tcPr>
          <w:p w14:paraId="17FBE8DD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hAnsi="Times New Roman" w:cs="Times New Roman"/>
                <w:sz w:val="24"/>
                <w:szCs w:val="24"/>
              </w:rPr>
              <w:t xml:space="preserve"> Дозы, препараты</w:t>
            </w:r>
          </w:p>
        </w:tc>
      </w:tr>
      <w:tr w:rsidR="00011325" w:rsidRPr="00011325" w14:paraId="791851F9" w14:textId="77777777" w:rsidTr="00357E85">
        <w:tc>
          <w:tcPr>
            <w:tcW w:w="4785" w:type="dxa"/>
          </w:tcPr>
          <w:p w14:paraId="2EC3A111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Опиоидные агонисты</w:t>
            </w:r>
          </w:p>
        </w:tc>
        <w:tc>
          <w:tcPr>
            <w:tcW w:w="4786" w:type="dxa"/>
          </w:tcPr>
          <w:p w14:paraId="2206C74B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Лоперамид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2-4 мг, по требованию</w:t>
            </w:r>
          </w:p>
        </w:tc>
      </w:tr>
      <w:tr w:rsidR="00011325" w:rsidRPr="00011325" w14:paraId="5B55DA4E" w14:textId="77777777" w:rsidTr="00357E85">
        <w:tc>
          <w:tcPr>
            <w:tcW w:w="4785" w:type="dxa"/>
          </w:tcPr>
          <w:p w14:paraId="350DB378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4786" w:type="dxa"/>
          </w:tcPr>
          <w:p w14:paraId="69AADFBA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Ограничение/исключение глютена</w:t>
            </w:r>
          </w:p>
        </w:tc>
      </w:tr>
      <w:tr w:rsidR="00011325" w:rsidRPr="00011325" w14:paraId="7487F28D" w14:textId="77777777" w:rsidTr="00357E85">
        <w:tc>
          <w:tcPr>
            <w:tcW w:w="4785" w:type="dxa"/>
          </w:tcPr>
          <w:p w14:paraId="07A4C638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Секвестранты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солей желчных кислот</w:t>
            </w:r>
          </w:p>
        </w:tc>
        <w:tc>
          <w:tcPr>
            <w:tcW w:w="4786" w:type="dxa"/>
          </w:tcPr>
          <w:p w14:paraId="57550AB0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Холестирамин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9 г х 2-3 раза в день</w:t>
            </w:r>
          </w:p>
        </w:tc>
      </w:tr>
      <w:tr w:rsidR="00011325" w:rsidRPr="00011325" w14:paraId="2431FBDF" w14:textId="77777777" w:rsidTr="00357E85">
        <w:tc>
          <w:tcPr>
            <w:tcW w:w="4785" w:type="dxa"/>
          </w:tcPr>
          <w:p w14:paraId="1E710BA7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Пробиотики</w:t>
            </w:r>
          </w:p>
        </w:tc>
        <w:tc>
          <w:tcPr>
            <w:tcW w:w="4786" w:type="dxa"/>
          </w:tcPr>
          <w:p w14:paraId="71D8C607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Мультиштаммовые</w:t>
            </w:r>
            <w:proofErr w:type="spellEnd"/>
          </w:p>
        </w:tc>
      </w:tr>
      <w:tr w:rsidR="00011325" w:rsidRPr="00011325" w14:paraId="447EE027" w14:textId="77777777" w:rsidTr="00357E85">
        <w:tc>
          <w:tcPr>
            <w:tcW w:w="4785" w:type="dxa"/>
          </w:tcPr>
          <w:p w14:paraId="2C986145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786" w:type="dxa"/>
          </w:tcPr>
          <w:p w14:paraId="6CD863F0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Рифаксимин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550 мг </w:t>
            </w: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энтерально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3 р/д х 14 дней.</w:t>
            </w:r>
          </w:p>
        </w:tc>
      </w:tr>
      <w:tr w:rsidR="00011325" w:rsidRPr="00011325" w14:paraId="7EF4E6EA" w14:textId="77777777" w:rsidTr="00357E85">
        <w:tc>
          <w:tcPr>
            <w:tcW w:w="4785" w:type="dxa"/>
          </w:tcPr>
          <w:p w14:paraId="526A1CA5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5-HT</w:t>
            </w: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position w:val="-9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антагонисты</w:t>
            </w:r>
          </w:p>
        </w:tc>
        <w:tc>
          <w:tcPr>
            <w:tcW w:w="4786" w:type="dxa"/>
          </w:tcPr>
          <w:p w14:paraId="4BD9D609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Алосетрон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0,5-1,0 мг х 2 р/д</w:t>
            </w:r>
          </w:p>
        </w:tc>
      </w:tr>
      <w:tr w:rsidR="00011325" w:rsidRPr="00011325" w14:paraId="7BE9D427" w14:textId="77777777" w:rsidTr="00357E85">
        <w:tc>
          <w:tcPr>
            <w:tcW w:w="4785" w:type="dxa"/>
          </w:tcPr>
          <w:p w14:paraId="144BA26F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Комбинация опиоидных агонистов и антагонистов</w:t>
            </w:r>
          </w:p>
        </w:tc>
        <w:tc>
          <w:tcPr>
            <w:tcW w:w="4786" w:type="dxa"/>
          </w:tcPr>
          <w:p w14:paraId="34A346E1" w14:textId="77777777" w:rsidR="00011325" w:rsidRPr="00011325" w:rsidRDefault="00011325" w:rsidP="0035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Элюксадолин</w:t>
            </w:r>
            <w:proofErr w:type="spellEnd"/>
            <w:r w:rsidRPr="000113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100 мг х 2 р/д </w:t>
            </w:r>
          </w:p>
          <w:p w14:paraId="76E2F54F" w14:textId="77777777" w:rsidR="00011325" w:rsidRPr="00011325" w:rsidRDefault="00011325" w:rsidP="0035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CD121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FCDA8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2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11325">
        <w:rPr>
          <w:rFonts w:ascii="Times New Roman" w:hAnsi="Times New Roman" w:cs="Times New Roman"/>
          <w:bCs/>
          <w:i/>
          <w:sz w:val="24"/>
          <w:szCs w:val="24"/>
        </w:rPr>
        <w:t>Влияние на висцеральную гиперчувствительность</w:t>
      </w:r>
      <w:r w:rsidRPr="00011325">
        <w:rPr>
          <w:rFonts w:ascii="Times New Roman" w:hAnsi="Times New Roman" w:cs="Times New Roman"/>
          <w:bCs/>
          <w:sz w:val="24"/>
          <w:szCs w:val="24"/>
        </w:rPr>
        <w:t>.</w:t>
      </w:r>
      <w:r w:rsidRPr="00011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325">
        <w:rPr>
          <w:rFonts w:ascii="Times New Roman" w:hAnsi="Times New Roman" w:cs="Times New Roman"/>
          <w:sz w:val="24"/>
          <w:szCs w:val="24"/>
        </w:rPr>
        <w:t xml:space="preserve">К таким препаратам относят: антагонисты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тахикининовых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рецепторов, ингибиторы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гидроксилазы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триптофана, </w:t>
      </w:r>
      <w:proofErr w:type="spellStart"/>
      <w:r w:rsidRPr="00011325">
        <w:rPr>
          <w:rFonts w:ascii="Times New Roman" w:hAnsi="Times New Roman" w:cs="Times New Roman"/>
          <w:sz w:val="24"/>
          <w:szCs w:val="24"/>
        </w:rPr>
        <w:t>секвестранты</w:t>
      </w:r>
      <w:proofErr w:type="spellEnd"/>
      <w:r w:rsidRPr="00011325">
        <w:rPr>
          <w:rFonts w:ascii="Times New Roman" w:hAnsi="Times New Roman" w:cs="Times New Roman"/>
          <w:sz w:val="24"/>
          <w:szCs w:val="24"/>
        </w:rPr>
        <w:t xml:space="preserve"> желчных кислот, агонисты и антагонисты опиоидных рецепторов. </w:t>
      </w:r>
    </w:p>
    <w:p w14:paraId="03318ABD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25">
        <w:rPr>
          <w:rFonts w:ascii="Times New Roman" w:hAnsi="Times New Roman" w:cs="Times New Roman"/>
          <w:sz w:val="24"/>
          <w:szCs w:val="24"/>
        </w:rPr>
        <w:t xml:space="preserve">        Учитывая пограничные расстройства психики, нежелание принимать психотропные препараты, больные СРК являются сложными для курации, требуют индивидуального отношения и длительного лечения.</w:t>
      </w:r>
    </w:p>
    <w:p w14:paraId="1EA42CEF" w14:textId="77777777" w:rsidR="00011325" w:rsidRPr="00011325" w:rsidRDefault="00011325" w:rsidP="0001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FE442" w14:textId="6884A132" w:rsidR="003911C1" w:rsidRPr="00C42FE2" w:rsidRDefault="00724757" w:rsidP="00C42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FE2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="00C42FE2" w:rsidRPr="00C42F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A614BB" w14:textId="42C14DF3" w:rsidR="00724757" w:rsidRPr="00C42FE2" w:rsidRDefault="00724757">
      <w:pPr>
        <w:rPr>
          <w:rFonts w:ascii="Times New Roman" w:hAnsi="Times New Roman" w:cs="Times New Roman"/>
          <w:sz w:val="24"/>
          <w:szCs w:val="24"/>
        </w:rPr>
      </w:pPr>
      <w:r w:rsidRPr="00C42FE2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Имеющиеся данные о прогнозе течения СРК неоднозначны. Согласно наиболее масштабному исследованию, у большинства пациентов с СРК симптомы, несмотря на проводимое лечение, сохраняются, но не усиливаются. Вероятность купирования симптомов СРК при наблюдении в течение 12-20 месяцев составляет 38%. К факторам, оказывающим негативное влияние на прогноз заболевания, относятся нежелание получать </w:t>
      </w:r>
      <w:r w:rsidRPr="00C42FE2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lastRenderedPageBreak/>
        <w:t>лечение, тревожность по поводу рисков, связанных с заболеванием, нарушение повседневных функций в результате СРК, длительный анамнез СРК, хронический стресс, а также наличие сопутствующих психиатрических заболеваний.</w:t>
      </w:r>
      <w:r w:rsidRPr="00C42FE2">
        <w:rPr>
          <w:rStyle w:val="20"/>
          <w:rFonts w:ascii="Times New Roman" w:eastAsiaTheme="minorHAns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C42FE2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Являясь хроническим заболеванием, ассоциированным с рядом эмоциональных нарушений, в большинстве случаев, при длительном течении СРК целесообразно психологическое (психотерапевтическое) консультирование по коррекции факторов риска развития неинфекционных заболеваний, первичное. Согласно систематическому обзору, эффективными при СРК являются когнитивная поведенческая терапия</w:t>
      </w:r>
      <w:r w:rsidR="00C42FE2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Pr="00C42FE2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гипнотерапияи</w:t>
      </w:r>
      <w:proofErr w:type="spellEnd"/>
      <w:r w:rsidRPr="00C42FE2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психологическая поддержка.</w:t>
      </w:r>
    </w:p>
    <w:p w14:paraId="4C3FC81D" w14:textId="45ECF101" w:rsidR="00724757" w:rsidRDefault="00724757">
      <w:pPr>
        <w:rPr>
          <w:rFonts w:ascii="Times New Roman" w:hAnsi="Times New Roman" w:cs="Times New Roman"/>
          <w:sz w:val="24"/>
          <w:szCs w:val="24"/>
        </w:rPr>
      </w:pPr>
    </w:p>
    <w:p w14:paraId="2DE67F7E" w14:textId="7EB5CD3A" w:rsidR="00724757" w:rsidRDefault="00724757">
      <w:pPr>
        <w:rPr>
          <w:rFonts w:ascii="Times New Roman" w:hAnsi="Times New Roman" w:cs="Times New Roman"/>
          <w:sz w:val="24"/>
          <w:szCs w:val="24"/>
        </w:rPr>
      </w:pPr>
    </w:p>
    <w:p w14:paraId="1679E07C" w14:textId="77777777" w:rsidR="00724757" w:rsidRDefault="00724757" w:rsidP="00724757">
      <w:pPr>
        <w:pStyle w:val="1"/>
        <w:ind w:firstLine="709"/>
        <w:jc w:val="both"/>
        <w:rPr>
          <w:b/>
          <w:bCs/>
        </w:rPr>
      </w:pPr>
    </w:p>
    <w:p w14:paraId="5CA5B2F0" w14:textId="77777777" w:rsidR="00724757" w:rsidRPr="00C42FE2" w:rsidRDefault="00724757" w:rsidP="00724757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2FE2">
        <w:rPr>
          <w:rFonts w:ascii="Times New Roman" w:hAnsi="Times New Roman" w:cs="Times New Roman"/>
          <w:color w:val="auto"/>
          <w:sz w:val="24"/>
          <w:szCs w:val="24"/>
        </w:rPr>
        <w:t>Список литературы.</w:t>
      </w:r>
    </w:p>
    <w:p w14:paraId="68713CA9" w14:textId="77777777" w:rsidR="00C42FE2" w:rsidRPr="00C42FE2" w:rsidRDefault="00724757" w:rsidP="00C42FE2">
      <w:pPr>
        <w:rPr>
          <w:rFonts w:ascii="Times New Roman" w:hAnsi="Times New Roman" w:cs="Times New Roman"/>
          <w:sz w:val="24"/>
          <w:szCs w:val="24"/>
        </w:rPr>
      </w:pPr>
      <w:r w:rsidRPr="00C42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C42FE2" w:rsidRPr="00C42FE2">
        <w:rPr>
          <w:rFonts w:ascii="Times New Roman" w:hAnsi="Times New Roman" w:cs="Times New Roman"/>
          <w:sz w:val="24"/>
          <w:szCs w:val="24"/>
          <w:shd w:val="clear" w:color="auto" w:fill="FFFFFF"/>
        </w:rPr>
        <w:t>Синдром раздраженного кишечника.</w:t>
      </w:r>
      <w:r w:rsidRPr="00C42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Клинические рекомендации РФ 20</w:t>
      </w:r>
      <w:r w:rsidR="00C42FE2" w:rsidRPr="00C42FE2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C42FE2">
        <w:rPr>
          <w:rFonts w:ascii="Times New Roman" w:hAnsi="Times New Roman" w:cs="Times New Roman"/>
          <w:sz w:val="24"/>
          <w:szCs w:val="24"/>
          <w:shd w:val="clear" w:color="auto" w:fill="FFFFFF"/>
        </w:rPr>
        <w:t>г. Клинические рекомендации Российской гастроэнтерологической ассоциаци</w:t>
      </w:r>
      <w:r w:rsidRPr="00C42FE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42FE2">
        <w:rPr>
          <w:rFonts w:ascii="Times New Roman" w:hAnsi="Times New Roman" w:cs="Times New Roman"/>
          <w:sz w:val="24"/>
          <w:szCs w:val="24"/>
        </w:rPr>
        <w:t>и  Общероссийская</w:t>
      </w:r>
      <w:proofErr w:type="gramEnd"/>
      <w:r w:rsidRPr="00C42FE2">
        <w:rPr>
          <w:rFonts w:ascii="Times New Roman" w:hAnsi="Times New Roman" w:cs="Times New Roman"/>
          <w:sz w:val="24"/>
          <w:szCs w:val="24"/>
        </w:rPr>
        <w:t xml:space="preserve"> общественная организация "Ассоциация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колопроктологов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России"/ </w:t>
      </w:r>
    </w:p>
    <w:p w14:paraId="44006E1C" w14:textId="706CA78D" w:rsidR="00C42FE2" w:rsidRPr="00C42FE2" w:rsidRDefault="00724757" w:rsidP="00724757">
      <w:pPr>
        <w:rPr>
          <w:rFonts w:ascii="Times New Roman" w:hAnsi="Times New Roman" w:cs="Times New Roman"/>
          <w:sz w:val="24"/>
          <w:szCs w:val="24"/>
        </w:rPr>
      </w:pPr>
      <w:r w:rsidRPr="00C42FE2">
        <w:rPr>
          <w:rFonts w:ascii="Times New Roman" w:hAnsi="Times New Roman" w:cs="Times New Roman"/>
          <w:sz w:val="24"/>
          <w:szCs w:val="24"/>
        </w:rPr>
        <w:t xml:space="preserve">2. </w:t>
      </w:r>
      <w:r w:rsidRPr="00C4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Шептулин А.А., Визе-Хрипунова М.А. Сравнительная оценка американских, немецких, французских и российских рекомендаций по ведению больных с синдромом раздраженного кишечника. РЖГГК он-лайн – </w:t>
      </w:r>
      <w:hyperlink r:id="rId13" w:history="1">
        <w:r w:rsidR="00C42FE2" w:rsidRPr="00C42FE2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www.gastro-j.ru</w:t>
        </w:r>
      </w:hyperlink>
      <w:r w:rsidRPr="00C42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2B678B" w14:textId="467F6EE3" w:rsidR="00724757" w:rsidRPr="00C42FE2" w:rsidRDefault="00724757" w:rsidP="00C4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E2">
        <w:rPr>
          <w:rFonts w:ascii="Times New Roman" w:hAnsi="Times New Roman" w:cs="Times New Roman"/>
          <w:sz w:val="24"/>
          <w:szCs w:val="24"/>
        </w:rPr>
        <w:t xml:space="preserve">3. </w:t>
      </w:r>
      <w:r w:rsidRPr="00C4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Ивашкин В. Т., </w:t>
      </w:r>
      <w:proofErr w:type="spellStart"/>
      <w:r w:rsidRPr="00C42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Маев</w:t>
      </w:r>
      <w:proofErr w:type="spellEnd"/>
      <w:r w:rsidRPr="00C4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Шептулин А. А. и </w:t>
      </w:r>
      <w:proofErr w:type="spellStart"/>
      <w:r w:rsidRPr="00C4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C42F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Резолюция Экспертного совета «Как улучшить результаты лечения больных с функциональной диспепсией и синдромом раздраженного кишечника»? Российский журнал гастроэнтерологии, гепатологии, колопроктологии, 2016, №2, С. 101-104.</w:t>
      </w:r>
    </w:p>
    <w:p w14:paraId="037196AD" w14:textId="40559D67" w:rsidR="00724757" w:rsidRPr="00C42FE2" w:rsidRDefault="00C42FE2" w:rsidP="00C42FE2">
      <w:pPr>
        <w:rPr>
          <w:rFonts w:ascii="Times New Roman" w:hAnsi="Times New Roman" w:cs="Times New Roman"/>
          <w:sz w:val="24"/>
          <w:szCs w:val="24"/>
        </w:rPr>
      </w:pPr>
      <w:r w:rsidRPr="00C42FE2">
        <w:rPr>
          <w:rFonts w:ascii="Times New Roman" w:hAnsi="Times New Roman" w:cs="Times New Roman"/>
          <w:sz w:val="24"/>
          <w:szCs w:val="24"/>
        </w:rPr>
        <w:t>4</w:t>
      </w:r>
      <w:r w:rsidR="00724757" w:rsidRPr="00C42FE2">
        <w:rPr>
          <w:rFonts w:ascii="Times New Roman" w:hAnsi="Times New Roman" w:cs="Times New Roman"/>
          <w:sz w:val="24"/>
          <w:szCs w:val="24"/>
        </w:rPr>
        <w:t xml:space="preserve">.Воробьев Г. И., Халиф И. Л. Неспецифические воспалительные заболевания кишечника. – М.: </w:t>
      </w:r>
      <w:proofErr w:type="spellStart"/>
      <w:r w:rsidR="00724757" w:rsidRPr="00C42FE2">
        <w:rPr>
          <w:rFonts w:ascii="Times New Roman" w:hAnsi="Times New Roman" w:cs="Times New Roman"/>
          <w:sz w:val="24"/>
          <w:szCs w:val="24"/>
        </w:rPr>
        <w:t>Миклош</w:t>
      </w:r>
      <w:proofErr w:type="spellEnd"/>
      <w:r w:rsidR="00724757" w:rsidRPr="00C42FE2">
        <w:rPr>
          <w:rFonts w:ascii="Times New Roman" w:hAnsi="Times New Roman" w:cs="Times New Roman"/>
          <w:sz w:val="24"/>
          <w:szCs w:val="24"/>
        </w:rPr>
        <w:t>, 2008. – 422с</w:t>
      </w:r>
    </w:p>
    <w:p w14:paraId="2F844AB1" w14:textId="3788DAED" w:rsidR="00C42FE2" w:rsidRPr="00C42FE2" w:rsidRDefault="00C42FE2" w:rsidP="00C42FE2">
      <w:pPr>
        <w:rPr>
          <w:rFonts w:ascii="Times New Roman" w:hAnsi="Times New Roman" w:cs="Times New Roman"/>
          <w:sz w:val="24"/>
          <w:szCs w:val="24"/>
        </w:rPr>
      </w:pPr>
      <w:r w:rsidRPr="00C42FE2">
        <w:rPr>
          <w:rFonts w:ascii="Times New Roman" w:hAnsi="Times New Roman" w:cs="Times New Roman"/>
          <w:sz w:val="24"/>
          <w:szCs w:val="24"/>
        </w:rPr>
        <w:t xml:space="preserve">5. </w:t>
      </w:r>
      <w:r w:rsidRPr="00C42FE2">
        <w:rPr>
          <w:rFonts w:ascii="Times New Roman" w:hAnsi="Times New Roman" w:cs="Times New Roman"/>
          <w:sz w:val="24"/>
          <w:szCs w:val="24"/>
        </w:rPr>
        <w:t xml:space="preserve">Ивашкин В.Т., Шелыгин Ю.А.,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Баранская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Е.К., Белоусова Е.А.,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Бениашвили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А.Г., Васильев С.В., Головенко А.О., Головенко О.В., Григорьев Е.Г., Костенко Н.В., Лапина Т.Л.,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Лоранская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И.Д., Ляшенко О.С.,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Маев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И.В., Полуэктова Е.А., Румянцев В.Г.,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Тимербулатов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В.М., Трухманов А.С., Фоменко О.Ю., Халиф И.Л.,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Чашкова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Е.Ю., Шептулин А.А., Шифрин О.С., Яновой В.В. Клинические рекомендации Российской гастроэнтерологической ассоциации и Ассоциации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колопроктологов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России по диагностике и лечению синдрома раздраженного кишечника. Рос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журн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гастроэнтерол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гепатол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FE2">
        <w:rPr>
          <w:rFonts w:ascii="Times New Roman" w:hAnsi="Times New Roman" w:cs="Times New Roman"/>
          <w:sz w:val="24"/>
          <w:szCs w:val="24"/>
        </w:rPr>
        <w:t>колопроктол</w:t>
      </w:r>
      <w:proofErr w:type="spellEnd"/>
      <w:r w:rsidRPr="00C42FE2">
        <w:rPr>
          <w:rFonts w:ascii="Times New Roman" w:hAnsi="Times New Roman" w:cs="Times New Roman"/>
          <w:sz w:val="24"/>
          <w:szCs w:val="24"/>
        </w:rPr>
        <w:t xml:space="preserve"> 2017; 27(5):76-93 DOI: 10.22416/1382-4376-2017-27-5-76-93</w:t>
      </w:r>
    </w:p>
    <w:p w14:paraId="37AE140F" w14:textId="77777777" w:rsidR="00724757" w:rsidRPr="00714D58" w:rsidRDefault="00724757" w:rsidP="00724757">
      <w:pPr>
        <w:pStyle w:val="1"/>
        <w:ind w:firstLine="709"/>
        <w:jc w:val="both"/>
      </w:pPr>
    </w:p>
    <w:p w14:paraId="2C44598B" w14:textId="77777777" w:rsidR="00724757" w:rsidRPr="00714D58" w:rsidRDefault="00724757" w:rsidP="00724757">
      <w:pPr>
        <w:pStyle w:val="1"/>
        <w:ind w:firstLine="709"/>
        <w:jc w:val="both"/>
        <w:rPr>
          <w:b/>
          <w:bCs/>
        </w:rPr>
      </w:pPr>
    </w:p>
    <w:p w14:paraId="552BF805" w14:textId="77777777" w:rsidR="00724757" w:rsidRPr="00714D58" w:rsidRDefault="00724757" w:rsidP="00724757">
      <w:pPr>
        <w:pStyle w:val="1"/>
        <w:ind w:firstLine="709"/>
        <w:jc w:val="both"/>
        <w:rPr>
          <w:b/>
          <w:bCs/>
        </w:rPr>
      </w:pPr>
    </w:p>
    <w:p w14:paraId="12D6BF72" w14:textId="77777777" w:rsidR="00724757" w:rsidRPr="00714D58" w:rsidRDefault="00724757" w:rsidP="00724757">
      <w:pPr>
        <w:pStyle w:val="1"/>
        <w:ind w:firstLine="709"/>
        <w:jc w:val="both"/>
        <w:rPr>
          <w:b/>
          <w:bCs/>
        </w:rPr>
      </w:pPr>
    </w:p>
    <w:p w14:paraId="537B33E8" w14:textId="77777777" w:rsidR="00724757" w:rsidRPr="00714D58" w:rsidRDefault="00724757" w:rsidP="00724757">
      <w:pPr>
        <w:pStyle w:val="1"/>
        <w:ind w:firstLine="709"/>
        <w:jc w:val="both"/>
        <w:rPr>
          <w:b/>
          <w:bCs/>
        </w:rPr>
      </w:pPr>
    </w:p>
    <w:p w14:paraId="50D85676" w14:textId="77777777" w:rsidR="00724757" w:rsidRPr="00011325" w:rsidRDefault="00724757">
      <w:pPr>
        <w:rPr>
          <w:rFonts w:ascii="Times New Roman" w:hAnsi="Times New Roman" w:cs="Times New Roman"/>
          <w:sz w:val="24"/>
          <w:szCs w:val="24"/>
        </w:rPr>
      </w:pPr>
    </w:p>
    <w:sectPr w:rsidR="00724757" w:rsidRPr="0001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1E3B" w14:textId="77777777" w:rsidR="00AE6C2C" w:rsidRDefault="00AE6C2C">
      <w:pPr>
        <w:spacing w:after="0" w:line="240" w:lineRule="auto"/>
      </w:pPr>
      <w:r>
        <w:separator/>
      </w:r>
    </w:p>
  </w:endnote>
  <w:endnote w:type="continuationSeparator" w:id="0">
    <w:p w14:paraId="409C9C22" w14:textId="77777777" w:rsidR="00AE6C2C" w:rsidRDefault="00AE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92F8" w14:textId="77777777" w:rsidR="00090B4E" w:rsidRDefault="00AE6C2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DC12" w14:textId="77777777" w:rsidR="00090B4E" w:rsidRDefault="0072475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BD73F4" w14:textId="77777777" w:rsidR="00090B4E" w:rsidRDefault="00AE6C2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6403" w14:textId="77777777" w:rsidR="00090B4E" w:rsidRDefault="00AE6C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23AE" w14:textId="77777777" w:rsidR="00AE6C2C" w:rsidRDefault="00AE6C2C">
      <w:pPr>
        <w:spacing w:after="0" w:line="240" w:lineRule="auto"/>
      </w:pPr>
      <w:r>
        <w:separator/>
      </w:r>
    </w:p>
  </w:footnote>
  <w:footnote w:type="continuationSeparator" w:id="0">
    <w:p w14:paraId="091ED18F" w14:textId="77777777" w:rsidR="00AE6C2C" w:rsidRDefault="00AE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AC15" w14:textId="77777777" w:rsidR="00090B4E" w:rsidRDefault="00AE6C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EF2A" w14:textId="77777777" w:rsidR="00090B4E" w:rsidRDefault="00AE6C2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468F" w14:textId="77777777" w:rsidR="00090B4E" w:rsidRDefault="00AE6C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BFE"/>
    <w:multiLevelType w:val="hybridMultilevel"/>
    <w:tmpl w:val="87FA0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89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8B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66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2B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AF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4C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01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2A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35F2C"/>
    <w:multiLevelType w:val="multilevel"/>
    <w:tmpl w:val="E630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B7387"/>
    <w:multiLevelType w:val="hybridMultilevel"/>
    <w:tmpl w:val="C8C4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E6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86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AC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A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67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6D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E5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66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B168C"/>
    <w:multiLevelType w:val="multilevel"/>
    <w:tmpl w:val="41DCF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B955D1"/>
    <w:multiLevelType w:val="multilevel"/>
    <w:tmpl w:val="0A5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F6A45"/>
    <w:multiLevelType w:val="multilevel"/>
    <w:tmpl w:val="2CA8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25"/>
    <w:rsid w:val="00011325"/>
    <w:rsid w:val="003911C1"/>
    <w:rsid w:val="00552B05"/>
    <w:rsid w:val="00724757"/>
    <w:rsid w:val="008011E8"/>
    <w:rsid w:val="00AE6C2C"/>
    <w:rsid w:val="00B53231"/>
    <w:rsid w:val="00C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7053"/>
  <w15:chartTrackingRefBased/>
  <w15:docId w15:val="{714BD453-2B23-4E7F-A654-3BF00441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2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1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113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3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1325"/>
    <w:pPr>
      <w:ind w:left="720"/>
      <w:contextualSpacing/>
    </w:pPr>
  </w:style>
  <w:style w:type="table" w:styleId="a4">
    <w:name w:val="Table Grid"/>
    <w:basedOn w:val="a1"/>
    <w:uiPriority w:val="59"/>
    <w:rsid w:val="0001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концевой сноски1"/>
    <w:basedOn w:val="a"/>
    <w:rsid w:val="00011325"/>
    <w:pPr>
      <w:suppressAutoHyphens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1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011325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11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1325"/>
    <w:pPr>
      <w:widowControl w:val="0"/>
      <w:tabs>
        <w:tab w:val="center" w:pos="4677"/>
        <w:tab w:val="right" w:pos="9355"/>
      </w:tabs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11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1325"/>
    <w:pPr>
      <w:widowControl w:val="0"/>
      <w:tabs>
        <w:tab w:val="center" w:pos="4677"/>
        <w:tab w:val="right" w:pos="9355"/>
      </w:tabs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11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1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11325"/>
    <w:rPr>
      <w:i/>
      <w:iCs/>
    </w:rPr>
  </w:style>
  <w:style w:type="character" w:styleId="ad">
    <w:name w:val="Hyperlink"/>
    <w:basedOn w:val="a0"/>
    <w:uiPriority w:val="99"/>
    <w:unhideWhenUsed/>
    <w:rsid w:val="00C42FE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astro-j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Аяс Борчиков</dc:creator>
  <cp:keywords/>
  <dc:description/>
  <cp:lastModifiedBy>Аяс Борчиков</cp:lastModifiedBy>
  <cp:revision>5</cp:revision>
  <dcterms:created xsi:type="dcterms:W3CDTF">2023-10-18T06:08:00Z</dcterms:created>
  <dcterms:modified xsi:type="dcterms:W3CDTF">2023-10-18T16:28:00Z</dcterms:modified>
</cp:coreProperties>
</file>