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F8" w:rsidRPr="006179F8" w:rsidRDefault="006179F8" w:rsidP="006179F8">
      <w:pPr>
        <w:widowControl/>
        <w:suppressAutoHyphens w:val="0"/>
        <w:spacing w:after="160" w:line="259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6179F8">
        <w:rPr>
          <w:rFonts w:cs="Times New Roman"/>
          <w:kern w:val="0"/>
          <w:sz w:val="28"/>
          <w:szCs w:val="28"/>
          <w:lang w:eastAsia="en-US" w:bidi="ar-SA"/>
        </w:rPr>
        <w:t>В аптеку обратился пос</w:t>
      </w:r>
      <w:r w:rsidRPr="006179F8">
        <w:rPr>
          <w:rFonts w:cs="Times New Roman"/>
          <w:kern w:val="0"/>
          <w:sz w:val="28"/>
          <w:szCs w:val="28"/>
          <w:lang w:eastAsia="en-US" w:bidi="ar-SA"/>
        </w:rPr>
        <w:t xml:space="preserve">етитель с рецептом на </w:t>
      </w:r>
      <w:proofErr w:type="gramStart"/>
      <w:r w:rsidRPr="006179F8">
        <w:rPr>
          <w:rFonts w:cs="Times New Roman"/>
          <w:kern w:val="0"/>
          <w:sz w:val="28"/>
          <w:szCs w:val="28"/>
          <w:lang w:eastAsia="en-US" w:bidi="ar-SA"/>
        </w:rPr>
        <w:t xml:space="preserve">препарат:  </w:t>
      </w:r>
      <w:r w:rsidRPr="006179F8">
        <w:rPr>
          <w:rFonts w:cs="Times New Roman"/>
          <w:sz w:val="28"/>
          <w:szCs w:val="28"/>
        </w:rPr>
        <w:t>н</w:t>
      </w:r>
      <w:r w:rsidRPr="006179F8">
        <w:rPr>
          <w:rFonts w:cs="Times New Roman"/>
          <w:sz w:val="28"/>
          <w:szCs w:val="28"/>
        </w:rPr>
        <w:t>атрия</w:t>
      </w:r>
      <w:proofErr w:type="gramEnd"/>
      <w:r w:rsidRPr="006179F8">
        <w:rPr>
          <w:rFonts w:cs="Times New Roman"/>
          <w:sz w:val="28"/>
          <w:szCs w:val="28"/>
        </w:rPr>
        <w:t xml:space="preserve"> </w:t>
      </w:r>
      <w:proofErr w:type="spellStart"/>
      <w:r w:rsidRPr="006179F8">
        <w:rPr>
          <w:rFonts w:cs="Times New Roman"/>
          <w:sz w:val="28"/>
          <w:szCs w:val="28"/>
        </w:rPr>
        <w:t>пикосульфат</w:t>
      </w:r>
      <w:proofErr w:type="spellEnd"/>
      <w:r w:rsidRPr="006179F8">
        <w:rPr>
          <w:rFonts w:cs="Times New Roman"/>
          <w:sz w:val="28"/>
          <w:szCs w:val="28"/>
        </w:rPr>
        <w:t xml:space="preserve"> в суточной дозе 40 мг.</w:t>
      </w:r>
    </w:p>
    <w:p w:rsidR="006179F8" w:rsidRPr="00921DF4" w:rsidRDefault="006179F8" w:rsidP="006179F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2"/>
          <w:szCs w:val="22"/>
          <w:lang w:eastAsia="en-US" w:bidi="ar-SA"/>
        </w:rPr>
      </w:pPr>
      <w:r w:rsidRPr="00086026">
        <w:rPr>
          <w:rFonts w:cs="Times New Roman"/>
          <w:b/>
          <w:kern w:val="0"/>
          <w:sz w:val="28"/>
          <w:szCs w:val="28"/>
          <w:lang w:eastAsia="en-US" w:bidi="ar-SA"/>
        </w:rPr>
        <w:t>Задание 1</w:t>
      </w:r>
      <w:r w:rsidRPr="00BF32D4">
        <w:rPr>
          <w:rFonts w:cs="Times New Roman"/>
          <w:b/>
          <w:kern w:val="0"/>
          <w:sz w:val="22"/>
          <w:szCs w:val="22"/>
          <w:lang w:eastAsia="en-US" w:bidi="ar-SA"/>
        </w:rPr>
        <w:t>.</w:t>
      </w:r>
      <w:bookmarkStart w:id="0" w:name="_GoBack"/>
      <w:bookmarkEnd w:id="0"/>
    </w:p>
    <w:p w:rsidR="006179F8" w:rsidRPr="00BF32D4" w:rsidRDefault="00FF4DED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12"/>
          <w:szCs w:val="12"/>
          <w:lang w:eastAsia="en-US" w:bidi="ar-SA"/>
        </w:rPr>
      </w:pPr>
      <w:r>
        <w:rPr>
          <w:rFonts w:cs="Times New Roman"/>
          <w:kern w:val="0"/>
          <w:sz w:val="22"/>
          <w:szCs w:val="22"/>
          <w:lang w:eastAsia="en-US" w:bidi="ar-SA"/>
        </w:rPr>
        <w:t>1)</w:t>
      </w:r>
      <w:r w:rsidR="006179F8">
        <w:rPr>
          <w:rFonts w:ascii="Calibri" w:hAnsi="Calibri" w:cs="Times New Roman"/>
          <w:kern w:val="0"/>
          <w:sz w:val="12"/>
          <w:szCs w:val="12"/>
          <w:lang w:eastAsia="en-US" w:bidi="ar-SA"/>
        </w:rPr>
        <w:t xml:space="preserve">  </w:t>
      </w:r>
      <w:r w:rsidR="006179F8" w:rsidRPr="00BF32D4">
        <w:rPr>
          <w:rFonts w:ascii="Calibri" w:hAnsi="Calibri" w:cs="Times New Roman"/>
          <w:kern w:val="0"/>
          <w:sz w:val="12"/>
          <w:szCs w:val="12"/>
          <w:lang w:eastAsia="en-US" w:bidi="ar-SA"/>
        </w:rPr>
        <w:t xml:space="preserve">                                       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Министерство здравоохранения                  Код формы по ОКУД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Российской Федерации                          Код учреждения по ОКПО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    Медицинская документация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Форма N 107-1/у</w:t>
      </w: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</w:tblGrid>
      <w:tr w:rsidR="006179F8" w:rsidTr="00010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04" w:type="dxa"/>
          </w:tcPr>
          <w:p w:rsidR="006179F8" w:rsidRDefault="006179F8" w:rsidP="000109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>ПОЛИКЛИНИКА № 13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 xml:space="preserve">        </w:t>
            </w:r>
            <w:r w:rsidRPr="00BF32D4"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 xml:space="preserve">                     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 xml:space="preserve"> </w:t>
            </w:r>
          </w:p>
        </w:tc>
      </w:tr>
    </w:tbl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Утверждена приказом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Министерства здравоохранения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Наименование (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штамп)   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Российской Федерации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индивидуального предпринимателя               от 14 января 2019 г. N 4н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(указать адрес, номер и дату лицензии,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наименование органа государственной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власти, выдавшего лицензию)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---------------------------------------------------------------------------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РЕЦЕПТ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(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взрослый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, детский - нужное подчеркнуть)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"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4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"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</w:t>
      </w:r>
      <w:proofErr w:type="gramStart"/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июня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20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20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г.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Фамилия, инициалы имени и отчества (последнее - при наличии)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пациента _____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Больной Пациент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______________________________________________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Дата рождения 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01.01.2001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__________________________________________________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Фамилия, инициалы имени и отчества (последнее - при наличии)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лечащего врача (фельдшера, акушерки)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Доктор А.Д.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__________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_______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ab/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FF4DED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.|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коп.|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Rp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</w:t>
      </w:r>
      <w:r w:rsidR="0004319A" w:rsidRP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r w:rsidR="0004319A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Sol</w:t>
      </w:r>
      <w:r w:rsidR="0004319A" w:rsidRP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. </w:t>
      </w:r>
      <w:proofErr w:type="spellStart"/>
      <w:r w:rsidR="0004319A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Natrii</w:t>
      </w:r>
      <w:proofErr w:type="spellEnd"/>
      <w:r w:rsidR="0004319A" w:rsidRPr="0004319A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="0004319A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picosulfatis</w:t>
      </w:r>
      <w:proofErr w:type="spellEnd"/>
      <w:r w:rsidR="0004319A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0.75</w:t>
      </w:r>
      <w:r w:rsidR="0004319A" w:rsidRP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%-30</w:t>
      </w:r>
      <w:r w:rsidR="0004319A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ml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ab/>
        <w:t xml:space="preserve">     </w:t>
      </w:r>
      <w:r w:rsidR="0004319A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D.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S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.Внутрь по </w:t>
      </w:r>
      <w:r w:rsidR="00FF4DED" w:rsidRP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80</w:t>
      </w:r>
      <w:r w:rsid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капель в сутки</w:t>
      </w:r>
    </w:p>
    <w:p w:rsidR="006179F8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ab/>
        <w:t xml:space="preserve">       1 раз в день </w:t>
      </w:r>
      <w:r w:rsidR="00FF4DED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на ночь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.|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коп.|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Rp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.|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коп.|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Rp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tbl>
      <w:tblPr>
        <w:tblpPr w:leftFromText="180" w:rightFromText="180" w:vertAnchor="text" w:tblpX="687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6179F8" w:rsidTr="000109D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90" w:type="dxa"/>
          </w:tcPr>
          <w:p w:rsidR="006179F8" w:rsidRDefault="006179F8" w:rsidP="000109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</w:pPr>
          </w:p>
          <w:p w:rsidR="006179F8" w:rsidRDefault="006179F8" w:rsidP="000109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>Врач</w:t>
            </w:r>
          </w:p>
          <w:p w:rsidR="006179F8" w:rsidRDefault="00FF4DED" w:rsidP="00FF4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</w:pPr>
            <w:proofErr w:type="gramStart"/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 xml:space="preserve">Доктор </w:t>
            </w:r>
            <w:r w:rsidR="006179F8"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>А</w:t>
            </w:r>
            <w:r w:rsidR="006179F8"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>.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12"/>
                <w:lang w:eastAsia="ru-RU" w:bidi="ar-SA"/>
              </w:rPr>
              <w:t>Д.</w:t>
            </w:r>
            <w:proofErr w:type="gramEnd"/>
          </w:p>
        </w:tc>
      </w:tr>
    </w:tbl>
    <w:p w:rsidR="006179F8" w:rsidRPr="00BF32D4" w:rsidRDefault="00950ABA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950ABA">
        <w:rPr>
          <w:rFonts w:ascii="Calibri" w:hAnsi="Calibri" w:cs="Times New Roman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121285</wp:posOffset>
            </wp:positionV>
            <wp:extent cx="1276350" cy="914400"/>
            <wp:effectExtent l="0" t="0" r="0" b="0"/>
            <wp:wrapNone/>
            <wp:docPr id="6" name="Рисунок 6" descr="https://avatars.mds.yandex.net/get-pdb/368827/8f6e3ce7-4d8a-4b2f-a4f4-9b0466e479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68827/8f6e3ce7-4d8a-4b2f-a4f4-9b0466e4796f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 r="24324"/>
                    <a:stretch/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F8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------------------------------- 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Подпись  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и печать лечащего врача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(подпись фельдшера, акушерки)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Рецепт действителен в течение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60 дней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, до 1 года (____________________)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(нужное </w:t>
      </w:r>
      <w:proofErr w:type="gramStart"/>
      <w:r w:rsidR="00FF4DED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подчеркнуть)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(указать количество</w:t>
      </w:r>
    </w:p>
    <w:p w:rsidR="006179F8" w:rsidRPr="00BF32D4" w:rsidRDefault="006179F8" w:rsidP="006179F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                   месяцев)</w:t>
      </w: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-110490</wp:posOffset>
                </wp:positionV>
                <wp:extent cx="5524500" cy="93916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939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</w:pPr>
                          </w:p>
                          <w:p w:rsidR="006179F8" w:rsidRPr="00342DC2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Pr="00342DC2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  <w:r w:rsidRPr="00AD45C0">
                              <w:t xml:space="preserve">    </w:t>
                            </w: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p w:rsidR="006179F8" w:rsidRDefault="006179F8" w:rsidP="006179F8">
                            <w:pPr>
                              <w:ind w:firstLine="4395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47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24"/>
                            </w:tblGrid>
                            <w:tr w:rsidR="006179F8" w:rsidTr="00FE0C9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3624" w:type="dxa"/>
                                </w:tcPr>
                                <w:p w:rsidR="006179F8" w:rsidRDefault="006179F8" w:rsidP="00000A57">
                                  <w:pPr>
                                    <w:jc w:val="center"/>
                                  </w:pPr>
                                  <w:r>
                                    <w:t>ЛЕКАРСТВЕННЫЙ ПРЕПАРАТ ОТПУЩЕН</w:t>
                                  </w:r>
                                </w:p>
                                <w:p w:rsidR="006179F8" w:rsidRDefault="006179F8" w:rsidP="00BF32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179F8" w:rsidRPr="00AD45C0" w:rsidRDefault="006179F8" w:rsidP="00FE0C99">
                            <w:pPr>
                              <w:ind w:firstLine="4253"/>
                            </w:pPr>
                            <w:r w:rsidRPr="00AD45C0">
                              <w:t xml:space="preserve">Аптека </w:t>
                            </w:r>
                            <w:r w:rsidR="00FE0C99">
                              <w:t>АО</w:t>
                            </w:r>
                            <w:r w:rsidRPr="00AD45C0">
                              <w:t xml:space="preserve"> </w:t>
                            </w:r>
                            <w:proofErr w:type="gramStart"/>
                            <w:r w:rsidRPr="00AD45C0">
                              <w:t xml:space="preserve">« </w:t>
                            </w:r>
                            <w:r w:rsidR="00FE0C99">
                              <w:t>Губернские</w:t>
                            </w:r>
                            <w:proofErr w:type="gramEnd"/>
                            <w:r w:rsidR="00FE0C99">
                              <w:t xml:space="preserve"> аптеки</w:t>
                            </w:r>
                            <w:r w:rsidRPr="00AD45C0">
                              <w:t xml:space="preserve">» № </w:t>
                            </w:r>
                            <w:r w:rsidR="00FE0C99">
                              <w:t>247</w:t>
                            </w:r>
                          </w:p>
                          <w:p w:rsidR="006179F8" w:rsidRPr="00AD45C0" w:rsidRDefault="00FE0C99" w:rsidP="00FE0C99">
                            <w:pPr>
                              <w:ind w:left="4111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Гутталакс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капли для приёма внутрь  7,5</w:t>
                            </w:r>
                            <w:r w:rsidR="006179F8" w:rsidRPr="00AD45C0">
                              <w:t>мг</w:t>
                            </w:r>
                            <w:r>
                              <w:t>/мл</w:t>
                            </w:r>
                            <w:r w:rsidR="006179F8" w:rsidRPr="00AD45C0">
                              <w:t xml:space="preserve">, </w:t>
                            </w:r>
                            <w:r>
                              <w:t>30мл</w:t>
                            </w:r>
                          </w:p>
                          <w:p w:rsidR="006179F8" w:rsidRPr="00AD45C0" w:rsidRDefault="00FE0C99" w:rsidP="006179F8">
                            <w:pPr>
                              <w:ind w:firstLine="4395"/>
                              <w:jc w:val="center"/>
                            </w:pPr>
                            <w:r>
                              <w:t>1 упаковка</w:t>
                            </w:r>
                          </w:p>
                          <w:p w:rsidR="006179F8" w:rsidRPr="00AD45C0" w:rsidRDefault="00FE0C99" w:rsidP="006179F8">
                            <w:pPr>
                              <w:ind w:firstLine="4395"/>
                              <w:jc w:val="center"/>
                            </w:pPr>
                            <w:r>
                              <w:t>Иванов А.А.</w:t>
                            </w:r>
                          </w:p>
                          <w:p w:rsidR="006179F8" w:rsidRPr="00AD45C0" w:rsidRDefault="00FE0C99" w:rsidP="006179F8">
                            <w:pPr>
                              <w:ind w:firstLine="4395"/>
                              <w:jc w:val="center"/>
                            </w:pPr>
                            <w:r>
                              <w:t>04.06</w:t>
                            </w:r>
                            <w:r w:rsidR="006179F8" w:rsidRPr="00AD45C0">
                              <w:t>.2020</w:t>
                            </w:r>
                          </w:p>
                          <w:p w:rsidR="006179F8" w:rsidRPr="00AD45C0" w:rsidRDefault="006179F8" w:rsidP="006179F8">
                            <w:pPr>
                              <w:ind w:firstLine="4395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179F8" w:rsidRPr="00AD45C0" w:rsidRDefault="006179F8" w:rsidP="006179F8">
                            <w:pPr>
                              <w:ind w:firstLine="482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179F8" w:rsidRPr="00342DC2" w:rsidRDefault="006179F8" w:rsidP="006179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.2pt;margin-top:-8.7pt;width:435pt;height:7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Default="006179F8" w:rsidP="006179F8">
                      <w:pPr>
                        <w:jc w:val="center"/>
                      </w:pPr>
                    </w:p>
                    <w:p w:rsidR="006179F8" w:rsidRPr="00342DC2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Pr="00342DC2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  <w:r w:rsidRPr="00AD45C0">
                        <w:t xml:space="preserve">    </w:t>
                      </w: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p w:rsidR="006179F8" w:rsidRDefault="006179F8" w:rsidP="006179F8">
                      <w:pPr>
                        <w:ind w:firstLine="4395"/>
                        <w:jc w:val="center"/>
                      </w:pPr>
                    </w:p>
                    <w:tbl>
                      <w:tblPr>
                        <w:tblW w:w="0" w:type="auto"/>
                        <w:tblInd w:w="47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624"/>
                      </w:tblGrid>
                      <w:tr w:rsidR="006179F8" w:rsidTr="00FE0C9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3624" w:type="dxa"/>
                          </w:tcPr>
                          <w:p w:rsidR="006179F8" w:rsidRDefault="006179F8" w:rsidP="00000A57">
                            <w:pPr>
                              <w:jc w:val="center"/>
                            </w:pPr>
                            <w:r>
                              <w:t>ЛЕКАРСТВЕННЫЙ ПРЕПАРАТ ОТПУЩЕН</w:t>
                            </w:r>
                          </w:p>
                          <w:p w:rsidR="006179F8" w:rsidRDefault="006179F8" w:rsidP="00BF32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179F8" w:rsidRPr="00AD45C0" w:rsidRDefault="006179F8" w:rsidP="00FE0C99">
                      <w:pPr>
                        <w:ind w:firstLine="4253"/>
                      </w:pPr>
                      <w:r w:rsidRPr="00AD45C0">
                        <w:t xml:space="preserve">Аптека </w:t>
                      </w:r>
                      <w:r w:rsidR="00FE0C99">
                        <w:t>АО</w:t>
                      </w:r>
                      <w:r w:rsidRPr="00AD45C0">
                        <w:t xml:space="preserve"> </w:t>
                      </w:r>
                      <w:proofErr w:type="gramStart"/>
                      <w:r w:rsidRPr="00AD45C0">
                        <w:t xml:space="preserve">« </w:t>
                      </w:r>
                      <w:r w:rsidR="00FE0C99">
                        <w:t>Губернские</w:t>
                      </w:r>
                      <w:proofErr w:type="gramEnd"/>
                      <w:r w:rsidR="00FE0C99">
                        <w:t xml:space="preserve"> аптеки</w:t>
                      </w:r>
                      <w:r w:rsidRPr="00AD45C0">
                        <w:t xml:space="preserve">» № </w:t>
                      </w:r>
                      <w:r w:rsidR="00FE0C99">
                        <w:t>247</w:t>
                      </w:r>
                    </w:p>
                    <w:p w:rsidR="006179F8" w:rsidRPr="00AD45C0" w:rsidRDefault="00FE0C99" w:rsidP="00FE0C99">
                      <w:pPr>
                        <w:ind w:left="4111"/>
                        <w:jc w:val="center"/>
                      </w:pPr>
                      <w:proofErr w:type="spellStart"/>
                      <w:proofErr w:type="gramStart"/>
                      <w:r>
                        <w:t>Гутталакс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капли для приёма внутрь  7,5</w:t>
                      </w:r>
                      <w:r w:rsidR="006179F8" w:rsidRPr="00AD45C0">
                        <w:t>мг</w:t>
                      </w:r>
                      <w:r>
                        <w:t>/мл</w:t>
                      </w:r>
                      <w:r w:rsidR="006179F8" w:rsidRPr="00AD45C0">
                        <w:t xml:space="preserve">, </w:t>
                      </w:r>
                      <w:r>
                        <w:t>30мл</w:t>
                      </w:r>
                    </w:p>
                    <w:p w:rsidR="006179F8" w:rsidRPr="00AD45C0" w:rsidRDefault="00FE0C99" w:rsidP="006179F8">
                      <w:pPr>
                        <w:ind w:firstLine="4395"/>
                        <w:jc w:val="center"/>
                      </w:pPr>
                      <w:r>
                        <w:t>1 упаковка</w:t>
                      </w:r>
                    </w:p>
                    <w:p w:rsidR="006179F8" w:rsidRPr="00AD45C0" w:rsidRDefault="00FE0C99" w:rsidP="006179F8">
                      <w:pPr>
                        <w:ind w:firstLine="4395"/>
                        <w:jc w:val="center"/>
                      </w:pPr>
                      <w:r>
                        <w:t>Иванов А.А.</w:t>
                      </w:r>
                    </w:p>
                    <w:p w:rsidR="006179F8" w:rsidRPr="00AD45C0" w:rsidRDefault="00FE0C99" w:rsidP="006179F8">
                      <w:pPr>
                        <w:ind w:firstLine="4395"/>
                        <w:jc w:val="center"/>
                      </w:pPr>
                      <w:r>
                        <w:t>04.06</w:t>
                      </w:r>
                      <w:r w:rsidR="006179F8" w:rsidRPr="00AD45C0">
                        <w:t>.2020</w:t>
                      </w:r>
                    </w:p>
                    <w:p w:rsidR="006179F8" w:rsidRPr="00AD45C0" w:rsidRDefault="006179F8" w:rsidP="006179F8">
                      <w:pPr>
                        <w:ind w:firstLine="4395"/>
                        <w:jc w:val="center"/>
                      </w:pPr>
                      <w:r>
                        <w:t xml:space="preserve"> </w:t>
                      </w:r>
                    </w:p>
                    <w:p w:rsidR="006179F8" w:rsidRPr="00AD45C0" w:rsidRDefault="006179F8" w:rsidP="006179F8">
                      <w:pPr>
                        <w:ind w:firstLine="4820"/>
                        <w:jc w:val="center"/>
                        <w:rPr>
                          <w:color w:val="FF0000"/>
                        </w:rPr>
                      </w:pPr>
                    </w:p>
                    <w:p w:rsidR="006179F8" w:rsidRPr="00342DC2" w:rsidRDefault="006179F8" w:rsidP="006179F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kern w:val="0"/>
          <w:sz w:val="22"/>
          <w:szCs w:val="22"/>
          <w:lang w:eastAsia="en-US" w:bidi="ar-SA"/>
        </w:rPr>
        <w:t>2)</w:t>
      </w: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FE0C99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 w:rsidRPr="00FE0C99">
        <w:rPr>
          <w:rFonts w:ascii="Calibri" w:hAnsi="Calibri" w:cs="Times New Roman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241935</wp:posOffset>
            </wp:positionV>
            <wp:extent cx="923925" cy="923925"/>
            <wp:effectExtent l="0" t="0" r="9525" b="0"/>
            <wp:wrapThrough wrapText="bothSides">
              <wp:wrapPolygon edited="0">
                <wp:start x="17814" y="3118"/>
                <wp:lineTo x="3563" y="6235"/>
                <wp:lineTo x="1336" y="7126"/>
                <wp:lineTo x="0" y="12470"/>
                <wp:lineTo x="0" y="16924"/>
                <wp:lineTo x="3563" y="20041"/>
                <wp:lineTo x="8462" y="20041"/>
                <wp:lineTo x="10243" y="18260"/>
                <wp:lineTo x="15142" y="11579"/>
                <wp:lineTo x="21377" y="10243"/>
                <wp:lineTo x="21377" y="7126"/>
                <wp:lineTo x="20487" y="3118"/>
                <wp:lineTo x="17814" y="3118"/>
              </wp:wrapPolygon>
            </wp:wrapThrough>
            <wp:docPr id="5" name="Рисунок 5" descr="https://avatars.mds.yandex.net/get-pdb/1364974/a4482c34-2dea-4974-8be5-091bac54d87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4974/a4482c34-2dea-4974-8be5-091bac54d87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D73B0C" w:rsidRDefault="006179F8" w:rsidP="00AB78A9">
      <w:pPr>
        <w:widowControl/>
        <w:suppressAutoHyphens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B35179">
        <w:rPr>
          <w:rFonts w:ascii="Calibri" w:hAnsi="Calibri" w:cs="Times New Roman"/>
          <w:kern w:val="0"/>
          <w:sz w:val="28"/>
          <w:szCs w:val="28"/>
          <w:lang w:eastAsia="en-US" w:bidi="ar-SA"/>
        </w:rPr>
        <w:t>3</w:t>
      </w:r>
      <w:r w:rsidRPr="00B35179">
        <w:rPr>
          <w:rFonts w:cs="Times New Roman"/>
          <w:kern w:val="0"/>
          <w:sz w:val="28"/>
          <w:szCs w:val="28"/>
          <w:lang w:eastAsia="en-US" w:bidi="ar-SA"/>
        </w:rPr>
        <w:t>)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 Препараты с таким же МНН, дозировкой и количеством: «</w:t>
      </w:r>
      <w:proofErr w:type="spellStart"/>
      <w:r w:rsidR="00783B01">
        <w:rPr>
          <w:rFonts w:cs="Times New Roman"/>
          <w:kern w:val="0"/>
          <w:sz w:val="28"/>
          <w:szCs w:val="28"/>
          <w:lang w:eastAsia="en-US" w:bidi="ar-SA"/>
        </w:rPr>
        <w:t>Регулакс</w:t>
      </w:r>
      <w:proofErr w:type="spellEnd"/>
      <w:r w:rsidR="00783B01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83B01">
        <w:rPr>
          <w:rFonts w:cs="Times New Roman"/>
          <w:kern w:val="0"/>
          <w:sz w:val="28"/>
          <w:szCs w:val="28"/>
          <w:lang w:eastAsia="en-US" w:bidi="ar-SA"/>
        </w:rPr>
        <w:t>Пикосульфат</w:t>
      </w:r>
      <w:proofErr w:type="spellEnd"/>
      <w:r w:rsidRPr="00D73B0C">
        <w:rPr>
          <w:rFonts w:cs="Times New Roman"/>
          <w:kern w:val="0"/>
          <w:sz w:val="28"/>
          <w:szCs w:val="28"/>
          <w:lang w:eastAsia="en-US" w:bidi="ar-SA"/>
        </w:rPr>
        <w:t>» кап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ли для приема внутрь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7,5мг/мл во флаконах по 10,20,50мл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>; «</w:t>
      </w:r>
      <w:proofErr w:type="spellStart"/>
      <w:r w:rsidR="00783B01">
        <w:rPr>
          <w:rFonts w:cs="Times New Roman"/>
          <w:kern w:val="0"/>
          <w:sz w:val="28"/>
          <w:szCs w:val="28"/>
          <w:lang w:eastAsia="en-US" w:bidi="ar-SA"/>
        </w:rPr>
        <w:t>Слабилен</w:t>
      </w:r>
      <w:proofErr w:type="spellEnd"/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» </w:t>
      </w:r>
      <w:r w:rsidR="00783B01" w:rsidRPr="00D73B0C">
        <w:rPr>
          <w:rFonts w:cs="Times New Roman"/>
          <w:kern w:val="0"/>
          <w:sz w:val="28"/>
          <w:szCs w:val="28"/>
          <w:lang w:eastAsia="en-US" w:bidi="ar-SA"/>
        </w:rPr>
        <w:t>кап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ли для приема внутрь</w:t>
      </w:r>
      <w:r w:rsidR="00783B01" w:rsidRPr="00D73B0C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7,5мг/мл во флаконах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 xml:space="preserve"> по 15 и 30мл. </w:t>
      </w:r>
    </w:p>
    <w:p w:rsidR="00783B01" w:rsidRDefault="006179F8" w:rsidP="00AB78A9">
      <w:pPr>
        <w:widowControl/>
        <w:suppressAutoHyphens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 w:rsidRPr="00D73B0C">
        <w:rPr>
          <w:rFonts w:cs="Times New Roman"/>
          <w:kern w:val="0"/>
          <w:sz w:val="28"/>
          <w:szCs w:val="28"/>
          <w:lang w:eastAsia="en-US" w:bidi="ar-SA"/>
        </w:rPr>
        <w:t>4)Способ</w:t>
      </w:r>
      <w:proofErr w:type="gramEnd"/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 применения: данный лекарственный пре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парат стоит принимать внутрь  с небольшим количеством воды, начать нужно с дозы 10мг\</w:t>
      </w:r>
      <w:proofErr w:type="spellStart"/>
      <w:r w:rsidR="00783B01">
        <w:rPr>
          <w:rFonts w:cs="Times New Roman"/>
          <w:kern w:val="0"/>
          <w:sz w:val="28"/>
          <w:szCs w:val="28"/>
          <w:lang w:eastAsia="en-US" w:bidi="ar-SA"/>
        </w:rPr>
        <w:t>сут</w:t>
      </w:r>
      <w:proofErr w:type="spellEnd"/>
      <w:r w:rsidR="00783B01">
        <w:rPr>
          <w:rFonts w:cs="Times New Roman"/>
          <w:kern w:val="0"/>
          <w:sz w:val="28"/>
          <w:szCs w:val="28"/>
          <w:lang w:eastAsia="en-US" w:bidi="ar-SA"/>
        </w:rPr>
        <w:t xml:space="preserve"> (20 капель), а затем повысить до индивидуальной дозы, прописанной в рецепте) </w:t>
      </w:r>
    </w:p>
    <w:p w:rsidR="00783B01" w:rsidRDefault="00783B01" w:rsidP="00AB78A9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83B01">
        <w:rPr>
          <w:rFonts w:cs="Times New Roman"/>
          <w:kern w:val="0"/>
          <w:sz w:val="28"/>
          <w:szCs w:val="28"/>
          <w:u w:val="single"/>
          <w:lang w:eastAsia="en-US" w:bidi="ar-SA"/>
        </w:rPr>
        <w:t>Курс приема не более 10 дней.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(</w:t>
      </w:r>
      <w:r w:rsidRPr="00783B01">
        <w:rPr>
          <w:rFonts w:cs="Times New Roman"/>
          <w:b/>
          <w:kern w:val="0"/>
          <w:sz w:val="28"/>
          <w:szCs w:val="28"/>
          <w:lang w:eastAsia="en-US" w:bidi="ar-SA"/>
        </w:rPr>
        <w:t xml:space="preserve">Так как </w:t>
      </w:r>
      <w:r w:rsidRPr="00783B01">
        <w:rPr>
          <w:rStyle w:val="a3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вероятна</w:t>
      </w:r>
      <w:r w:rsidRPr="00783B01">
        <w:rPr>
          <w:rStyle w:val="a3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ишемия мышц, ухудшение водного баланса, понижение артериального давления.</w:t>
      </w:r>
      <w:r w:rsidRPr="00783B01">
        <w:rPr>
          <w:rFonts w:cs="Times New Roman"/>
          <w:sz w:val="28"/>
          <w:szCs w:val="28"/>
          <w:shd w:val="clear" w:color="auto" w:fill="FFFFFF"/>
        </w:rPr>
        <w:t> Кроме того, возможно прогрессирование хронического запора вследств</w:t>
      </w:r>
      <w:r>
        <w:rPr>
          <w:rFonts w:cs="Times New Roman"/>
          <w:sz w:val="28"/>
          <w:szCs w:val="28"/>
          <w:shd w:val="clear" w:color="auto" w:fill="FFFFFF"/>
        </w:rPr>
        <w:t>ие развития «ленивого кишечника»</w:t>
      </w:r>
      <w:r w:rsidRPr="00783B01">
        <w:rPr>
          <w:rFonts w:cs="Times New Roman"/>
          <w:sz w:val="28"/>
          <w:szCs w:val="28"/>
          <w:shd w:val="clear" w:color="auto" w:fill="FFFFFF"/>
        </w:rPr>
        <w:t xml:space="preserve">, хронической диарее, </w:t>
      </w:r>
      <w:proofErr w:type="spellStart"/>
      <w:r w:rsidRPr="00783B01">
        <w:rPr>
          <w:rFonts w:cs="Times New Roman"/>
          <w:sz w:val="28"/>
          <w:szCs w:val="28"/>
          <w:shd w:val="clear" w:color="auto" w:fill="FFFFFF"/>
        </w:rPr>
        <w:t>гипокалиемии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).</w:t>
      </w:r>
    </w:p>
    <w:p w:rsidR="00783B01" w:rsidRPr="00783B01" w:rsidRDefault="00783B01" w:rsidP="00AB78A9">
      <w:pPr>
        <w:widowControl/>
        <w:suppressAutoHyphens w:val="0"/>
        <w:spacing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shd w:val="clear" w:color="auto" w:fill="FFFFFF"/>
        </w:rPr>
        <w:t>(Рекомендуется не превышать дозу более 20 капель в сутки (10мг), не понимаю почему в рецепте прописано 40мг).</w:t>
      </w:r>
    </w:p>
    <w:p w:rsidR="00783B01" w:rsidRDefault="006179F8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5) </w:t>
      </w:r>
      <w:r w:rsidR="00783B01">
        <w:rPr>
          <w:rFonts w:cs="Times New Roman"/>
          <w:kern w:val="0"/>
          <w:sz w:val="28"/>
          <w:szCs w:val="28"/>
          <w:lang w:eastAsia="en-US" w:bidi="ar-SA"/>
        </w:rPr>
        <w:t>Наиболее важные взаимодействия препарата:</w:t>
      </w:r>
    </w:p>
    <w:p w:rsidR="00783B01" w:rsidRPr="00783B01" w:rsidRDefault="00783B01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783B01">
        <w:rPr>
          <w:rFonts w:cs="Times New Roman"/>
          <w:kern w:val="0"/>
          <w:sz w:val="28"/>
          <w:szCs w:val="28"/>
          <w:lang w:eastAsia="en-US" w:bidi="ar-SA"/>
        </w:rPr>
        <w:t>Диуретики или ГКС увеличивают риск нарушения электролитного баланса (</w:t>
      </w:r>
      <w:proofErr w:type="spellStart"/>
      <w:r w:rsidRPr="00783B01">
        <w:rPr>
          <w:rFonts w:cs="Times New Roman"/>
          <w:kern w:val="0"/>
          <w:sz w:val="28"/>
          <w:szCs w:val="28"/>
          <w:lang w:eastAsia="en-US" w:bidi="ar-SA"/>
        </w:rPr>
        <w:t>гипокалиемия</w:t>
      </w:r>
      <w:proofErr w:type="spellEnd"/>
      <w:r w:rsidRPr="00783B01">
        <w:rPr>
          <w:rFonts w:cs="Times New Roman"/>
          <w:kern w:val="0"/>
          <w:sz w:val="28"/>
          <w:szCs w:val="28"/>
          <w:lang w:eastAsia="en-US" w:bidi="ar-SA"/>
        </w:rPr>
        <w:t xml:space="preserve">) при приеме </w:t>
      </w:r>
      <w:r w:rsidRPr="00783B01">
        <w:rPr>
          <w:rFonts w:cs="Times New Roman"/>
          <w:kern w:val="0"/>
          <w:sz w:val="28"/>
          <w:szCs w:val="28"/>
          <w:lang w:eastAsia="en-US" w:bidi="ar-SA"/>
        </w:rPr>
        <w:t xml:space="preserve">высоких доз препарата </w:t>
      </w:r>
      <w:proofErr w:type="spellStart"/>
      <w:r w:rsidRPr="00783B01">
        <w:rPr>
          <w:rFonts w:cs="Times New Roman"/>
          <w:kern w:val="0"/>
          <w:sz w:val="28"/>
          <w:szCs w:val="28"/>
          <w:lang w:eastAsia="en-US" w:bidi="ar-SA"/>
        </w:rPr>
        <w:t>Гутталакс</w:t>
      </w:r>
      <w:proofErr w:type="spellEnd"/>
      <w:r>
        <w:rPr>
          <w:rFonts w:cs="Times New Roman"/>
          <w:kern w:val="0"/>
          <w:sz w:val="28"/>
          <w:szCs w:val="28"/>
          <w:lang w:eastAsia="en-US" w:bidi="ar-SA"/>
        </w:rPr>
        <w:t>;</w:t>
      </w:r>
    </w:p>
    <w:p w:rsidR="00783B01" w:rsidRPr="00783B01" w:rsidRDefault="00783B01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н</w:t>
      </w:r>
      <w:r w:rsidRPr="00783B01">
        <w:rPr>
          <w:rFonts w:cs="Times New Roman"/>
          <w:kern w:val="0"/>
          <w:sz w:val="28"/>
          <w:szCs w:val="28"/>
          <w:lang w:eastAsia="en-US" w:bidi="ar-SA"/>
        </w:rPr>
        <w:t>арушение электролитного баланса может повышать чувствит</w:t>
      </w:r>
      <w:r>
        <w:rPr>
          <w:rFonts w:cs="Times New Roman"/>
          <w:kern w:val="0"/>
          <w:sz w:val="28"/>
          <w:szCs w:val="28"/>
          <w:lang w:eastAsia="en-US" w:bidi="ar-SA"/>
        </w:rPr>
        <w:t>ельность к сердечным гликозидам;</w:t>
      </w:r>
    </w:p>
    <w:p w:rsidR="006179F8" w:rsidRPr="00783B01" w:rsidRDefault="00783B01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</w:t>
      </w:r>
      <w:r w:rsidRPr="00783B01">
        <w:rPr>
          <w:rFonts w:cs="Times New Roman"/>
          <w:kern w:val="0"/>
          <w:sz w:val="28"/>
          <w:szCs w:val="28"/>
          <w:lang w:eastAsia="en-US" w:bidi="ar-SA"/>
        </w:rPr>
        <w:t>овместное применение препарата и антибиотиков может снижать послабляющий эффект препарата.</w:t>
      </w:r>
    </w:p>
    <w:p w:rsidR="00AB78A9" w:rsidRDefault="006179F8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>6)</w:t>
      </w:r>
      <w:r w:rsidR="00AB78A9" w:rsidRPr="00AB78A9">
        <w:t xml:space="preserve"> </w:t>
      </w:r>
      <w:r w:rsidR="00AB78A9" w:rsidRPr="00AB78A9">
        <w:rPr>
          <w:rFonts w:cs="Times New Roman"/>
          <w:kern w:val="0"/>
          <w:sz w:val="28"/>
          <w:szCs w:val="28"/>
          <w:lang w:eastAsia="en-US" w:bidi="ar-SA"/>
        </w:rPr>
        <w:t>Хранит</w:t>
      </w:r>
      <w:r w:rsidR="00AB78A9">
        <w:rPr>
          <w:rFonts w:cs="Times New Roman"/>
          <w:kern w:val="0"/>
          <w:sz w:val="28"/>
          <w:szCs w:val="28"/>
          <w:lang w:eastAsia="en-US" w:bidi="ar-SA"/>
        </w:rPr>
        <w:t>ь в недоступном для детей месте п</w:t>
      </w:r>
      <w:r w:rsidR="00AB78A9" w:rsidRPr="00AB78A9">
        <w:rPr>
          <w:rFonts w:cs="Times New Roman"/>
          <w:kern w:val="0"/>
          <w:sz w:val="28"/>
          <w:szCs w:val="28"/>
          <w:lang w:eastAsia="en-US" w:bidi="ar-SA"/>
        </w:rPr>
        <w:t>ри температуре н</w:t>
      </w:r>
      <w:r w:rsidR="00AB78A9">
        <w:rPr>
          <w:rFonts w:cs="Times New Roman"/>
          <w:kern w:val="0"/>
          <w:sz w:val="28"/>
          <w:szCs w:val="28"/>
          <w:lang w:eastAsia="en-US" w:bidi="ar-SA"/>
        </w:rPr>
        <w:t xml:space="preserve">е выше 30 °C (не замораживать). </w:t>
      </w:r>
    </w:p>
    <w:p w:rsidR="00AB78A9" w:rsidRDefault="00AB78A9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kern w:val="0"/>
          <w:sz w:val="28"/>
          <w:szCs w:val="28"/>
          <w:lang w:eastAsia="en-US" w:bidi="ar-SA"/>
        </w:rPr>
        <w:br w:type="page"/>
      </w:r>
    </w:p>
    <w:p w:rsidR="006179F8" w:rsidRPr="00D73B0C" w:rsidRDefault="00AB78A9" w:rsidP="00AB78A9">
      <w:pPr>
        <w:widowControl/>
        <w:suppressAutoHyphens w:val="0"/>
        <w:spacing w:after="160" w:line="360" w:lineRule="auto"/>
        <w:ind w:firstLine="709"/>
        <w:jc w:val="both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b/>
          <w:kern w:val="0"/>
          <w:sz w:val="28"/>
          <w:szCs w:val="28"/>
          <w:lang w:eastAsia="en-US" w:bidi="ar-SA"/>
        </w:rPr>
        <w:lastRenderedPageBreak/>
        <w:t xml:space="preserve"> </w:t>
      </w:r>
      <w:r w:rsidR="006179F8" w:rsidRPr="00D73B0C">
        <w:rPr>
          <w:rFonts w:cs="Times New Roman"/>
          <w:b/>
          <w:kern w:val="0"/>
          <w:sz w:val="28"/>
          <w:szCs w:val="28"/>
          <w:lang w:eastAsia="en-US" w:bidi="ar-SA"/>
        </w:rPr>
        <w:t>Задание 2</w:t>
      </w:r>
    </w:p>
    <w:p w:rsidR="006179F8" w:rsidRPr="00D73B0C" w:rsidRDefault="006179F8" w:rsidP="003241F6">
      <w:pPr>
        <w:widowControl/>
        <w:suppressAutoHyphens w:val="0"/>
        <w:spacing w:after="160" w:line="259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>Заполните алгоритм характеристики лекарственного препарата, учитывая, что побочные эффекты должны исходить из механизма действия, а противопоказания к применению - из побочного действия!</w:t>
      </w:r>
    </w:p>
    <w:p w:rsidR="006179F8" w:rsidRPr="00BF32D4" w:rsidRDefault="003241F6" w:rsidP="006179F8">
      <w:pPr>
        <w:suppressLineNumbers/>
        <w:rPr>
          <w:rFonts w:ascii="Liberation Serif" w:hAnsi="Liberation Serif" w:hint="eastAsia"/>
        </w:rPr>
      </w:pPr>
      <w:r>
        <w:rPr>
          <w:rFonts w:ascii="Liberation Serif" w:hAnsi="Liberation Serif" w:hint="eastAsia"/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32385</wp:posOffset>
                </wp:positionV>
                <wp:extent cx="6162675" cy="5343525"/>
                <wp:effectExtent l="0" t="0" r="28575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343525"/>
                          <a:chOff x="0" y="0"/>
                          <a:chExt cx="6162675" cy="5343525"/>
                        </a:xfrm>
                      </wpg:grpSpPr>
                      <wps:wsp>
                        <wps:cNvPr id="15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2675" cy="447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7F5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79F8" w:rsidRPr="003241F6" w:rsidRDefault="006179F8" w:rsidP="006179F8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3241F6">
                                <w:rPr>
                                  <w:rFonts w:cs="Times New Roman"/>
                                  <w:b/>
                                </w:rPr>
                                <w:t>Фармакологическая группа: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="00AB78A9" w:rsidRPr="003241F6">
                                <w:rPr>
                                  <w:rFonts w:cs="Times New Roman"/>
                                </w:rPr>
                                <w:t>слабительное средство</w:t>
                              </w:r>
                              <w:r w:rsidR="003241F6" w:rsidRPr="003241F6">
                                <w:rPr>
                                  <w:rFonts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0" y="2867025"/>
                            <a:ext cx="6162675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99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79F8" w:rsidRPr="003241F6" w:rsidRDefault="006179F8" w:rsidP="006179F8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3241F6">
                                <w:rPr>
                                  <w:rFonts w:cs="Times New Roman"/>
                                  <w:b/>
                                </w:rPr>
                                <w:t>Побочные действия: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="00AB78A9" w:rsidRPr="003241F6">
                                <w:rPr>
                                  <w:rFonts w:cs="Times New Roman"/>
                                </w:rPr>
                                <w:t xml:space="preserve">спазмы и боли в области живота, диарея, головокружение и обморок, возникающие после приема препарата (могут быть связаны с </w:t>
                              </w:r>
                              <w:proofErr w:type="spellStart"/>
                              <w:r w:rsidR="00AB78A9" w:rsidRPr="003241F6">
                                <w:rPr>
                                  <w:rFonts w:cs="Times New Roman"/>
                                </w:rPr>
                                <w:t>вазовагальной</w:t>
                              </w:r>
                              <w:proofErr w:type="spellEnd"/>
                              <w:r w:rsidR="00AB78A9" w:rsidRPr="003241F6">
                                <w:rPr>
                                  <w:rFonts w:cs="Times New Roman"/>
                                </w:rPr>
                                <w:t xml:space="preserve"> реакцией), аллергические реакции.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6162675" cy="1238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FFFF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79F8" w:rsidRPr="003241F6" w:rsidRDefault="006179F8" w:rsidP="006179F8">
                              <w:pPr>
                                <w:jc w:val="center"/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3241F6">
                                <w:rPr>
                                  <w:rFonts w:cs="Times New Roman"/>
                                  <w:b/>
                                </w:rPr>
                                <w:t>Механизм действия: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="00AB78A9" w:rsidRPr="003241F6">
                                <w:rPr>
                                  <w:rFonts w:cs="Times New Roman"/>
                                </w:rPr>
                                <w:t xml:space="preserve">как местное слабительное натрия </w:t>
                              </w:r>
                              <w:proofErr w:type="spellStart"/>
                              <w:r w:rsidR="00AB78A9" w:rsidRPr="003241F6">
                                <w:rPr>
                                  <w:rFonts w:cs="Times New Roman"/>
                                </w:rPr>
                                <w:t>пикосульфат</w:t>
                              </w:r>
                              <w:proofErr w:type="spellEnd"/>
                              <w:r w:rsidR="00AB78A9" w:rsidRPr="003241F6">
                                <w:rPr>
                                  <w:rFonts w:cs="Times New Roman"/>
                                </w:rPr>
                                <w:t xml:space="preserve"> после бактериального расщепления в толстом кишечнике оказывает стимулирующее действие на слизистую толстого кишечника, увеличивая перистальтику, способствует накоплению воды и электролитов в толстом кишечнике. Это приводит к стимуляции акта дефекации, уменьшению времени эвакуации и размягчению стула.</w:t>
                              </w:r>
                            </w:p>
                            <w:p w:rsidR="006179F8" w:rsidRPr="003241F6" w:rsidRDefault="006179F8" w:rsidP="006179F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</w:p>
                            <w:p w:rsidR="006179F8" w:rsidRPr="005657C7" w:rsidRDefault="006179F8" w:rsidP="006179F8">
                              <w:pPr>
                                <w:rPr>
                                  <w:rFonts w:ascii="Liberation Serif" w:hAnsi="Liberation Serif" w:hint="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Стрелка вниз 14"/>
                        <wps:cNvSpPr>
                          <a:spLocks noChangeArrowheads="1"/>
                        </wps:cNvSpPr>
                        <wps:spPr bwMode="auto">
                          <a:xfrm>
                            <a:off x="3000375" y="447675"/>
                            <a:ext cx="76200" cy="590550"/>
                          </a:xfrm>
                          <a:prstGeom prst="downArrow">
                            <a:avLst>
                              <a:gd name="adj1" fmla="val 50000"/>
                              <a:gd name="adj2" fmla="val 175000"/>
                            </a:avLst>
                          </a:prstGeom>
                          <a:solidFill>
                            <a:srgbClr val="729FCF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Стрелка вниз 12"/>
                        <wps:cNvSpPr>
                          <a:spLocks noChangeArrowheads="1"/>
                        </wps:cNvSpPr>
                        <wps:spPr bwMode="auto">
                          <a:xfrm>
                            <a:off x="2990850" y="2276475"/>
                            <a:ext cx="76200" cy="590550"/>
                          </a:xfrm>
                          <a:prstGeom prst="downArrow">
                            <a:avLst>
                              <a:gd name="adj1" fmla="val 50000"/>
                              <a:gd name="adj2" fmla="val 193750"/>
                            </a:avLst>
                          </a:prstGeom>
                          <a:solidFill>
                            <a:srgbClr val="729FCF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трелка вниз 10"/>
                        <wps:cNvSpPr>
                          <a:spLocks noChangeArrowheads="1"/>
                        </wps:cNvSpPr>
                        <wps:spPr bwMode="auto">
                          <a:xfrm>
                            <a:off x="3009900" y="3533775"/>
                            <a:ext cx="85725" cy="714375"/>
                          </a:xfrm>
                          <a:prstGeom prst="downArrow">
                            <a:avLst>
                              <a:gd name="adj1" fmla="val 50000"/>
                              <a:gd name="adj2" fmla="val 177778"/>
                            </a:avLst>
                          </a:prstGeom>
                          <a:solidFill>
                            <a:srgbClr val="729FCF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4267200"/>
                            <a:ext cx="6162675" cy="1076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/>
                          </a:solidFill>
                          <a:ln w="9360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B78A9" w:rsidRDefault="00AB78A9" w:rsidP="00AB78A9">
                              <w:pPr>
                                <w:jc w:val="center"/>
                                <w:rPr>
                                  <w:rFonts w:ascii="Liberation Serif" w:hAnsi="Liberation Serif" w:hint="eastAsia"/>
                                </w:rPr>
                              </w:pPr>
                              <w:r w:rsidRPr="003241F6">
                                <w:rPr>
                                  <w:rFonts w:cs="Times New Roman"/>
                                  <w:b/>
                                </w:rPr>
                                <w:t>Противопоказания</w:t>
                              </w:r>
                              <w:r w:rsidRPr="003241F6">
                                <w:rPr>
                                  <w:rFonts w:cs="Times New Roman"/>
                                  <w:b/>
                                </w:rPr>
                                <w:t>: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кишечная непроходимость или </w:t>
                              </w:r>
                              <w:proofErr w:type="spellStart"/>
                              <w:r w:rsidRPr="003241F6">
                                <w:rPr>
                                  <w:rFonts w:cs="Times New Roman"/>
                                </w:rPr>
                                <w:t>обструктивные</w:t>
                              </w:r>
                              <w:proofErr w:type="spellEnd"/>
                              <w:r w:rsidRPr="003241F6">
                                <w:rPr>
                                  <w:rFonts w:cs="Times New Roman"/>
                                </w:rPr>
                                <w:t xml:space="preserve"> заболевания кишечника, острые заболевания органов брюшной полости, включая аппендицит, или сильная боль в животе, которые могут сопровождаться тошнотой, рвотой, повышением температуры тела, </w:t>
                              </w:r>
                              <w:r w:rsidR="003241F6" w:rsidRPr="003241F6">
                                <w:rPr>
                                  <w:rFonts w:cs="Times New Roman"/>
                                </w:rPr>
                                <w:t xml:space="preserve">тяжелая </w:t>
                              </w:r>
                              <w:proofErr w:type="gramStart"/>
                              <w:r w:rsidR="003241F6" w:rsidRPr="003241F6">
                                <w:rPr>
                                  <w:rFonts w:cs="Times New Roman"/>
                                </w:rPr>
                                <w:t>дегидратация,</w:t>
                              </w:r>
                              <w:r w:rsidRPr="003241F6">
                                <w:rPr>
                                  <w:rFonts w:cs="Times New Roman"/>
                                </w:rPr>
                                <w:t xml:space="preserve">  </w:t>
                              </w:r>
                              <w:r w:rsidR="003241F6" w:rsidRPr="003241F6">
                                <w:rPr>
                                  <w:rFonts w:cs="Times New Roman"/>
                                </w:rPr>
                                <w:t>острые</w:t>
                              </w:r>
                              <w:proofErr w:type="gramEnd"/>
                              <w:r w:rsidR="003241F6" w:rsidRPr="003241F6">
                                <w:rPr>
                                  <w:rFonts w:cs="Times New Roman"/>
                                </w:rPr>
                                <w:t xml:space="preserve"> воспалительные заболевания кишечника</w:t>
                              </w:r>
                              <w:r w:rsidR="003241F6">
                                <w:rPr>
                                  <w:rFonts w:ascii="Liberation Serif" w:hAnsi="Liberation Seri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7" style="position:absolute;margin-left:-5.7pt;margin-top:2.55pt;width:485.25pt;height:420.75pt;z-index:251672576;mso-height-relative:margin" coordsize="61626,5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">
                <v:roundrect id="Скругленный прямоугольник 15" o:spid="_x0000_s1028" style="position:absolute;width:61626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CIcEA&#10;AADbAAAADwAAAGRycy9kb3ducmV2LnhtbERP22rCQBB9L/gPywh9q5uoVYlZxVoKhYDg5QOG7JgE&#10;s7MhO9X077uFQt/mcK6TbwfXqjv1ofFsIJ0koIhLbxuuDFzOHy8rUEGQLbaeycA3BdhuRk85ZtY/&#10;+Ej3k1QqhnDI0EAt0mVah7Imh2HiO+LIXX3vUCLsK217fMRw1+ppkiy0w4ZjQ40d7Wsqb6cvZ2A5&#10;n1PxJuXsfVG4QxpCcZBqaczzeNitQQkN8i/+c3/aOP8Vfn+J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CAiHBAAAA2wAAAA8AAAAAAAAAAAAAAAAAmAIAAGRycy9kb3du&#10;cmV2LnhtbFBLBQYAAAAABAAEAPUAAACGAwAAAAA=&#10;" fillcolor="#cfe7f5" strokecolor="#3465a4" strokeweight=".26mm">
                  <v:textbox inset="0,0,0,0">
                    <w:txbxContent>
                      <w:p w:rsidR="006179F8" w:rsidRPr="003241F6" w:rsidRDefault="006179F8" w:rsidP="006179F8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3241F6">
                          <w:rPr>
                            <w:rFonts w:cs="Times New Roman"/>
                            <w:b/>
                          </w:rPr>
                          <w:t>Фармакологическая группа:</w:t>
                        </w:r>
                        <w:r w:rsidRPr="003241F6">
                          <w:rPr>
                            <w:rFonts w:cs="Times New Roman"/>
                          </w:rPr>
                          <w:t xml:space="preserve"> </w:t>
                        </w:r>
                        <w:r w:rsidR="00AB78A9" w:rsidRPr="003241F6">
                          <w:rPr>
                            <w:rFonts w:cs="Times New Roman"/>
                          </w:rPr>
                          <w:t>слабительное средство</w:t>
                        </w:r>
                        <w:r w:rsidR="003241F6" w:rsidRPr="003241F6">
                          <w:rPr>
                            <w:rFonts w:cs="Times New Roman"/>
                          </w:rPr>
                          <w:t>.</w:t>
                        </w:r>
                      </w:p>
                    </w:txbxContent>
                  </v:textbox>
                </v:roundrect>
                <v:roundrect id="Скругленный прямоугольник 11" o:spid="_x0000_s1029" style="position:absolute;top:28670;width:61626;height:6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uw8MA&#10;AADbAAAADwAAAGRycy9kb3ducmV2LnhtbERPTWvCQBC9C/0PyxS8mY0WSkizkdJSKdJDjELxNman&#10;SWh2NmRXk/77riB4m8f7nGw9mU5caHCtZQXLKAZBXFndcq3gsP9YJCCcR9bYWSYFf+RgnT/MMky1&#10;HXlHl9LXIoSwS1FB432fSumqhgy6yPbEgfuxg0Ef4FBLPeAYwk0nV3H8LA22HBoa7Omtoeq3PBsF&#10;SXHclF+l/e6K921vT6ux2j2NSs0fp9cXEJ4mfxff3J86zF/C9Zdw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auw8MAAADbAAAADwAAAAAAAAAAAAAAAACYAgAAZHJzL2Rv&#10;d25yZXYueG1sUEsFBgAAAAAEAAQA9QAAAIgDAAAAAA==&#10;" fillcolor="#fc9" strokecolor="#3465a4" strokeweight=".26mm">
                  <v:textbox inset="0,0,0,0">
                    <w:txbxContent>
                      <w:p w:rsidR="006179F8" w:rsidRPr="003241F6" w:rsidRDefault="006179F8" w:rsidP="006179F8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3241F6">
                          <w:rPr>
                            <w:rFonts w:cs="Times New Roman"/>
                            <w:b/>
                          </w:rPr>
                          <w:t>Побочные действия:</w:t>
                        </w:r>
                        <w:r w:rsidRPr="003241F6">
                          <w:rPr>
                            <w:rFonts w:cs="Times New Roman"/>
                          </w:rPr>
                          <w:t xml:space="preserve"> </w:t>
                        </w:r>
                        <w:r w:rsidR="00AB78A9" w:rsidRPr="003241F6">
                          <w:rPr>
                            <w:rFonts w:cs="Times New Roman"/>
                          </w:rPr>
                          <w:t xml:space="preserve">спазмы и боли в области живота, диарея, головокружение и обморок, возникающие после приема препарата (могут быть связаны с </w:t>
                        </w:r>
                        <w:proofErr w:type="spellStart"/>
                        <w:r w:rsidR="00AB78A9" w:rsidRPr="003241F6">
                          <w:rPr>
                            <w:rFonts w:cs="Times New Roman"/>
                          </w:rPr>
                          <w:t>вазовагальной</w:t>
                        </w:r>
                        <w:proofErr w:type="spellEnd"/>
                        <w:r w:rsidR="00AB78A9" w:rsidRPr="003241F6">
                          <w:rPr>
                            <w:rFonts w:cs="Times New Roman"/>
                          </w:rPr>
                          <w:t xml:space="preserve"> реакцией), аллергические реакции.</w:t>
                        </w:r>
                      </w:p>
                    </w:txbxContent>
                  </v:textbox>
                </v:roundrect>
                <v:roundrect id="Скругленный прямоугольник 13" o:spid="_x0000_s1030" style="position:absolute;top:10382;width:61626;height:1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vYMEA&#10;AADbAAAADwAAAGRycy9kb3ducmV2LnhtbERPyWrDMBC9F/IPYgK5NbJbCMG1bEpJSklOTvMBgzVe&#10;WmtkLHlJv74qFHKbx1snzRfTiYkG11pWEG8jEMSl1S3XCq6fx8c9COeRNXaWScGNHOTZ6iHFRNuZ&#10;C5ouvhYhhF2CChrv+0RKVzZk0G1tTxy4yg4GfYBDLfWAcwg3nXyKop002HJoaLCnt4bK78toFFTz&#10;rngfD9M1Opuf+otOS3w6F0pt1svrCwhPi7+L/90fOsx/hr9fw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72DBAAAA2wAAAA8AAAAAAAAAAAAAAAAAmAIAAGRycy9kb3du&#10;cmV2LnhtbFBLBQYAAAAABAAEAPUAAACGAwAAAAA=&#10;" fillcolor="#9ff" strokecolor="#3465a4" strokeweight=".26mm">
                  <v:textbox inset="0,0,0,0">
                    <w:txbxContent>
                      <w:p w:rsidR="006179F8" w:rsidRPr="003241F6" w:rsidRDefault="006179F8" w:rsidP="006179F8">
                        <w:pPr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3241F6">
                          <w:rPr>
                            <w:rFonts w:cs="Times New Roman"/>
                            <w:b/>
                          </w:rPr>
                          <w:t>Механизм действия:</w:t>
                        </w:r>
                        <w:r w:rsidRPr="003241F6">
                          <w:rPr>
                            <w:rFonts w:cs="Times New Roman"/>
                          </w:rPr>
                          <w:t xml:space="preserve"> </w:t>
                        </w:r>
                        <w:r w:rsidR="00AB78A9" w:rsidRPr="003241F6">
                          <w:rPr>
                            <w:rFonts w:cs="Times New Roman"/>
                          </w:rPr>
                          <w:t xml:space="preserve">как местное слабительное натрия </w:t>
                        </w:r>
                        <w:proofErr w:type="spellStart"/>
                        <w:r w:rsidR="00AB78A9" w:rsidRPr="003241F6">
                          <w:rPr>
                            <w:rFonts w:cs="Times New Roman"/>
                          </w:rPr>
                          <w:t>пикосульфат</w:t>
                        </w:r>
                        <w:proofErr w:type="spellEnd"/>
                        <w:r w:rsidR="00AB78A9" w:rsidRPr="003241F6">
                          <w:rPr>
                            <w:rFonts w:cs="Times New Roman"/>
                          </w:rPr>
                          <w:t xml:space="preserve"> после бактериального расщепления в толстом кишечнике оказывает стимулирующее действие на слизистую толстого кишечника, увеличивая перистальтику, способствует накоплению воды и электролитов в толстом кишечнике. Это приводит к стимуляции акта дефекации, уменьшению времени эвакуации и размягчению стула.</w:t>
                        </w:r>
                      </w:p>
                      <w:p w:rsidR="006179F8" w:rsidRPr="003241F6" w:rsidRDefault="006179F8" w:rsidP="006179F8">
                        <w:pPr>
                          <w:rPr>
                            <w:rFonts w:cs="Times New Roman"/>
                            <w:b/>
                          </w:rPr>
                        </w:pPr>
                      </w:p>
                      <w:p w:rsidR="006179F8" w:rsidRPr="005657C7" w:rsidRDefault="006179F8" w:rsidP="006179F8">
                        <w:pPr>
                          <w:rPr>
                            <w:rFonts w:ascii="Liberation Serif" w:hAnsi="Liberation Serif" w:hint="eastAsia"/>
                            <w:b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4" o:spid="_x0000_s1031" type="#_x0000_t67" style="position:absolute;left:30003;top:4476;width:762;height:59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QMAA&#10;AADbAAAADwAAAGRycy9kb3ducmV2LnhtbERPS2vCQBC+C/0PyxS86aatLRJdpRSk4sU3XofsNAnN&#10;zsbsGOO/d4VCb/PxPWc671ylWmpC6dnAyzABRZx5W3Ju4LBfDMaggiBbrDyTgRsFmM+eelNMrb/y&#10;ltqd5CqGcEjRQCFSp1qHrCCHYehr4sj9+MahRNjk2jZ4jeGu0q9J8qEdlhwbCqzpq6Dsd3dxBnB9&#10;DOe6fXe3IOVW3lYb+j5tjOk/d58TUEKd/Iv/3Esb54/g8Us8QM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nGQMAAAADbAAAADwAAAAAAAAAAAAAAAACYAgAAZHJzL2Rvd25y&#10;ZXYueG1sUEsFBgAAAAAEAAQA9QAAAIUDAAAAAA==&#10;" adj="16723" fillcolor="#729fcf" strokecolor="#3465a4" strokeweight=".26mm">
                  <v:stroke joinstyle="round"/>
                </v:shape>
                <v:shape id="Стрелка вниз 12" o:spid="_x0000_s1032" type="#_x0000_t67" style="position:absolute;left:29908;top:22764;width:762;height:59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2CcAA&#10;AADbAAAADwAAAGRycy9kb3ducmV2LnhtbERPTYvCMBC9L/gfwgh7W1O7sJRqFBEED150vextbMam&#10;tZmUJNb67zcLC97m8T5nuR5tJwbyoXGsYD7LQBBXTjdcKzh/7z4KECEia+wck4InBVivJm9LLLV7&#10;8JGGU6xFCuFQogITY19KGSpDFsPM9cSJuzpvMSboa6k9PlK47WSeZV/SYsOpwWBPW0PV7XS3Cg73&#10;8NPS58W0u6LOh1YW/joUSr1Px80CRKQxvsT/7r1O83P4+y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U2CcAAAADbAAAADwAAAAAAAAAAAAAAAACYAgAAZHJzL2Rvd25y&#10;ZXYueG1sUEsFBgAAAAAEAAQA9QAAAIUDAAAAAA==&#10;" fillcolor="#729fcf" strokecolor="#3465a4" strokeweight=".26mm">
                  <v:stroke joinstyle="round"/>
                </v:shape>
                <v:shape id="Стрелка вниз 10" o:spid="_x0000_s1033" type="#_x0000_t67" style="position:absolute;left:30099;top:35337;width:857;height:7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hpsQA&#10;AADbAAAADwAAAGRycy9kb3ducmV2LnhtbESPS2vDMBCE74X+B7GF3Bq5D0xwo4S0pJBTSx7Q62Jt&#10;LGNr5UhK4v777qGQ2y4zO/PtfDn6Xl0opjawgadpAYq4DrblxsBh//k4A5UyssU+MBn4pQTLxf3d&#10;HCsbrrylyy43SkI4VWjA5TxUWqfakcc0DQOxaMcQPWZZY6NtxKuE+14/F0WpPbYsDQ4H+nBUd7uz&#10;N1Dv+zK+lPnUffn1ifzr+3f344yZPIyrN1CZxnwz/19vrOALvfwiA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YabEAAAA2wAAAA8AAAAAAAAAAAAAAAAAmAIAAGRycy9k&#10;b3ducmV2LnhtbFBLBQYAAAAABAAEAPUAAACJAwAAAAA=&#10;" adj="16992" fillcolor="#729fcf" strokecolor="#3465a4" strokeweight=".26mm">
                  <v:stroke joinstyle="round"/>
                </v:shape>
                <v:roundrect id="Скругленный прямоугольник 9" o:spid="_x0000_s1034" style="position:absolute;top:42672;width:61626;height:10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3nMEA&#10;AADaAAAADwAAAGRycy9kb3ducmV2LnhtbESPQYvCMBSE78L+h/AEb5q6B9FqFF1Y1pNg7Q94Nq9N&#10;sXmpTbZ2//1GEDwOM/MNs9kNthE9db52rGA+S0AQF07XXCnIL9/TJQgfkDU2jknBH3nYbT9GG0y1&#10;e/CZ+ixUIkLYp6jAhNCmUvrCkEU/cy1x9ErXWQxRdpXUHT4i3DbyM0kW0mLNccFgS1+Gilv2axXc&#10;9D3JD3c7/ynLU5tlvTler4NSk/GwX4MINIR3+NU+agUreF6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d5zBAAAA2gAAAA8AAAAAAAAAAAAAAAAAmAIAAGRycy9kb3du&#10;cmV2LnhtbFBLBQYAAAAABAAEAPUAAACGAwAAAAA=&#10;" fillcolor="#70ad47 [3209]" strokecolor="#3465a4" strokeweight=".26mm">
                  <v:textbox inset="0,0,0,0">
                    <w:txbxContent>
                      <w:p w:rsidR="00AB78A9" w:rsidRDefault="00AB78A9" w:rsidP="00AB78A9">
                        <w:pPr>
                          <w:jc w:val="center"/>
                          <w:rPr>
                            <w:rFonts w:ascii="Liberation Serif" w:hAnsi="Liberation Serif" w:hint="eastAsia"/>
                          </w:rPr>
                        </w:pPr>
                        <w:r w:rsidRPr="003241F6">
                          <w:rPr>
                            <w:rFonts w:cs="Times New Roman"/>
                            <w:b/>
                          </w:rPr>
                          <w:t>Противопоказания</w:t>
                        </w:r>
                        <w:r w:rsidRPr="003241F6">
                          <w:rPr>
                            <w:rFonts w:cs="Times New Roman"/>
                            <w:b/>
                          </w:rPr>
                          <w:t>:</w:t>
                        </w:r>
                        <w:r w:rsidRPr="003241F6">
                          <w:rPr>
                            <w:rFonts w:cs="Times New Roman"/>
                          </w:rPr>
                          <w:t xml:space="preserve"> </w:t>
                        </w:r>
                        <w:r w:rsidRPr="003241F6">
                          <w:rPr>
                            <w:rFonts w:cs="Times New Roman"/>
                          </w:rPr>
                          <w:t xml:space="preserve">кишечная непроходимость или </w:t>
                        </w:r>
                        <w:proofErr w:type="spellStart"/>
                        <w:r w:rsidRPr="003241F6">
                          <w:rPr>
                            <w:rFonts w:cs="Times New Roman"/>
                          </w:rPr>
                          <w:t>обструктивные</w:t>
                        </w:r>
                        <w:proofErr w:type="spellEnd"/>
                        <w:r w:rsidRPr="003241F6">
                          <w:rPr>
                            <w:rFonts w:cs="Times New Roman"/>
                          </w:rPr>
                          <w:t xml:space="preserve"> заболевания кишечника, острые заболевания органов брюшной полости, включая аппендицит, или сильная боль в животе, которые могут сопровождаться тошнотой, рвотой, повышением температуры тела, </w:t>
                        </w:r>
                        <w:r w:rsidR="003241F6" w:rsidRPr="003241F6">
                          <w:rPr>
                            <w:rFonts w:cs="Times New Roman"/>
                          </w:rPr>
                          <w:t xml:space="preserve">тяжелая </w:t>
                        </w:r>
                        <w:proofErr w:type="gramStart"/>
                        <w:r w:rsidR="003241F6" w:rsidRPr="003241F6">
                          <w:rPr>
                            <w:rFonts w:cs="Times New Roman"/>
                          </w:rPr>
                          <w:t>дегидратация,</w:t>
                        </w:r>
                        <w:r w:rsidRPr="003241F6">
                          <w:rPr>
                            <w:rFonts w:cs="Times New Roman"/>
                          </w:rPr>
                          <w:t xml:space="preserve">  </w:t>
                        </w:r>
                        <w:r w:rsidR="003241F6" w:rsidRPr="003241F6">
                          <w:rPr>
                            <w:rFonts w:cs="Times New Roman"/>
                          </w:rPr>
                          <w:t>острые</w:t>
                        </w:r>
                        <w:proofErr w:type="gramEnd"/>
                        <w:r w:rsidR="003241F6" w:rsidRPr="003241F6">
                          <w:rPr>
                            <w:rFonts w:cs="Times New Roman"/>
                          </w:rPr>
                          <w:t xml:space="preserve"> воспалительные заболевания кишечника</w:t>
                        </w:r>
                        <w:r w:rsidR="003241F6">
                          <w:rPr>
                            <w:rFonts w:ascii="Liberation Serif" w:hAnsi="Liberation Serif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suppressLineNumbers/>
        <w:rPr>
          <w:rFonts w:ascii="Liberation Serif" w:hAnsi="Liberation Serif" w:hint="eastAsi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Pr="00BF32D4" w:rsidRDefault="006179F8" w:rsidP="006179F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6179F8" w:rsidRDefault="006179F8" w:rsidP="006179F8">
      <w:pPr>
        <w:suppressAutoHyphens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6179F8" w:rsidRDefault="006179F8" w:rsidP="006179F8">
      <w:pPr>
        <w:rPr>
          <w:color w:val="FF0000"/>
          <w:szCs w:val="28"/>
        </w:rPr>
      </w:pPr>
    </w:p>
    <w:p w:rsidR="006179F8" w:rsidRDefault="006179F8" w:rsidP="006179F8">
      <w:pPr>
        <w:rPr>
          <w:color w:val="FF0000"/>
          <w:szCs w:val="28"/>
        </w:rPr>
      </w:pPr>
    </w:p>
    <w:p w:rsidR="006179F8" w:rsidRDefault="006179F8" w:rsidP="006179F8">
      <w:pPr>
        <w:rPr>
          <w:color w:val="FF0000"/>
          <w:szCs w:val="28"/>
        </w:rPr>
      </w:pPr>
    </w:p>
    <w:p w:rsidR="006179F8" w:rsidRPr="0036758D" w:rsidRDefault="006179F8" w:rsidP="006179F8">
      <w:pPr>
        <w:rPr>
          <w:color w:val="FF0000"/>
          <w:szCs w:val="28"/>
        </w:rPr>
      </w:pPr>
    </w:p>
    <w:p w:rsidR="00C45CED" w:rsidRDefault="00086026"/>
    <w:sectPr w:rsidR="00C45C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F43"/>
      </v:shape>
    </w:pict>
  </w:numPicBullet>
  <w:abstractNum w:abstractNumId="0" w15:restartNumberingAfterBreak="0">
    <w:nsid w:val="4E780FDF"/>
    <w:multiLevelType w:val="hybridMultilevel"/>
    <w:tmpl w:val="3F96F1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651D0"/>
    <w:multiLevelType w:val="hybridMultilevel"/>
    <w:tmpl w:val="E09697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C75326"/>
    <w:multiLevelType w:val="hybridMultilevel"/>
    <w:tmpl w:val="7CDA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2"/>
    <w:rsid w:val="0004319A"/>
    <w:rsid w:val="00086026"/>
    <w:rsid w:val="003241F6"/>
    <w:rsid w:val="006179F8"/>
    <w:rsid w:val="00783B01"/>
    <w:rsid w:val="008B6FB6"/>
    <w:rsid w:val="00950ABA"/>
    <w:rsid w:val="009B6354"/>
    <w:rsid w:val="00AB78A9"/>
    <w:rsid w:val="00B35179"/>
    <w:rsid w:val="00F92402"/>
    <w:rsid w:val="00FE0C9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9A1D-64E6-4A19-9CEB-21AF66C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B01"/>
    <w:rPr>
      <w:b/>
      <w:bCs/>
    </w:rPr>
  </w:style>
  <w:style w:type="paragraph" w:styleId="a4">
    <w:name w:val="List Paragraph"/>
    <w:basedOn w:val="a"/>
    <w:uiPriority w:val="34"/>
    <w:qFormat/>
    <w:rsid w:val="00783B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Халапеньо</dc:creator>
  <cp:keywords/>
  <dc:description/>
  <cp:lastModifiedBy>Халапеньо</cp:lastModifiedBy>
  <cp:revision>5</cp:revision>
  <dcterms:created xsi:type="dcterms:W3CDTF">2020-06-04T14:41:00Z</dcterms:created>
  <dcterms:modified xsi:type="dcterms:W3CDTF">2020-06-04T15:46:00Z</dcterms:modified>
</cp:coreProperties>
</file>