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73" w:rsidRDefault="00FA1573" w:rsidP="00EA42CF">
      <w:pPr>
        <w:keepNext/>
        <w:keepLine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_Toc40265662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Оценка 5</w:t>
      </w:r>
      <w:bookmarkStart w:id="1" w:name="_GoBack"/>
      <w:bookmarkEnd w:id="1"/>
    </w:p>
    <w:p w:rsidR="00EA42CF" w:rsidRPr="002A0100" w:rsidRDefault="00EA42CF" w:rsidP="00EA42CF">
      <w:pPr>
        <w:keepNext/>
        <w:keepLine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2A010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Тема № 3. Гомеопатические лекарственные препараты. Дать определение. Анализ ассортимента. Хранение. Реализация. (6 часов)</w:t>
      </w:r>
      <w:bookmarkEnd w:id="0"/>
    </w:p>
    <w:p w:rsidR="00EA42CF" w:rsidRPr="002A0100" w:rsidRDefault="00EA42CF" w:rsidP="00EA4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00">
        <w:rPr>
          <w:rFonts w:ascii="Times New Roman" w:eastAsia="Calibri" w:hAnsi="Times New Roman" w:cs="Times New Roman"/>
          <w:sz w:val="28"/>
          <w:szCs w:val="28"/>
        </w:rPr>
        <w:t xml:space="preserve">Согласно приказу МЗ РФ от 12.04.2010 N 61-ФЗ "Об обращении лекарственных средств" </w:t>
      </w:r>
    </w:p>
    <w:p w:rsidR="00EA42CF" w:rsidRPr="002A0100" w:rsidRDefault="00EA42CF" w:rsidP="00EA4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00">
        <w:rPr>
          <w:rFonts w:ascii="Times New Roman" w:eastAsia="Calibri" w:hAnsi="Times New Roman" w:cs="Times New Roman"/>
          <w:sz w:val="28"/>
          <w:szCs w:val="28"/>
        </w:rPr>
        <w:t>Гомеопатический лекарственный препарат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препарата.</w:t>
      </w:r>
    </w:p>
    <w:p w:rsidR="00EA42CF" w:rsidRPr="002A0100" w:rsidRDefault="00EA42CF" w:rsidP="00EA4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00">
        <w:rPr>
          <w:rFonts w:ascii="Times New Roman" w:eastAsia="Calibri" w:hAnsi="Times New Roman" w:cs="Times New Roman"/>
          <w:sz w:val="28"/>
          <w:szCs w:val="28"/>
        </w:rPr>
        <w:t>Особенностью маркировки гомеопатических ЛС является надпись на вторичной упаковке «Гомеопатический».</w:t>
      </w:r>
    </w:p>
    <w:p w:rsidR="00EA42CF" w:rsidRPr="002A0100" w:rsidRDefault="00EA42CF" w:rsidP="00EA4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00">
        <w:rPr>
          <w:rFonts w:ascii="Times New Roman" w:eastAsia="Calibri" w:hAnsi="Times New Roman" w:cs="Times New Roman"/>
          <w:sz w:val="28"/>
          <w:szCs w:val="28"/>
        </w:rPr>
        <w:t>Гомеопатические ЛС не требуют отдельных мест хранения, поэтому их хранят в соответствии с общими требованиями, с учетом физико-химических свойств и воздействия различных факторов внешней среды.</w:t>
      </w:r>
    </w:p>
    <w:p w:rsidR="00EA42CF" w:rsidRPr="002A0100" w:rsidRDefault="00EA42CF" w:rsidP="00EA4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00">
        <w:rPr>
          <w:rFonts w:ascii="Times New Roman" w:eastAsia="Calibri" w:hAnsi="Times New Roman" w:cs="Times New Roman"/>
          <w:sz w:val="28"/>
          <w:szCs w:val="28"/>
        </w:rPr>
        <w:t>Отпуск гомеопатические лекарственных препаратов из аптек осуществляется без рецепта, кроме парентеральных гомеопатических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3150"/>
        <w:gridCol w:w="3532"/>
      </w:tblGrid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Стодаль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Оциллококцинум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noProof/>
                <w:sz w:val="24"/>
                <w:szCs w:val="24"/>
              </w:rPr>
              <w:drawing>
                <wp:inline distT="0" distB="0" distL="0" distR="0" wp14:anchorId="350FECCB" wp14:editId="3EFC0A0D">
                  <wp:extent cx="1937497" cy="2352675"/>
                  <wp:effectExtent l="0" t="0" r="5715" b="0"/>
                  <wp:docPr id="1" name="Рисунок 1" descr="Стодаль, сироп гомеопатический, 200 мл, 1 шт., Laboratoires Boir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одаль, сироп гомеопатический, 200 мл, 1 шт., Laboratoires Boir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24" cy="23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noProof/>
                <w:sz w:val="24"/>
                <w:szCs w:val="24"/>
              </w:rPr>
              <w:drawing>
                <wp:inline distT="0" distB="0" distL="0" distR="0" wp14:anchorId="661A7A8C" wp14:editId="20DC474B">
                  <wp:extent cx="2197007" cy="1504950"/>
                  <wp:effectExtent l="0" t="0" r="0" b="0"/>
                  <wp:docPr id="2" name="Рисунок 2" descr="Что лучше оциллококцинум или кагоцел и чем они отличаются - Что луч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то лучше оциллококцинум или кагоцел и чем они отличаются - Что луч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698" cy="151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МНН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-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ЛФ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Сироп гомеопатический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Гранулы гомеопатические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lastRenderedPageBreak/>
              <w:t>Фармакотерапевтическая группа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Гомеопатическое средство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Гомеопатическое средство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 xml:space="preserve">Показания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Симптоматическое лечение кашля различной этиологии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Грипп легкой т средней тяжести, острая респираторная вирусная инфекция (ОРВИ)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 xml:space="preserve">Противопоказания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 xml:space="preserve">Повышенная индивидуальная чувствительность к отдельным компонентам препарата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Повышенная индивидуальная чувствительность к отдельным компонентам препарата. Непереносимость лактозы, дефицит лактозы.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Побочные действия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 xml:space="preserve">Не зарегистрированы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Возможны аллергические реакции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 xml:space="preserve">Особые указания 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Пациентам с сахарным диабетом; при беременности и в период лактации. Не влияет на управление транспорта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 xml:space="preserve">Если в течение 24 часов симптомы заболевания нарастают, то следует обратиться к врачу. Не влияет на управление транспорта 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 xml:space="preserve">Форма выпуска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 xml:space="preserve">Флаконы по 200 мл из темного стекла с белой завинчивающейся крышкой и пластика и герметического кольца, обеспечивающего контроль первого вскрытия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 xml:space="preserve">По 1 дозе (1 грамму) гранул в тубе из белого полипропилена с пробкой из полиэтилена. По 3 тубы в блистере. По 2, 4 или 10 блистеров вместе, с инструкцией по применению 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 xml:space="preserve">Условия хранения 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Хранить в сухом, защищенном от света месте, при температуре от 15 до 25 ̊С. Хранить в недоступном для детей месте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Хранить при температуре не выше 25 ̊С. Хранить в недоступном для детей месте</w:t>
            </w:r>
          </w:p>
        </w:tc>
      </w:tr>
      <w:tr w:rsidR="00EA42CF" w:rsidRPr="002A0100" w:rsidTr="00D17AD5">
        <w:tc>
          <w:tcPr>
            <w:tcW w:w="3284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A0100">
              <w:rPr>
                <w:b/>
                <w:sz w:val="24"/>
                <w:szCs w:val="24"/>
              </w:rPr>
              <w:t>Условия отпуска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Без рецепта</w:t>
            </w:r>
          </w:p>
        </w:tc>
        <w:tc>
          <w:tcPr>
            <w:tcW w:w="3285" w:type="dxa"/>
          </w:tcPr>
          <w:p w:rsidR="00EA42CF" w:rsidRPr="002A0100" w:rsidRDefault="00EA42CF" w:rsidP="00D17A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0100">
              <w:rPr>
                <w:sz w:val="24"/>
                <w:szCs w:val="24"/>
              </w:rPr>
              <w:t>Без рецепта</w:t>
            </w:r>
          </w:p>
        </w:tc>
      </w:tr>
    </w:tbl>
    <w:p w:rsidR="008772C5" w:rsidRPr="00EA42CF" w:rsidRDefault="00FA1573" w:rsidP="00EA42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72C5" w:rsidRPr="00EA42CF" w:rsidSect="00EA42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73"/>
    <w:rsid w:val="00020DF4"/>
    <w:rsid w:val="003F1124"/>
    <w:rsid w:val="00A76B73"/>
    <w:rsid w:val="00EA42CF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3DA5"/>
  <w15:chartTrackingRefBased/>
  <w15:docId w15:val="{0EC26B57-607F-4ED7-A834-93EA01E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2020-05-22T05:51:00Z</dcterms:created>
  <dcterms:modified xsi:type="dcterms:W3CDTF">2020-05-25T09:23:00Z</dcterms:modified>
</cp:coreProperties>
</file>