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</w:t>
      </w:r>
      <w:r/>
    </w:p>
    <w:p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“Красноярский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им. В.Ф </w:t>
      </w:r>
      <w:r>
        <w:rPr>
          <w:rFonts w:ascii="Times New Roman" w:hAnsi="Times New Roman" w:cs="Times New Roman"/>
          <w:sz w:val="28"/>
          <w:szCs w:val="28"/>
        </w:rPr>
        <w:t xml:space="preserve">Войно-Ясенецкого</w:t>
      </w:r>
      <w:r>
        <w:rPr>
          <w:rFonts w:ascii="Times New Roman" w:hAnsi="Times New Roman" w:cs="Times New Roman"/>
          <w:sz w:val="28"/>
          <w:szCs w:val="28"/>
        </w:rPr>
        <w:t xml:space="preserve">”</w:t>
      </w:r>
      <w:r/>
    </w:p>
    <w:p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</w:t>
      </w:r>
      <w:r/>
    </w:p>
    <w:p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ФГБОУ ВО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КрасГМУ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им. проф.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В.Ф.Войно-Ясенецкого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Минздрава России</w:t>
      </w:r>
      <w:r/>
    </w:p>
    <w:p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Кафедра детских болезней с курсом ПО</w:t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Реферат на тему: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Аллергическая крапивница у  детей</w:t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right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Выполнил:  </w:t>
      </w:r>
      <w:r/>
    </w:p>
    <w:p>
      <w:pPr>
        <w:jc w:val="right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ординатор 2-го года 216 группы </w:t>
      </w:r>
      <w:r/>
    </w:p>
    <w:p>
      <w:pPr>
        <w:jc w:val="right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кафедры детских болезней с курсом ПО Раупова М.Д .</w:t>
      </w:r>
      <w:r/>
    </w:p>
    <w:p>
      <w:pPr>
        <w:jc w:val="right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Проверила: к.м.н., доцент Нейман Е.Г </w:t>
      </w:r>
      <w:r/>
    </w:p>
    <w:p>
      <w:pPr>
        <w:jc w:val="right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right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Красноярск, 2024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г</w:t>
      </w:r>
      <w:r/>
    </w:p>
    <w:p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ОГЛАВЛЕНИЕ</w:t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  <w:t xml:space="preserve">1. Определение </w:t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2. Классификация</w:t>
      </w:r>
      <w:r/>
    </w:p>
    <w:p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3. </w:t>
      </w:r>
      <w:r>
        <w:rPr>
          <w:rStyle w:val="621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Этиология и </w:t>
      </w:r>
      <w:r>
        <w:rPr>
          <w:rStyle w:val="621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патогенез</w:t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  <w:t xml:space="preserve">4. </w:t>
      </w:r>
      <w:r>
        <w:rPr>
          <w:rFonts w:ascii="Times New Roman" w:hAnsi="Times New Roman" w:eastAsia="Times New Roman" w:cs="Times New Roman"/>
          <w:color w:val="2e2e2e"/>
          <w:sz w:val="28"/>
          <w:szCs w:val="28"/>
          <w:highlight w:val="white"/>
          <w:lang w:eastAsia="ru-RU"/>
        </w:rPr>
        <w:t xml:space="preserve">Клиника</w:t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  <w:t xml:space="preserve">5. Диагностика </w:t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/>
      <w:bookmarkStart w:id="1" w:name="__DdeLink__1207_596515891"/>
      <w:r/>
      <w:bookmarkEnd w:id="1"/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  <w:t xml:space="preserve">6. Лечение</w:t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Крапивница</w:t>
      </w:r>
      <w:r>
        <w:rPr>
          <w:rFonts w:ascii="Times New Roman" w:hAnsi="Times New Roman" w:cs="Times New Roman"/>
          <w:sz w:val="28"/>
          <w:szCs w:val="28"/>
        </w:rPr>
        <w:t xml:space="preserve"> (от лат. </w:t>
      </w:r>
      <w:r>
        <w:rPr>
          <w:rFonts w:ascii="Times New Roman" w:hAnsi="Times New Roman" w:cs="Times New Roman"/>
          <w:sz w:val="28"/>
          <w:szCs w:val="28"/>
        </w:rPr>
        <w:t xml:space="preserve">Urtica</w:t>
      </w:r>
      <w:r>
        <w:rPr>
          <w:rFonts w:ascii="Times New Roman" w:hAnsi="Times New Roman" w:cs="Times New Roman"/>
          <w:sz w:val="28"/>
          <w:szCs w:val="28"/>
        </w:rPr>
        <w:t xml:space="preserve"> — крапива) — заболевание, характеризующееся развитием волдырей и/или </w:t>
      </w:r>
      <w:r>
        <w:rPr>
          <w:rFonts w:ascii="Times New Roman" w:hAnsi="Times New Roman" w:cs="Times New Roman"/>
          <w:sz w:val="28"/>
          <w:szCs w:val="28"/>
        </w:rPr>
        <w:t xml:space="preserve">ангиоотеков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Состояния, при которых волдыри являются симптомом (кожные тесты, </w:t>
      </w:r>
      <w:r>
        <w:rPr>
          <w:rFonts w:ascii="Times New Roman" w:hAnsi="Times New Roman" w:cs="Times New Roman"/>
          <w:sz w:val="28"/>
          <w:szCs w:val="28"/>
        </w:rPr>
        <w:t xml:space="preserve">аутовоспалительные</w:t>
      </w:r>
      <w:r>
        <w:rPr>
          <w:rFonts w:ascii="Times New Roman" w:hAnsi="Times New Roman" w:cs="Times New Roman"/>
          <w:sz w:val="28"/>
          <w:szCs w:val="28"/>
        </w:rPr>
        <w:t xml:space="preserve"> синдромы - заболевания, вызванные мутациями в протеин-кодирующих генах, играющих ведущую роль в регуляции воспалительного ответа, анафилаксия, наследственный </w:t>
      </w:r>
      <w:r>
        <w:rPr>
          <w:rFonts w:ascii="Times New Roman" w:hAnsi="Times New Roman" w:cs="Times New Roman"/>
          <w:sz w:val="28"/>
          <w:szCs w:val="28"/>
        </w:rPr>
        <w:t xml:space="preserve">ангиоотек</w:t>
      </w:r>
      <w:r>
        <w:rPr>
          <w:rFonts w:ascii="Times New Roman" w:hAnsi="Times New Roman" w:cs="Times New Roman"/>
          <w:sz w:val="28"/>
          <w:szCs w:val="28"/>
        </w:rPr>
        <w:t xml:space="preserve"> и т.п.) непосредственно не являются крапивницей.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  <w:t xml:space="preserve">Классификация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Согласно современным представлениям (Европейский согласительный документ по определению, классификации, диагностике и лечению крапивницы 2013 г. [9]), крапивница классифицируется: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1. По продолжительности проявлений: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 Острая крапивница – спонтанное возникновение волдырей и/или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ангиоотеков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на протяжении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временнóго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периода менее 6 недель;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Хроническая крапивница – симптомы на протяжении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временнóго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периода более 6 недель.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2. По подтипам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 (табл.2). При этом у одного больного может быть два и более подтипов крапивницы.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Таблица 2 - Европейская классификация подтипов крапивницы (проявляющейся в виде волдырей и/или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ангиоотеков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) [9]</w:t>
      </w:r>
      <w:r/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12" w:type="dxa"/>
          <w:top w:w="12" w:type="dxa"/>
          <w:right w:w="12" w:type="dxa"/>
          <w:bottom w:w="12" w:type="dxa"/>
        </w:tblCellMar>
        <w:tblLook w:val="04A0" w:firstRow="1" w:lastRow="0" w:firstColumn="1" w:lastColumn="0" w:noHBand="0" w:noVBand="1"/>
      </w:tblPr>
      <w:tblGrid>
        <w:gridCol w:w="5784"/>
        <w:gridCol w:w="3555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Хроническая спонтанная крапивница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Индуцируемая крапивница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Появление волдырей и/или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ангиоотеков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период от 6 недель и более вследствие известных и неизвестных причин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 Симптоматический дермографизм*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Холодовая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крапивница**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Замедленная крапивница от давления***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Солнечная крапивница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Тепловая крапивница****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Вибрационный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ангиоотек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Холинергическая крапивница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Контактная крапивница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•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Аквагенная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крапивница</w:t>
            </w:r>
            <w:r/>
          </w:p>
        </w:tc>
      </w:tr>
    </w:tbl>
    <w:p>
      <w:pPr>
        <w:jc w:val="center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  <w:t xml:space="preserve">Этиология и патогенез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Существует множество факторов, способных стать причинными в развитии крапивницы. Среди наиболее часто встречающихся причин у детей выделяют следующие: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 пищевые продукты (орехи, яйцо, рыба, томаты, моллюски, клубника и др.) и пищевые добавки (сульфиты, салицилаты, красители);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лекарственные средства (ЛС) - препараты пенициллинового ряда, цефалоспорины, салицилаты, опиаты, нестероидные противовоспалительные препараты (НПВП), барбитураты,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амфетамины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, атропин, инсулин, иммуномодуляторы 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рентгеноконтрастные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средства;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кровь и препараты на ее основе;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укусы 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ужаления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(пчел, ос, пауков, блох и др.);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физические факторы, такие как тепло, холод, солнце, физические нагрузки;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психогенные факторы.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Указанные выше факторы в случае хронической спонтанной крапивницы могут стать провоцирующими, т.е. приводящими к обострению заболевания.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Учитывая небольшое количество доказ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ательств роли инфекционных агентов (а также гельминтов, простейших и т.д.) как возможной причины крапивницы или ее обострения, о причастности какого-либо патогена следует говорить лишь в случаях, когда все другие вероятные этиологические факторы исключены.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В случае системных заболеваний крапивница расценивается как симптом основного заболевания: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системные заболевания соединительной ткани — системная красная волчанка, ювенильный ревматоидный артрит, дерматомиозит, ревматическая лихорадка и др.;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воспалительные болезни кишечника — болезнь Крона, язвенный колит;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смешанные формы — болезнь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Бехчета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тиреоидиты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периодический синдром, ассоциированный с рецептором 1 фактора некроза опухоли (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Tumor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Necrosis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Factor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Receptor-Associated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Periodic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Syndrome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, TRAPS);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криопиринассоциированные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периодические синдромы (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Сryopyrin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Associated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Periodic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Syndrome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, CAPS); CAPS характеризуются аутосомно-доминантным типом наследования, выделяют: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1) семейный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холодовой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аутовоспалительный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синдром (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familial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cold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autoinflammatory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syndrome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, FCAS);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2)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синдром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Макла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–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Уэлса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(Muckle–Wells syndrome, MWS);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3) CINCA/NOMID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синдром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—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хронический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неврологический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кожный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суставной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синдром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(Chronic Neurologic Cutaneous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And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Articular Syndrome),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мультисистемное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воспалительное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заболевание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неонатального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возраста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val="en-US" w:eastAsia="ru-RU"/>
        </w:rPr>
        <w:t xml:space="preserve"> (Neonatal onset multisystem inflammatory disease, NOMID);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Ниже привед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ены основные причинные факторы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Таблица 1 - Причинные факторы крапивницы</w:t>
      </w:r>
      <w:r/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12" w:type="dxa"/>
          <w:top w:w="12" w:type="dxa"/>
          <w:right w:w="12" w:type="dxa"/>
          <w:bottom w:w="12" w:type="dxa"/>
        </w:tblCellMar>
        <w:tblLook w:val="04A0" w:firstRow="1" w:lastRow="0" w:firstColumn="1" w:lastColumn="0" w:noHBand="0" w:noVBand="1"/>
      </w:tblPr>
      <w:tblGrid>
        <w:gridCol w:w="3342"/>
        <w:gridCol w:w="5997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Вид крапивницы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Причинный фактор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Аллергическая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Пищевые продукты, ЛС,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аэроаллергены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яд насекомых, контактные аллергены и др.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Токсическая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Насекомые, растения (например, крапива), обитатели моря (например, медузы)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Псевдоаллергическая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Нестероидные противовоспалительные препараты (НПВП) (например, аспирин), антибиотики,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опиоиды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рентгеноконтрастные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вещества, пищевые добавки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Физическая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Механический стимул (дермографизм, давление, вибрация и т.д.)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Термический стимул (холод, тепло)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Холинергический стимул (физическая нагрузка, стресс)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Другие (вода, солнечный свет и др.)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Идиопатическая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Без выявленной причины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Аутоиммунная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Аутоантитела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 рецептору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IgE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(на тучных клетках (ТК) и базофилах) или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IgE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Связанная с сопутствующими заболеваниями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Паразитарная, бактериальная, грибковая, вирусная инфекции, онкологические заболевания и др.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Связанная с аутоиммунными заболеваниями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Системные заболевания соединительной ткани, воспалительные заболевания кишечника, CAPS, TRAPS синдромы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Связанная с дефицитом или ингибированием фермента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Дефицит С1-ингибитора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эстеразы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(наследственный, приобретенный ангионевротический отек), прием ингибиторов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ангиотензинпревращающего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фермента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иАПФ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</w:t>
            </w:r>
            <w:r/>
          </w:p>
        </w:tc>
      </w:tr>
    </w:tbl>
    <w:p>
      <w:pPr>
        <w:spacing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 В данном случае крапивницу следует расценивать как симптом основного заболевания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 </w:t>
      </w:r>
      <w:r/>
    </w:p>
    <w:p>
      <w:pPr>
        <w:jc w:val="center"/>
        <w:rPr>
          <w:rStyle w:val="621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/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12" w:type="dxa"/>
          <w:top w:w="12" w:type="dxa"/>
          <w:right w:w="12" w:type="dxa"/>
          <w:bottom w:w="12" w:type="dxa"/>
        </w:tblCellMar>
        <w:tblLook w:val="04A0" w:firstRow="1" w:lastRow="0" w:firstColumn="1" w:lastColumn="0" w:noHBand="0" w:noVBand="1"/>
      </w:tblPr>
      <w:tblGrid>
        <w:gridCol w:w="2402"/>
        <w:gridCol w:w="2879"/>
        <w:gridCol w:w="4058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Подтип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Обязательное диагностическое обследование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Расширенное диагностическое обследование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Острая идиопатическая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большинстве случаев не показано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большинстве случаев не показано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Хроническая идиопатическая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Клинический анализ крови, СРБ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808080" w:sz="6" w:space="0"/>
              <w:right w:val="single" w:color="auto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Определение уровней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тиреоглобулина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тиреоидной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пероксидазы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триптазы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антинуклеарных антител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С3/С4 компонентов комплемента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белковых фракций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D-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димера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Тесты для исключения физической крапивницы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Тесты с лекарственными препаратами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Кожная биопсия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Исключение/подтверждение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инфекционных заболеваний (а также наличия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Helicobacter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pylori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- паразитарной инвазии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Тест 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аутологичной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сывороткой</w:t>
            </w:r>
            <w:r/>
          </w:p>
        </w:tc>
      </w:tr>
    </w:tbl>
    <w:p>
      <w:pPr>
        <w:spacing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 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Дифф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диагностика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Ниже приведены заболевания, требующие дифференциальной диагностики с крапивницей с использованием специфических методов диагностики и консультации соответствующих специалистов (ревматолог,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дерматовенеролог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, аллерголог-иммунолог, пульмонолог, гематолог):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 Лекарственная экзантема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Наследственный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ангиоотек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Семейная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холодовая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крапивница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Уртикарный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васкулит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Пигментная крапивница/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мастоцитоз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Системная красная волчанка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Дерматомиозит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«Смешанные заболевания соединительной ткани»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Юношеский идиопатический артрит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Аутовоспалительный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синдром (семейная средиземноморская лихорадка, TRAPS,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гипер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IgD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-синдром)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Гранулематоз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Вегенера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Синдром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Чарджа-Стросса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Узелковый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полиартериит</w:t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  <w:t xml:space="preserve">ечение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Основной принцип лечения - исключение контакта с причинным, провоцирующим фактором (если он известен) 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ингибиция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тучных клеток.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Лечение крапивницы можно разделить на несколько ступеней (Приложение Г8.)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качестве препаратов первой линии рекомендовано использовать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неседативные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антигистаминные средства II поколения - Н1-АГ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  <w:t xml:space="preserve">(Сила рекомендаций - 1; уровень достоверности доказательств - А)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  <w:t xml:space="preserve">Комментарии: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Дезлоратадин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: у детей с 6 мес. до 1 года по 1 мг (2 мл сиропа), с 1 года до 5 лет по 1,25 мг (2,5 мл), с 6 до 11 лет по 2,5 мг (5 мл) 1 раз в сутки в форме сиропа, старше 12 лет — 5 мг (1 таблетка или 10 мл сиропа) 1 раз в сутки.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Левоцетиризин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: детям старше 6 лет — в суточной дозе 5 мг (1 т.), детям в возрасте от 2 до 6 лет — 2,5 мг/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сут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 в форме капель.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Лоратадин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vertAlign w:val="superscript"/>
          <w:lang w:eastAsia="ru-RU"/>
        </w:rPr>
        <w:t xml:space="preserve">ж,вк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: применяют у детей старше 2 лет. Детям с массой тела менее 30 кг препарат назначают по 5 мг 1 раз в сутки, детям с массой тела более 30 кг — по 10 мг 1 раз в сутки.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Рупатадина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фумарат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 применяют у детей старше 12 лет, рекомендуемая доза составляет 10 мг 1 раз/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сут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Фексофенадин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 применяют у детей 6–12 лет по 30 мг 1 раз в сутки, старше 12 лет — 120–180 мг 1 раз в сутки.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Цетиризин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vertAlign w:val="superscript"/>
          <w:lang w:eastAsia="ru-RU"/>
        </w:rPr>
        <w:t xml:space="preserve">ж</w:t>
      </w:r>
      <w:r>
        <w:rPr>
          <w:rFonts w:ascii="Times New Roman" w:hAnsi="Times New Roman" w:eastAsia="Times New Roman" w:cs="Times New Roman"/>
          <w:i/>
          <w:iCs/>
          <w:color w:val="202124"/>
          <w:sz w:val="28"/>
          <w:szCs w:val="28"/>
          <w:lang w:eastAsia="ru-RU"/>
        </w:rPr>
        <w:t xml:space="preserve">: детям в возрасте от 6 до 12 мес. по 2,5 мг 1 раз в день, детям от 1 года до 6 лет назначают по 2,5 мг 2 раза в день или 5 мг 1 раз в день в виде капель, детям старше 6 лет — по 10 мг (1 т.) однократно или по 5 мг 2 раза в день.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При отсутствии особых показаний у пациентов с крапивницей не рекомендовано применение седативных антигистаминных препаратов I поколения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• При сохранении симптомов более 2 недель дозу антигистаминного препарата II поколения Н1-АГ рекомендуется увеличить в 2 раза (вторая линия терапии).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случае, если симптомы сохраняются 1-4 недели, рекомендуется перейти к 3-й линии терапии, которая предусматривает использование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омализумаба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Пациентам 12 лет и старше с хронической идиопатической крапивницей, резистентной к терапии антигистаминными препаратами, рекомендуется назначать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омализумаб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в дозировке 300 мг/4 недели подкожно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• При тяжелом течении крапивницы, распространенном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уртикарном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поражении, особенно в сочетании с отеком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Квинке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, для купирования острых проявлений рекомендовано назначение кратковременного курса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глюкокортикостероидов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(ГКС).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  <w:t xml:space="preserve">(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• При развитии симптомов острой сердечно-сосудистой недостаточности рекомендовано незамедлительное введение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эпинефрина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отсутствии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омализумаба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, пациентам с длительной, резистентной к терапии антигистаминными препаратами хронической крапивницей возможно назначение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циклоспорина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В качестве терапии 3 линии возможно назначение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монтелукаста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• В случае выраженного, интенсивного зуда, влияющего на активность и сон, рекомендовано назначение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анксиолитической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терапии: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гидроксизина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гидрохлорида 1-2 мг/кг, разделенных на несколько приемов, на несколько (3-5) дней.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02124"/>
          <w:sz w:val="28"/>
          <w:szCs w:val="28"/>
          <w:lang w:eastAsia="ru-RU"/>
        </w:rPr>
        <w:t xml:space="preserve">Режим и диета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Рекомендуется соблюдение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гипоаллергенной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диеты с исключением предполагаемых (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анамнестически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или подтвержденных лабораторно) и облигатных аллергенов, пищевых добавок, натуральных салицилатов,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неидентифицированных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ароматических субстанций в продуктах и напитках.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• У пациентов с крапивницей рекомендуется замена принимаемых препаратов со свойствами 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гистаминолибераторов</w:t>
      </w: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t xml:space="preserve"> на ЛС других классов.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• Рекомендовано устранение или уменьшение воздействия физических факторов, вызывающих обострение крапивницы.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• Рекомендуется избегать условий, при которых возникает переохлаждение: слишком легкая одежда, употребление холодных напитков, пищи, длительное пребывание на холоде.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  <w:t xml:space="preserve">• При солнечной крапивнице рекомендуется избегать прямого воздействия солнца, ношения открытой одежды, отказаться от отдыха в регионах с высокой инсоляцией.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02124"/>
          <w:sz w:val="28"/>
          <w:szCs w:val="28"/>
          <w:lang w:eastAsia="ru-RU"/>
        </w:rPr>
        <w:br/>
      </w:r>
      <w:r/>
    </w:p>
    <w:p>
      <w:pPr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Noto Sans CJK SC">
    <w:panose1 w:val="020B0502040504020204"/>
  </w:font>
  <w:font w:name="Courier New">
    <w:panose1 w:val="02070309020205020404"/>
  </w:font>
  <w:font w:name="Lohit Devanagari">
    <w:panose1 w:val="02000603000000000000"/>
  </w:font>
  <w:font w:name="Wingdings">
    <w:panose1 w:val="05000000000000000000"/>
  </w:font>
  <w:font w:name="Liberation Sans">
    <w:panose1 w:val="020B0604020202020204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7" w:hanging="283"/>
        <w:tabs>
          <w:tab w:val="num" w:pos="70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14" w:hanging="283"/>
        <w:tabs>
          <w:tab w:val="num" w:pos="141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21" w:hanging="283"/>
        <w:tabs>
          <w:tab w:val="num" w:pos="212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8" w:hanging="283"/>
        <w:tabs>
          <w:tab w:val="num" w:pos="282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35" w:hanging="283"/>
        <w:tabs>
          <w:tab w:val="num" w:pos="353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42" w:hanging="283"/>
        <w:tabs>
          <w:tab w:val="num" w:pos="424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49" w:hanging="283"/>
        <w:tabs>
          <w:tab w:val="num" w:pos="494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56" w:hanging="283"/>
        <w:tabs>
          <w:tab w:val="num" w:pos="565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63" w:hanging="283"/>
        <w:tabs>
          <w:tab w:val="num" w:pos="6363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4"/>
    <w:next w:val="61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7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7"/>
    <w:link w:val="615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4"/>
    <w:next w:val="61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7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17"/>
    <w:link w:val="616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4"/>
    <w:next w:val="61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4"/>
    <w:next w:val="6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4"/>
    <w:next w:val="6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4"/>
    <w:next w:val="6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4"/>
    <w:next w:val="6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17"/>
    <w:link w:val="639"/>
    <w:uiPriority w:val="10"/>
    <w:rPr>
      <w:sz w:val="48"/>
      <w:szCs w:val="48"/>
    </w:rPr>
  </w:style>
  <w:style w:type="paragraph" w:styleId="35">
    <w:name w:val="Subtitle"/>
    <w:basedOn w:val="614"/>
    <w:next w:val="6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7"/>
    <w:link w:val="35"/>
    <w:uiPriority w:val="11"/>
    <w:rPr>
      <w:sz w:val="24"/>
      <w:szCs w:val="24"/>
    </w:rPr>
  </w:style>
  <w:style w:type="paragraph" w:styleId="37">
    <w:name w:val="Quote"/>
    <w:basedOn w:val="614"/>
    <w:next w:val="6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4"/>
    <w:next w:val="6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7"/>
    <w:link w:val="41"/>
    <w:uiPriority w:val="99"/>
  </w:style>
  <w:style w:type="paragraph" w:styleId="43">
    <w:name w:val="Footer"/>
    <w:basedOn w:val="61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7"/>
    <w:link w:val="43"/>
    <w:uiPriority w:val="99"/>
  </w:style>
  <w:style w:type="character" w:styleId="46">
    <w:name w:val="Caption Char"/>
    <w:basedOn w:val="642"/>
    <w:link w:val="43"/>
    <w:uiPriority w:val="99"/>
  </w:style>
  <w:style w:type="table" w:styleId="47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7"/>
    <w:uiPriority w:val="99"/>
    <w:unhideWhenUsed/>
    <w:rPr>
      <w:vertAlign w:val="superscript"/>
    </w:rPr>
  </w:style>
  <w:style w:type="paragraph" w:styleId="177">
    <w:name w:val="endnote text"/>
    <w:basedOn w:val="6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7"/>
    <w:uiPriority w:val="99"/>
    <w:semiHidden/>
    <w:unhideWhenUsed/>
    <w:rPr>
      <w:vertAlign w:val="superscript"/>
    </w:rPr>
  </w:style>
  <w:style w:type="paragraph" w:styleId="180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pPr>
      <w:spacing w:after="160" w:line="259" w:lineRule="auto"/>
    </w:pPr>
  </w:style>
  <w:style w:type="paragraph" w:styleId="615">
    <w:name w:val="Heading 2"/>
    <w:basedOn w:val="614"/>
    <w:link w:val="624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16">
    <w:name w:val="Heading 4"/>
    <w:basedOn w:val="614"/>
    <w:link w:val="622"/>
    <w:uiPriority w:val="9"/>
    <w:qFormat/>
    <w:pPr>
      <w:spacing w:beforeAutospacing="1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character" w:styleId="620" w:customStyle="1">
    <w:name w:val="Интернет-ссылка"/>
    <w:basedOn w:val="617"/>
    <w:uiPriority w:val="99"/>
    <w:semiHidden/>
    <w:unhideWhenUsed/>
    <w:rPr>
      <w:color w:val="0000ff"/>
      <w:u w:val="single"/>
    </w:rPr>
  </w:style>
  <w:style w:type="character" w:styleId="621" w:customStyle="1">
    <w:name w:val="rynqvb"/>
    <w:basedOn w:val="617"/>
    <w:qFormat/>
  </w:style>
  <w:style w:type="character" w:styleId="622" w:customStyle="1">
    <w:name w:val="Заголовок 4 Знак"/>
    <w:basedOn w:val="617"/>
    <w:link w:val="616"/>
    <w:uiPriority w:val="9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23" w:customStyle="1">
    <w:name w:val="anchor-text"/>
    <w:basedOn w:val="617"/>
    <w:qFormat/>
  </w:style>
  <w:style w:type="character" w:styleId="624" w:customStyle="1">
    <w:name w:val="Заголовок 2 Знак"/>
    <w:basedOn w:val="617"/>
    <w:link w:val="615"/>
    <w:uiPriority w:val="9"/>
    <w:semiHidden/>
    <w:qFormat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625" w:customStyle="1">
    <w:name w:val="label"/>
    <w:basedOn w:val="617"/>
    <w:qFormat/>
  </w:style>
  <w:style w:type="character" w:styleId="626" w:customStyle="1">
    <w:name w:val="screen-reader-only"/>
    <w:basedOn w:val="617"/>
    <w:qFormat/>
  </w:style>
  <w:style w:type="character" w:styleId="627" w:customStyle="1">
    <w:name w:val="ListLabel 1"/>
    <w:qFormat/>
    <w:rPr>
      <w:rFonts w:ascii="Georgia" w:hAnsi="Georgia"/>
      <w:color w:val="0c7dbb"/>
    </w:rPr>
  </w:style>
  <w:style w:type="character" w:styleId="628" w:customStyle="1">
    <w:name w:val="ListLabel 2"/>
    <w:qFormat/>
    <w:rPr>
      <w:rFonts w:ascii="Georgia" w:hAnsi="Georgia"/>
      <w:color w:val="2e2e2e"/>
    </w:rPr>
  </w:style>
  <w:style w:type="character" w:styleId="629" w:customStyle="1">
    <w:name w:val="ListLabel 3"/>
    <w:qFormat/>
    <w:rPr>
      <w:rFonts w:ascii="Times New Roman" w:hAnsi="Times New Roman" w:eastAsia="Times New Roman" w:cs="Times New Roman"/>
      <w:color w:val="2e2e2e"/>
      <w:sz w:val="28"/>
      <w:szCs w:val="28"/>
      <w:lang w:eastAsia="ru-RU"/>
    </w:rPr>
  </w:style>
  <w:style w:type="character" w:styleId="630" w:customStyle="1">
    <w:name w:val="ListLabel 4"/>
    <w:qFormat/>
    <w:rPr>
      <w:color w:val="2e2e2e"/>
      <w:sz w:val="28"/>
      <w:szCs w:val="28"/>
    </w:rPr>
  </w:style>
  <w:style w:type="character" w:styleId="631" w:customStyle="1">
    <w:name w:val="ListLabel 5"/>
    <w:qFormat/>
    <w:rPr>
      <w:rFonts w:eastAsiaTheme="majorEastAsia"/>
      <w:color w:val="0c7dbb"/>
      <w:sz w:val="28"/>
      <w:szCs w:val="28"/>
      <w:vertAlign w:val="superscript"/>
    </w:rPr>
  </w:style>
  <w:style w:type="character" w:styleId="632" w:customStyle="1">
    <w:name w:val="ListLabel 6"/>
    <w:qFormat/>
    <w:rPr>
      <w:rFonts w:eastAsiaTheme="majorEastAsia"/>
      <w:color w:val="0c7dbb"/>
      <w:sz w:val="28"/>
      <w:szCs w:val="28"/>
    </w:rPr>
  </w:style>
  <w:style w:type="character" w:styleId="633" w:customStyle="1">
    <w:name w:val="ListLabel 7"/>
    <w:qFormat/>
    <w:rPr>
      <w:rFonts w:ascii="Times New Roman" w:hAnsi="Times New Roman" w:cs="Times New Roman"/>
      <w:color w:val="2e2e2e"/>
      <w:sz w:val="28"/>
      <w:szCs w:val="28"/>
    </w:rPr>
  </w:style>
  <w:style w:type="character" w:styleId="634" w:customStyle="1">
    <w:name w:val="ListLabel 8"/>
    <w:qFormat/>
    <w:rPr>
      <w:rFonts w:ascii="Times New Roman" w:hAnsi="Times New Roman" w:eastAsia="Times New Roman" w:cs="Times New Roman"/>
      <w:color w:val="2e2e2e"/>
      <w:sz w:val="28"/>
      <w:szCs w:val="28"/>
      <w:u w:val="single"/>
      <w:lang w:eastAsia="ru-RU"/>
    </w:rPr>
  </w:style>
  <w:style w:type="character" w:styleId="635" w:customStyle="1">
    <w:name w:val="ListLabel 9"/>
    <w:qFormat/>
    <w:rPr>
      <w:rFonts w:ascii="Times New Roman" w:hAnsi="Times New Roman" w:eastAsia="Times New Roman" w:cs="Times New Roman"/>
      <w:color w:val="0c7dbb"/>
      <w:sz w:val="28"/>
      <w:szCs w:val="28"/>
      <w:vertAlign w:val="superscript"/>
      <w:lang w:eastAsia="ru-RU"/>
    </w:rPr>
  </w:style>
  <w:style w:type="character" w:styleId="636" w:customStyle="1">
    <w:name w:val="ListLabel 10"/>
    <w:qFormat/>
    <w:rPr>
      <w:rFonts w:ascii="Times New Roman" w:hAnsi="Times New Roman" w:cs="Times New Roman"/>
      <w:sz w:val="28"/>
      <w:szCs w:val="28"/>
      <w:lang w:val="en-US"/>
    </w:rPr>
  </w:style>
  <w:style w:type="character" w:styleId="637" w:customStyle="1">
    <w:name w:val="Символ нумерации"/>
    <w:qFormat/>
  </w:style>
  <w:style w:type="character" w:styleId="638">
    <w:name w:val="Emphasis"/>
    <w:uiPriority w:val="20"/>
    <w:qFormat/>
    <w:rPr>
      <w:i/>
      <w:iCs/>
    </w:rPr>
  </w:style>
  <w:style w:type="paragraph" w:styleId="639">
    <w:name w:val="Title"/>
    <w:basedOn w:val="614"/>
    <w:next w:val="640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640">
    <w:name w:val="Body Text"/>
    <w:basedOn w:val="614"/>
    <w:pPr>
      <w:spacing w:after="140" w:line="276" w:lineRule="auto"/>
    </w:pPr>
  </w:style>
  <w:style w:type="paragraph" w:styleId="641">
    <w:name w:val="List"/>
    <w:basedOn w:val="640"/>
    <w:rPr>
      <w:rFonts w:cs="Lohit Devanagari"/>
    </w:rPr>
  </w:style>
  <w:style w:type="paragraph" w:styleId="642">
    <w:name w:val="Caption"/>
    <w:basedOn w:val="614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643">
    <w:name w:val="index heading"/>
    <w:basedOn w:val="614"/>
    <w:qFormat/>
    <w:pPr>
      <w:suppressLineNumbers/>
    </w:pPr>
    <w:rPr>
      <w:rFonts w:cs="Lohit Devanagari"/>
    </w:rPr>
  </w:style>
  <w:style w:type="paragraph" w:styleId="644">
    <w:name w:val="Normal (Web)"/>
    <w:basedOn w:val="614"/>
    <w:uiPriority w:val="99"/>
    <w:semiHidden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45">
    <w:name w:val="Strong"/>
    <w:basedOn w:val="617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F6AA-1827-44DB-9AC7-E8E06F0D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dc:language>ru-RU</dc:language>
  <cp:revision>7</cp:revision>
  <dcterms:created xsi:type="dcterms:W3CDTF">2023-04-11T14:10:00Z</dcterms:created>
  <dcterms:modified xsi:type="dcterms:W3CDTF">2024-05-08T17:15:50Z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