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8E" w:rsidRDefault="00A7798E" w:rsidP="00A7798E">
      <w:pPr>
        <w:jc w:val="center"/>
        <w:rPr>
          <w:sz w:val="28"/>
        </w:rPr>
      </w:pPr>
      <w:r w:rsidRPr="00A7798E">
        <w:rPr>
          <w:sz w:val="28"/>
        </w:rPr>
        <w:t>Перечень определений для зачета по Основам бухгалтерского учета</w:t>
      </w:r>
    </w:p>
    <w:p w:rsidR="00A7798E" w:rsidRPr="00A7798E" w:rsidRDefault="00A7798E" w:rsidP="00A7798E">
      <w:pPr>
        <w:jc w:val="center"/>
        <w:rPr>
          <w:sz w:val="28"/>
        </w:rPr>
      </w:pPr>
    </w:p>
    <w:p w:rsidR="00A7798E" w:rsidRPr="00A7798E" w:rsidRDefault="00A7798E" w:rsidP="00C53735">
      <w:pPr>
        <w:rPr>
          <w:sz w:val="28"/>
        </w:rPr>
      </w:pPr>
    </w:p>
    <w:p w:rsidR="00A7798E" w:rsidRDefault="00A7798E" w:rsidP="00A7798E">
      <w:pPr>
        <w:pStyle w:val="a4"/>
        <w:widowControl/>
        <w:numPr>
          <w:ilvl w:val="0"/>
          <w:numId w:val="2"/>
        </w:numPr>
        <w:autoSpaceDE/>
        <w:autoSpaceDN/>
        <w:adjustRightInd/>
        <w:rPr>
          <w:rFonts w:cs="Times New Roman"/>
          <w:color w:val="000000"/>
          <w:sz w:val="28"/>
        </w:rPr>
        <w:sectPr w:rsidR="00A7798E" w:rsidSect="00A779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93" w:type="dxa"/>
        <w:jc w:val="center"/>
        <w:tblLook w:val="04A0" w:firstRow="1" w:lastRow="0" w:firstColumn="1" w:lastColumn="0" w:noHBand="0" w:noVBand="1"/>
      </w:tblPr>
      <w:tblGrid>
        <w:gridCol w:w="4693"/>
      </w:tblGrid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lastRenderedPageBreak/>
              <w:t>Авансовый отчет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Амортизация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Аналитический учет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Балансовая стоимость основных средств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Бухгалтерский баланс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Бухгалтерский документ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Бухгалтерский учет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Внебюджетные фонды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D211B" w:rsidRPr="00A7798E" w:rsidRDefault="00A7798E" w:rsidP="001D211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Восстановительная стоимость основных средств</w:t>
            </w:r>
          </w:p>
        </w:tc>
      </w:tr>
      <w:tr w:rsidR="001D211B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1D211B" w:rsidRPr="00A7798E" w:rsidRDefault="001D211B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Главная книга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Двойная запись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Дебиторская задолженность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Денежные средства предприятия</w:t>
            </w:r>
          </w:p>
        </w:tc>
      </w:tr>
      <w:tr w:rsidR="001D211B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1D211B" w:rsidRPr="00A7798E" w:rsidRDefault="001D211B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Дивиденды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D211B" w:rsidRPr="00A7798E" w:rsidRDefault="00A7798E" w:rsidP="001D211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Доверенность</w:t>
            </w:r>
          </w:p>
        </w:tc>
      </w:tr>
      <w:tr w:rsidR="001D211B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1D211B" w:rsidRPr="00A7798E" w:rsidRDefault="001D211B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>
              <w:rPr>
                <w:sz w:val="28"/>
              </w:rPr>
              <w:t>Е</w:t>
            </w:r>
            <w:r w:rsidRPr="007E20E6">
              <w:rPr>
                <w:sz w:val="28"/>
              </w:rPr>
              <w:t>стественн</w:t>
            </w:r>
            <w:r>
              <w:rPr>
                <w:sz w:val="28"/>
              </w:rPr>
              <w:t>ая</w:t>
            </w:r>
            <w:r w:rsidRPr="007E20E6">
              <w:rPr>
                <w:sz w:val="28"/>
              </w:rPr>
              <w:t xml:space="preserve"> убыл</w:t>
            </w:r>
            <w:r>
              <w:rPr>
                <w:sz w:val="28"/>
              </w:rPr>
              <w:t>ь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7798E">
              <w:rPr>
                <w:rFonts w:cs="Times New Roman"/>
                <w:color w:val="000000"/>
                <w:sz w:val="28"/>
              </w:rPr>
              <w:t>Забалансовый</w:t>
            </w:r>
            <w:proofErr w:type="spellEnd"/>
            <w:r w:rsidRPr="00A7798E">
              <w:rPr>
                <w:rFonts w:cs="Times New Roman"/>
                <w:color w:val="000000"/>
                <w:sz w:val="28"/>
              </w:rPr>
              <w:t xml:space="preserve"> счет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Заемный капитал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Издержки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Инвентаризация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Инвентарный объект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Касса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Кассовые операции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Корреспонденция счетов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Кредиторская задолженность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Лизинг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Лимит кассы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Лицензия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lastRenderedPageBreak/>
              <w:t>Материалы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Материально-производственные запасы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Метод бухгалтерского учета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Минимальный размер оплаты труда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Налог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Налоговый учет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Нематериальные активы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Объект бухгалтерского учета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Организационно-правовая форма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D211B" w:rsidRPr="00A7798E" w:rsidRDefault="00A7798E" w:rsidP="001D211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Основные средства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Первоначальная стоимость основных средств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План счетов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Подотчетное лицо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D211B" w:rsidRPr="00A7798E" w:rsidRDefault="00A7798E" w:rsidP="001D211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Предмет бухгалтерского учета</w:t>
            </w:r>
          </w:p>
        </w:tc>
      </w:tr>
      <w:tr w:rsidR="001D211B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1D211B" w:rsidRPr="00A7798E" w:rsidRDefault="001D211B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еформация баланса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Синтетический учет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Собственный капитал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Сторно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Субсчет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Счет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Товары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Уставный капитал</w:t>
            </w:r>
          </w:p>
        </w:tc>
      </w:tr>
      <w:tr w:rsidR="00591D9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591D9E" w:rsidRPr="00A7798E" w:rsidRDefault="00591D9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 w:rsidRPr="007E20E6">
              <w:rPr>
                <w:sz w:val="28"/>
              </w:rPr>
              <w:t>Учетная политика</w:t>
            </w:r>
          </w:p>
        </w:tc>
      </w:tr>
      <w:tr w:rsidR="001D211B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1D211B" w:rsidRPr="00A7798E" w:rsidRDefault="001D211B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Учредители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Чистая прибыль (убыток)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Юридическое лицо</w:t>
            </w:r>
          </w:p>
        </w:tc>
      </w:tr>
    </w:tbl>
    <w:p w:rsidR="00A7798E" w:rsidRDefault="00A7798E" w:rsidP="00A7798E">
      <w:pPr>
        <w:rPr>
          <w:sz w:val="28"/>
        </w:rPr>
        <w:sectPr w:rsidR="00A7798E" w:rsidSect="00A779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5273" w:rsidRPr="00A7798E" w:rsidRDefault="00D55273" w:rsidP="00A7798E">
      <w:pPr>
        <w:rPr>
          <w:sz w:val="28"/>
        </w:rPr>
      </w:pPr>
      <w:bookmarkStart w:id="0" w:name="_GoBack"/>
      <w:bookmarkEnd w:id="0"/>
    </w:p>
    <w:sectPr w:rsidR="00D55273" w:rsidRPr="00A7798E" w:rsidSect="00A7798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4AE2"/>
    <w:multiLevelType w:val="hybridMultilevel"/>
    <w:tmpl w:val="F226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2204"/>
    <w:multiLevelType w:val="hybridMultilevel"/>
    <w:tmpl w:val="784A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73"/>
    <w:rsid w:val="001D211B"/>
    <w:rsid w:val="003B1967"/>
    <w:rsid w:val="004B1D1A"/>
    <w:rsid w:val="00591D9E"/>
    <w:rsid w:val="009C11FA"/>
    <w:rsid w:val="00A7798E"/>
    <w:rsid w:val="00C53735"/>
    <w:rsid w:val="00D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633DD-9826-41ED-84B3-AB754DB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27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Д.А.. Журавлев</dc:creator>
  <cp:lastModifiedBy>Admin</cp:lastModifiedBy>
  <cp:revision>4</cp:revision>
  <dcterms:created xsi:type="dcterms:W3CDTF">2015-06-03T01:20:00Z</dcterms:created>
  <dcterms:modified xsi:type="dcterms:W3CDTF">2017-12-04T07:08:00Z</dcterms:modified>
</cp:coreProperties>
</file>