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BE" w:rsidRPr="00E92C1E" w:rsidRDefault="00E92C1E" w:rsidP="00E92C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№</w:t>
      </w:r>
      <w:r w:rsidR="005E5ABE" w:rsidRPr="00145AB1">
        <w:rPr>
          <w:rFonts w:ascii="Times New Roman" w:eastAsia="Times New Roman" w:hAnsi="Times New Roman" w:cs="Times New Roman"/>
          <w:b/>
          <w:sz w:val="28"/>
          <w:szCs w:val="28"/>
        </w:rPr>
        <w:t>2.  (18 часов) 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екарственные средства. Анализ </w:t>
      </w:r>
      <w:r w:rsidR="005E5ABE" w:rsidRPr="00145AB1">
        <w:rPr>
          <w:rFonts w:ascii="Times New Roman" w:eastAsia="Times New Roman" w:hAnsi="Times New Roman" w:cs="Times New Roman"/>
          <w:b/>
          <w:sz w:val="28"/>
          <w:szCs w:val="28"/>
        </w:rPr>
        <w:t>ассортимента. Хранение. Реализация.</w:t>
      </w:r>
    </w:p>
    <w:p w:rsidR="005E5ABE" w:rsidRDefault="005E5ABE" w:rsidP="00E92C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5D">
        <w:rPr>
          <w:rFonts w:ascii="Times New Roman" w:eastAsia="Times New Roman" w:hAnsi="Times New Roman" w:cs="Times New Roman"/>
          <w:b/>
          <w:bCs/>
          <w:sz w:val="28"/>
          <w:szCs w:val="28"/>
        </w:rPr>
        <w:t>Лекарственные средства</w:t>
      </w:r>
      <w:r w:rsidRPr="001E345D">
        <w:rPr>
          <w:rFonts w:ascii="Times New Roman" w:eastAsia="Times New Roman" w:hAnsi="Times New Roman" w:cs="Times New Roman"/>
          <w:b/>
          <w:sz w:val="28"/>
          <w:szCs w:val="28"/>
        </w:rPr>
        <w:t> -</w:t>
      </w:r>
      <w:r w:rsidRPr="00865C54">
        <w:rPr>
          <w:rFonts w:ascii="Times New Roman" w:eastAsia="Times New Roman" w:hAnsi="Times New Roman" w:cs="Times New Roman"/>
          <w:sz w:val="28"/>
          <w:szCs w:val="28"/>
        </w:rPr>
        <w:t xml:space="preserve"> 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 животного, растений, минералов методами синтеза или с применением биологических технологий. К лекарственным средствам относятся фармацевтические субст</w:t>
      </w:r>
      <w:r>
        <w:rPr>
          <w:rFonts w:ascii="Times New Roman" w:eastAsia="Times New Roman" w:hAnsi="Times New Roman" w:cs="Times New Roman"/>
          <w:sz w:val="28"/>
          <w:szCs w:val="28"/>
        </w:rPr>
        <w:t>анции и лекарственные препараты.</w:t>
      </w:r>
    </w:p>
    <w:p w:rsidR="005E5ABE" w:rsidRDefault="005E5ABE" w:rsidP="00E92C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5D">
        <w:rPr>
          <w:rFonts w:ascii="Times New Roman" w:eastAsia="Times New Roman" w:hAnsi="Times New Roman" w:cs="Times New Roman"/>
          <w:b/>
          <w:bCs/>
          <w:sz w:val="28"/>
          <w:szCs w:val="28"/>
        </w:rPr>
        <w:t>Лекарственные препараты</w:t>
      </w:r>
      <w:r w:rsidRPr="001E345D">
        <w:rPr>
          <w:rFonts w:ascii="Times New Roman" w:eastAsia="Times New Roman" w:hAnsi="Times New Roman" w:cs="Times New Roman"/>
          <w:b/>
          <w:sz w:val="28"/>
          <w:szCs w:val="28"/>
        </w:rPr>
        <w:t> -</w:t>
      </w:r>
      <w:r w:rsidRPr="00865C54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</w:t>
      </w:r>
      <w:r>
        <w:rPr>
          <w:rFonts w:ascii="Times New Roman" w:eastAsia="Times New Roman" w:hAnsi="Times New Roman" w:cs="Times New Roman"/>
          <w:sz w:val="28"/>
          <w:szCs w:val="28"/>
        </w:rPr>
        <w:t>ния или прерывания беременности.</w:t>
      </w:r>
    </w:p>
    <w:p w:rsidR="005E5ABE" w:rsidRDefault="005E5ABE" w:rsidP="00E92C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5D">
        <w:rPr>
          <w:rFonts w:ascii="Times New Roman" w:eastAsia="Times New Roman" w:hAnsi="Times New Roman" w:cs="Times New Roman"/>
          <w:b/>
          <w:bCs/>
          <w:sz w:val="28"/>
          <w:szCs w:val="28"/>
        </w:rPr>
        <w:t>Лекарственная форма</w:t>
      </w:r>
      <w:r w:rsidRPr="001E345D">
        <w:rPr>
          <w:rFonts w:ascii="Times New Roman" w:eastAsia="Times New Roman" w:hAnsi="Times New Roman" w:cs="Times New Roman"/>
          <w:b/>
          <w:sz w:val="28"/>
          <w:szCs w:val="28"/>
        </w:rPr>
        <w:t> -</w:t>
      </w:r>
      <w:r w:rsidRPr="00865C54">
        <w:rPr>
          <w:rFonts w:ascii="Times New Roman" w:eastAsia="Times New Roman" w:hAnsi="Times New Roman" w:cs="Times New Roman"/>
          <w:sz w:val="28"/>
          <w:szCs w:val="28"/>
        </w:rPr>
        <w:t xml:space="preserve"> состояние лекарственного препарата, соответствующее способам его введения и применения и обеспечивающее достижение необходимого лечебного эффекта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ABE" w:rsidRDefault="005E5ABE" w:rsidP="00E92C1E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5D">
        <w:rPr>
          <w:rFonts w:ascii="Times New Roman" w:eastAsia="Times New Roman" w:hAnsi="Times New Roman" w:cs="Times New Roman"/>
          <w:b/>
          <w:sz w:val="28"/>
          <w:szCs w:val="28"/>
        </w:rPr>
        <w:t>Анализ ассортимента лекарственных групп: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976"/>
        <w:gridCol w:w="2268"/>
        <w:gridCol w:w="1524"/>
      </w:tblGrid>
      <w:tr w:rsidR="005E5ABE" w:rsidTr="002E40C5">
        <w:tc>
          <w:tcPr>
            <w:tcW w:w="2802" w:type="dxa"/>
          </w:tcPr>
          <w:p w:rsidR="005E5ABE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Фармакот</w:t>
            </w:r>
            <w:r w:rsidRPr="001E345D">
              <w:rPr>
                <w:b/>
                <w:sz w:val="28"/>
                <w:szCs w:val="28"/>
              </w:rPr>
              <w:t>ерапевтическая группа</w:t>
            </w:r>
          </w:p>
        </w:tc>
        <w:tc>
          <w:tcPr>
            <w:tcW w:w="2976" w:type="dxa"/>
          </w:tcPr>
          <w:p w:rsidR="005E5ABE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2268" w:type="dxa"/>
          </w:tcPr>
          <w:p w:rsidR="005E5ABE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1524" w:type="dxa"/>
          </w:tcPr>
          <w:p w:rsidR="005E5ABE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АТХ</w:t>
            </w: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Кишечные адсорбенты</w:t>
            </w:r>
          </w:p>
        </w:tc>
        <w:tc>
          <w:tcPr>
            <w:tcW w:w="2976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Диосмектит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Кросповидон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Аттапулгит</w:t>
            </w:r>
          </w:p>
        </w:tc>
        <w:tc>
          <w:tcPr>
            <w:tcW w:w="2268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Смекта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Кросповидон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Каопектат</w:t>
            </w:r>
          </w:p>
        </w:tc>
        <w:tc>
          <w:tcPr>
            <w:tcW w:w="1524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A07BC05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A07BC03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A07BC04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lastRenderedPageBreak/>
              <w:t>Действующие на серотониновые рецепторы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Ондансетрон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Осетрон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5E5ABE" w:rsidRPr="006645F0" w:rsidRDefault="00DC44CD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hyperlink r:id="rId5" w:history="1">
              <w:r w:rsidR="005E5ABE" w:rsidRPr="006645F0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A04AA01 </w:t>
              </w:r>
            </w:hyperlink>
          </w:p>
          <w:p w:rsidR="005E5ABE" w:rsidRPr="006645F0" w:rsidRDefault="00DC44CD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hyperlink r:id="rId6" w:history="1">
              <w:r w:rsidR="005E5ABE" w:rsidRPr="006645F0">
                <w:rPr>
                  <w:rStyle w:val="a7"/>
                  <w:sz w:val="28"/>
                  <w:szCs w:val="28"/>
                </w:rPr>
                <w:t xml:space="preserve"> </w:t>
              </w:r>
            </w:hyperlink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Тиазидоподобные диуретики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Клопамид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Индапамид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Хлорталидон</w:t>
            </w:r>
          </w:p>
        </w:tc>
        <w:tc>
          <w:tcPr>
            <w:tcW w:w="2268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Клопамид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Индапамид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Оксодолин</w:t>
            </w:r>
          </w:p>
        </w:tc>
        <w:tc>
          <w:tcPr>
            <w:tcW w:w="1524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C03BA03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C03BA11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C03BA04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976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Амилорид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Триамтерен</w:t>
            </w:r>
          </w:p>
        </w:tc>
        <w:tc>
          <w:tcPr>
            <w:tcW w:w="2268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Амилорид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Триамтерен</w:t>
            </w:r>
          </w:p>
        </w:tc>
        <w:tc>
          <w:tcPr>
            <w:tcW w:w="1524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C03DB01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C03DB02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Тиазидоподобные диуретики в комбинации с кальйсберегающими средствами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Гидрохлоротиазид+триамтерен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Бутизид+спиронолактон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Диазид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5E5ABE" w:rsidRPr="006645F0" w:rsidRDefault="00DC44CD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hyperlink r:id="rId7" w:history="1">
              <w:r w:rsidR="005E5ABE" w:rsidRPr="006645F0">
                <w:rPr>
                  <w:rStyle w:val="a7"/>
                  <w:color w:val="auto"/>
                  <w:sz w:val="28"/>
                  <w:szCs w:val="28"/>
                  <w:u w:val="none"/>
                </w:rPr>
                <w:t>Альдактон-сальтуцин</w:t>
              </w:r>
            </w:hyperlink>
          </w:p>
        </w:tc>
        <w:tc>
          <w:tcPr>
            <w:tcW w:w="1524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C03EA01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C03EA14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"Петлевые" диуретики в комбинации с калийсберегающими препаратами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Фуросемид+триамтерен</w:t>
            </w:r>
          </w:p>
        </w:tc>
        <w:tc>
          <w:tcPr>
            <w:tcW w:w="2268" w:type="dxa"/>
          </w:tcPr>
          <w:p w:rsidR="005E5ABE" w:rsidRPr="006645F0" w:rsidRDefault="00DC44CD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hyperlink r:id="rId8" w:history="1">
              <w:r w:rsidR="005E5ABE" w:rsidRPr="006645F0">
                <w:rPr>
                  <w:rStyle w:val="a7"/>
                  <w:color w:val="auto"/>
                  <w:sz w:val="28"/>
                  <w:szCs w:val="28"/>
                  <w:u w:val="none"/>
                </w:rPr>
                <w:t>Фурезис композитум</w:t>
              </w:r>
            </w:hyperlink>
          </w:p>
        </w:tc>
        <w:tc>
          <w:tcPr>
            <w:tcW w:w="1524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C03EB01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 xml:space="preserve">Селективные блокаторы </w:t>
            </w:r>
            <w:r w:rsidRPr="006645F0">
              <w:rPr>
                <w:bCs/>
                <w:sz w:val="28"/>
                <w:szCs w:val="28"/>
              </w:rPr>
              <w:lastRenderedPageBreak/>
              <w:t>кальциевых каналов с прямым действием на сердце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lastRenderedPageBreak/>
              <w:t>Верапамил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Галлопамил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lastRenderedPageBreak/>
              <w:t>Верапамил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Галлопами</w:t>
            </w:r>
            <w:r w:rsidRPr="006645F0">
              <w:rPr>
                <w:sz w:val="28"/>
                <w:szCs w:val="28"/>
              </w:rPr>
              <w:lastRenderedPageBreak/>
              <w:t>л</w:t>
            </w:r>
          </w:p>
        </w:tc>
        <w:tc>
          <w:tcPr>
            <w:tcW w:w="1524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lastRenderedPageBreak/>
              <w:t>C08DA01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lastRenderedPageBreak/>
              <w:t>C08DA02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lastRenderedPageBreak/>
              <w:t>Ингибиторы ГМГ-КоА-редуктазы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Симвастатин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Ловастатин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Правастатин</w:t>
            </w:r>
          </w:p>
        </w:tc>
        <w:tc>
          <w:tcPr>
            <w:tcW w:w="2268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Симвакард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Ловакор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Правастатин</w:t>
            </w:r>
          </w:p>
        </w:tc>
        <w:tc>
          <w:tcPr>
            <w:tcW w:w="1524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C10AA01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C10AA02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C10AA03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Бета-адреноблокаторы неселективные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Пропанолол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Тимолол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Бупранолол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Анаприлин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Тимоптик-депо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Бупранолол</w:t>
            </w:r>
          </w:p>
        </w:tc>
        <w:tc>
          <w:tcPr>
            <w:tcW w:w="1524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C07AA05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C07AA06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C07AA19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Противоэпилептические препараты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Этосуксимид</w:t>
            </w:r>
          </w:p>
        </w:tc>
        <w:tc>
          <w:tcPr>
            <w:tcW w:w="2268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Суксилеп</w:t>
            </w:r>
          </w:p>
        </w:tc>
        <w:tc>
          <w:tcPr>
            <w:tcW w:w="1524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N03AD01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Селективные агонисты 5НТ1-рецепторов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Суматриптан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Золмитриптан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Элетриптан</w:t>
            </w:r>
          </w:p>
        </w:tc>
        <w:tc>
          <w:tcPr>
            <w:tcW w:w="2268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Суматриптан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Золмиг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Реллакс</w:t>
            </w:r>
          </w:p>
        </w:tc>
        <w:tc>
          <w:tcPr>
            <w:tcW w:w="1524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N02CC01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N02CC03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N02CC06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lastRenderedPageBreak/>
              <w:t>Агонисты дофаминовых рецепторов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Бромокриптин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Бромокриптин</w:t>
            </w:r>
          </w:p>
        </w:tc>
        <w:tc>
          <w:tcPr>
            <w:tcW w:w="1524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N04BC01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Муколитики</w:t>
            </w:r>
          </w:p>
        </w:tc>
        <w:tc>
          <w:tcPr>
            <w:tcW w:w="2976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Бромгексин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Ацетилцистеин</w:t>
            </w:r>
          </w:p>
        </w:tc>
        <w:tc>
          <w:tcPr>
            <w:tcW w:w="2268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Бромгегсин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Ацетилцистеин</w:t>
            </w:r>
          </w:p>
        </w:tc>
        <w:tc>
          <w:tcPr>
            <w:tcW w:w="1524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R05CB02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R05CB01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Противокашлевые препараты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Бутамират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Преноксдиазин</w:t>
            </w:r>
          </w:p>
        </w:tc>
        <w:tc>
          <w:tcPr>
            <w:tcW w:w="2268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Синекод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Либексин</w:t>
            </w:r>
          </w:p>
        </w:tc>
        <w:tc>
          <w:tcPr>
            <w:tcW w:w="1524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R05DB13R05DB18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Отхаркивающие препараты</w:t>
            </w:r>
          </w:p>
        </w:tc>
        <w:tc>
          <w:tcPr>
            <w:tcW w:w="2976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Гвайфенезин</w:t>
            </w:r>
          </w:p>
        </w:tc>
        <w:tc>
          <w:tcPr>
            <w:tcW w:w="2268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Туссин</w:t>
            </w:r>
          </w:p>
        </w:tc>
        <w:tc>
          <w:tcPr>
            <w:tcW w:w="1524" w:type="dxa"/>
          </w:tcPr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R05CA03</w:t>
            </w:r>
          </w:p>
          <w:p w:rsidR="005E5ABE" w:rsidRPr="006645F0" w:rsidRDefault="005E5ABE" w:rsidP="00E92C1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E5ABE" w:rsidRPr="001E345D" w:rsidRDefault="005E5ABE" w:rsidP="00E92C1E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ABE" w:rsidRDefault="005E5ABE" w:rsidP="00E92C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6B1CE1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</w:t>
      </w:r>
      <w:r w:rsidRPr="006B1C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12.04.2010 № 61-ФЗ «Об обращении лекарственных средств»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Pr="0066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екарственные препараты, за исключением лекарственных препаратов, изготовленных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деятельность, 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маркировку. На первичную упаковку </w:t>
      </w:r>
      <w:r w:rsidRPr="006645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читаемым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рифтом на русском языке указываются: </w:t>
      </w:r>
      <w:r w:rsidRPr="0066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лекарственного препарата (международное непатентованное, или группировочное, или химическое, или торговое наименование), номер серии, дата выпуска (для иммунобиологических лекарственных препаратов), </w:t>
      </w:r>
      <w:r w:rsidRPr="00664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годности, дозировка или концентрация, объем, активность в едини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цах действия или количество доз.</w:t>
      </w:r>
    </w:p>
    <w:p w:rsidR="005E5ABE" w:rsidRDefault="005E5ABE" w:rsidP="00E92C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вторичной упаковке </w:t>
      </w:r>
      <w:r w:rsidRPr="0066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читаемым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шрифтом на русском языке указываются: </w:t>
      </w:r>
      <w:r w:rsidRPr="00664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лекарственного препарата (международное непатентованное, или группировочное, или химическое и торговое наименования), наименование производителя лекарственного препарата, номер серии, дата выпуска (для 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 отпуска, условия хранения, предупредительные надписи.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ABE" w:rsidRPr="009B6AB3" w:rsidRDefault="005E5ABE" w:rsidP="00E92C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 об условиях его хранения и перевозки, необходимые предупредительные надписи и манипуляторные знаки.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соответствии с применением наносятся дополнительные надписи: например, </w:t>
      </w:r>
      <w:r w:rsidRPr="009B6AB3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"Продукция прошла радиационный контроль"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это лекарственный растительный препарат.</w:t>
      </w:r>
    </w:p>
    <w:p w:rsidR="005E5ABE" w:rsidRDefault="005E5ABE" w:rsidP="00E92C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лекарственных средств в аптеке осуществляется в соответствии с требованиями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r w:rsidRPr="009B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23.08.2010 № 706(ред. от 28.12.2010). «Об утверждении Правил хранения лекарственных средств», приказа Минздрав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России от 31.08.2016 № 646н «</w:t>
      </w:r>
      <w:r w:rsidRPr="009B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надлежащий практики хранения и перевозки лекарственных препаратов для медицинского применения» и приказа Минздрава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от 31.08.2016г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647н «О</w:t>
      </w:r>
      <w:r w:rsidRPr="009B6AB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Правил надлежащий аптечной практики лекарственных препаратов для медицинского применения».</w:t>
      </w:r>
    </w:p>
    <w:p w:rsidR="005E5ABE" w:rsidRPr="009B6AB3" w:rsidRDefault="005E5ABE" w:rsidP="00E92C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Измерительные части этих приборов должны размещаться на расстоянии не менее 3 м от дверей, окон и отопительных приборов. 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1,5-1,7 м от пола.</w:t>
      </w:r>
    </w:p>
    <w:p w:rsidR="005E5ABE" w:rsidRPr="009B6AB3" w:rsidRDefault="005E5ABE" w:rsidP="00E92C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этих 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 Журнал (карта) регистрации хранится в течение одного года, не считая текущего. Контролирующие приборы должны быть сертифицированы, калиброваны и подвергаться поверке в установленном порядке.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помещениях для хранения должны быть установлены стеллажи, шкафы, полки в соответствии с установленными правилами размещения. </w:t>
      </w:r>
    </w:p>
    <w:p w:rsidR="005E5ABE" w:rsidRPr="005E5ABE" w:rsidRDefault="005E5ABE" w:rsidP="00E92C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хранения лекарственные средства размещают в соответствии с требованиями нормативной документации, указанной на упаковке лекарственного препарата, с учетом: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A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физико-химических свойств лекарственных средств;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A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фармакологических групп (для аптечных и медицинских организаций);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 применения (внутреннее, наружное);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E5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агрегатного состояния фармацевтических субстанций (жидкие, сыпучие, газообразные).</w:t>
      </w:r>
    </w:p>
    <w:p w:rsidR="005879AE" w:rsidRDefault="00E92C1E" w:rsidP="00E92C1E">
      <w:pPr>
        <w:spacing w:after="0" w:line="360" w:lineRule="auto"/>
        <w:ind w:firstLine="709"/>
      </w:pPr>
    </w:p>
    <w:sectPr w:rsidR="005879AE" w:rsidSect="00DC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2F3"/>
    <w:multiLevelType w:val="hybridMultilevel"/>
    <w:tmpl w:val="50ECF6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4C4E"/>
    <w:rsid w:val="00514C4E"/>
    <w:rsid w:val="005E5ABE"/>
    <w:rsid w:val="00A40BF9"/>
    <w:rsid w:val="00D01AD9"/>
    <w:rsid w:val="00DC44CD"/>
    <w:rsid w:val="00E9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E5A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5E5A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5E5AB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-09.ru/ls905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-09.ru/ls52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lsnet.ru/atc_index_id_106.htm" TargetMode="External"/><Relationship Id="rId5" Type="http://schemas.openxmlformats.org/officeDocument/2006/relationships/hyperlink" Target="https://www.rlsnet.ru/atc_index_id_106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Windows</cp:lastModifiedBy>
  <cp:revision>4</cp:revision>
  <dcterms:created xsi:type="dcterms:W3CDTF">2020-05-18T08:02:00Z</dcterms:created>
  <dcterms:modified xsi:type="dcterms:W3CDTF">2020-05-26T07:35:00Z</dcterms:modified>
</cp:coreProperties>
</file>