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00" w:rsidRPr="001D4427" w:rsidRDefault="001D44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В.Ф.Войно</w:t>
      </w:r>
      <w:proofErr w:type="spellEnd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-Ясенецкого" Министерства здравоохранения Российской Федерации</w:t>
      </w:r>
    </w:p>
    <w:p w:rsidR="00876A00" w:rsidRDefault="001D44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«Кафедра общей хирургии им. Профессора М.И. </w:t>
      </w:r>
      <w:proofErr w:type="spellStart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Гульмана</w:t>
      </w:r>
      <w:proofErr w:type="spellEnd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D4427" w:rsidRPr="001D4427" w:rsidRDefault="001D44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6A00" w:rsidRPr="001D4427" w:rsidRDefault="001D4427" w:rsidP="001D442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кафедрой: д.м.н., профессор Винник Ю.С.</w:t>
      </w: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1D4427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1D4427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Реферат</w:t>
      </w:r>
    </w:p>
    <w:p w:rsidR="00876A00" w:rsidRPr="001D4427" w:rsidRDefault="001D4427">
      <w:pPr>
        <w:jc w:val="center"/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</w:pPr>
      <w:r w:rsidRPr="001D4427"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  <w:t xml:space="preserve">На </w:t>
      </w:r>
      <w:proofErr w:type="gramStart"/>
      <w:r w:rsidRPr="001D4427"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  <w:t>тему  «</w:t>
      </w:r>
      <w:proofErr w:type="gramEnd"/>
      <w:r w:rsidR="005D0A20"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  <w:t xml:space="preserve">ЖКК. </w:t>
      </w:r>
      <w:bookmarkStart w:id="0" w:name="_GoBack"/>
      <w:bookmarkEnd w:id="0"/>
      <w:proofErr w:type="spellStart"/>
      <w:r w:rsidRPr="001D4427"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  <w:t>Гастродуоденальные</w:t>
      </w:r>
      <w:proofErr w:type="spellEnd"/>
      <w:r w:rsidRPr="001D4427">
        <w:rPr>
          <w:rFonts w:ascii="Times New Roman" w:hAnsi="Times New Roman" w:cs="Times New Roman"/>
          <w:i/>
          <w:sz w:val="52"/>
          <w:szCs w:val="52"/>
          <w:u w:val="single"/>
          <w:shd w:val="clear" w:color="auto" w:fill="FFFFFF"/>
        </w:rPr>
        <w:t xml:space="preserve"> кровотечения язвенной этиологии»</w:t>
      </w: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427" w:rsidRPr="001D4427" w:rsidRDefault="001D4427" w:rsidP="001D4427">
      <w:pPr>
        <w:tabs>
          <w:tab w:val="right" w:pos="9355"/>
        </w:tabs>
        <w:ind w:left="50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427">
        <w:rPr>
          <w:rFonts w:ascii="Times New Roman" w:hAnsi="Times New Roman" w:cs="Times New Roman"/>
          <w:bCs/>
          <w:sz w:val="28"/>
          <w:szCs w:val="28"/>
        </w:rPr>
        <w:t>Выполнил: врач-ординатор 1-го года</w:t>
      </w:r>
    </w:p>
    <w:p w:rsidR="001D4427" w:rsidRPr="001D4427" w:rsidRDefault="001D4427" w:rsidP="001D4427">
      <w:pPr>
        <w:tabs>
          <w:tab w:val="right" w:pos="9355"/>
        </w:tabs>
        <w:ind w:left="50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427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</w:p>
    <w:p w:rsidR="00876A00" w:rsidRPr="001D4427" w:rsidRDefault="001D4427" w:rsidP="001D442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1D4427"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 w:rsidRPr="001D4427">
        <w:rPr>
          <w:rFonts w:ascii="Times New Roman" w:hAnsi="Times New Roman" w:cs="Times New Roman"/>
          <w:sz w:val="28"/>
          <w:szCs w:val="28"/>
        </w:rPr>
        <w:t xml:space="preserve"> Р.А</w:t>
      </w: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1D44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 ,</w:t>
      </w:r>
      <w:proofErr w:type="gramEnd"/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1D442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876A00" w:rsidRPr="001D4427" w:rsidRDefault="001D44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и понятия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Этиология и патогенез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Клиническая картина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Диагностика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степени тяжести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</w:t>
      </w:r>
    </w:p>
    <w:p w:rsidR="00876A00" w:rsidRPr="001D4427" w:rsidRDefault="001D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427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использованной литературы</w:t>
      </w:r>
    </w:p>
    <w:p w:rsidR="00876A00" w:rsidRPr="001D4427" w:rsidRDefault="00876A0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Pr="001D4427" w:rsidRDefault="00876A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Язвенная болезнь желудка и двенадцатиперстной кишки (ДПК) — чрезвычайно распространенное заболевание: в индустриально развитых странах им страдает 6–10 % взрослого населения. Причинами неудовлетворительных результатов консервативного лечения являются нарушения его режима и программы, поздняя диагностика, недостатки медикаментозной терапии, необоснованность лечения при наличии осложнений. Одно из самых опасных проявлений — кровотечения из язвы, на которые приходится до 25–30 % от всех других осложнений.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гастродуоденальные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кровотечения (ОГДК) являются наиболее сложными в лечебно-диагностическом плане и тяжелыми по прогнозу осложнений (5–15 % летальности) язвенной болезни. В свою очередь, ОГДК отличаются по этиологии и патогенезу от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желудочнокишечных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кровотечений, имеют свое клиническое проявление, а также требуют особого диагностического подхода и индивидуальной хирургической тактики. 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Определения и понятия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гастродуоденальное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кровотечение — тяжелое осложнение язвенной болезни желудка и ДПК, проявляющееся истечением крови в просвет ЖКТ в результате различных патологических состояний и процессов. Массивное продолжающееся или повторяющееся кровотечение представляет серьезную угрозу для жизни больного и требует выполнения неотложной операции.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Прободная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перфоративная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язва- тяжелейшее осложнение язвенной болезни желудка и двенадцатиперстной кишки, приводящее, как правило, к развитию перитонита. Под перфорацией острой или хронической язвы понимают возникновение в стенке органа сквозного дефекта, обычно открывающегося в свободную брюшную полость.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МКБ- </w:t>
      </w:r>
      <w:proofErr w:type="gramStart"/>
      <w:r>
        <w:rPr>
          <w:rFonts w:ascii="Times New Roman" w:hAnsi="Times New Roman" w:cs="Times New Roman"/>
          <w:sz w:val="24"/>
          <w:szCs w:val="24"/>
        </w:rPr>
        <w:t>10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К25 – Язва желудка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К26</w:t>
      </w:r>
      <w:proofErr w:type="gramStart"/>
      <w:r>
        <w:rPr>
          <w:rFonts w:ascii="Times New Roman" w:hAnsi="Times New Roman" w:cs="Times New Roman"/>
          <w:sz w:val="24"/>
          <w:szCs w:val="24"/>
        </w:rPr>
        <w:t>-  Язва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двенадцатиперстной кишки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Этиология и патогенез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кровотечений являются: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Болезни желудка и ДПК: язвенная болезнь, пептические язвы желудочно-кишечных анастомозов, эрозивный гастродуоденит, дивертикулы, полипы, опухоли, травматические повреждения (синдром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Мэллори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Вейсса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специфические поражения (туберкулез, актиномикоз, ожоги пищевода и желудка, инородные тела).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Заболевания, осложняющиеся вторичным изъязвлением стенки желудка и ДПК: ожоговая болезнь, инфекционные заболевания, острые стрессовые язвы, острые язвы при отравлениях и эндогенных интоксикациях, заболевания сердечно-сосудистой системы и почек; последствия медикаментозной, гормональной или лучевой терапии.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Заболевания органов смежных отделов ЖКТ, прилегающих к желудку и ДПК: грыжи пищеводного отдела диафрагмы; опухоли, прорастающие в желудок и ДПК; внутренние свищи (с общим желчным протоком, желчным пузырем), панкреонекроз, амилоидоз.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Заболевания сосудов: разрывы аневризмы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склерозированного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сосуда, 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Рандю</w:t>
      </w:r>
      <w:proofErr w:type="spellEnd"/>
      <w:r>
        <w:rPr>
          <w:rFonts w:ascii="Times New Roman" w:hAnsi="Times New Roman" w:cs="Times New Roman"/>
          <w:sz w:val="24"/>
          <w:szCs w:val="24"/>
        </w:rPr>
        <w:t>–Вебера–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варикозное расширение вен пищевода и желудка, узелковый периартериит, тромбозы воротной и селезеночной вен.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Заболевания кроветворной системы и геморрагические диатезы.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обострении язвенной болезни, вследствие повышения переваривающей способности желудочной среды, происходит прогрессирование дистрофических процессов в области язвенного кратера. Ферментация краев и дна язвы под действием желудочного сока приводит к обнажению и разрушению сосудов различного диаметра. В результате возникает кровотечение, интенсивность которого зависит от диаметра поврежденного сосуда и его вида.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выделяют другие группы причин: механическое повреждение сосудистой стенки, врожденные или приобретенные нарушения различных звеньев системы гемостаза.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Гастродуоденальные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кровотечения классифицируются следующим образом: </w:t>
      </w:r>
    </w:p>
    <w:p w:rsidR="00876A00" w:rsidRDefault="001D4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виду: – вследствие деструктивного процесса стенки желудка и ДПК; </w:t>
      </w:r>
    </w:p>
    <w:p w:rsidR="00876A00" w:rsidRDefault="001D44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вследствие механического (травматического,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повреждения сосуда; </w:t>
      </w:r>
    </w:p>
    <w:p w:rsidR="00876A00" w:rsidRDefault="001D44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вследствие нарушений системы гемостаза.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По быстроте и времени развития: </w:t>
      </w:r>
    </w:p>
    <w:p w:rsidR="00876A00" w:rsidRDefault="001D44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острые (&gt; 7 % ОЦК за 1 ч); </w:t>
      </w:r>
    </w:p>
    <w:p w:rsidR="00876A00" w:rsidRDefault="001D44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хронические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(&lt;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ОЦК за 1 ч).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По объему: </w:t>
      </w:r>
    </w:p>
    <w:p w:rsidR="00876A00" w:rsidRDefault="001D4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малые (кровопотеря до 10 % ОЦК или до 500 мл); </w:t>
      </w:r>
    </w:p>
    <w:p w:rsidR="00876A00" w:rsidRDefault="001D4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средние (10–20 % ОЦК или ~ 500 мл – 1 л); </w:t>
      </w:r>
    </w:p>
    <w:p w:rsidR="00876A00" w:rsidRDefault="001D4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большие (21–40 % ОЦК или ~ 1–2 л);</w:t>
      </w:r>
    </w:p>
    <w:p w:rsidR="00876A00" w:rsidRDefault="001D4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массивные (41–70 % ОЦК или ~ 2–3,5 л); </w:t>
      </w:r>
    </w:p>
    <w:p w:rsidR="00876A00" w:rsidRDefault="001D4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смертельные (&gt; 70 % ОЦК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3,5 л).</w:t>
      </w:r>
    </w:p>
    <w:p w:rsidR="00876A00" w:rsidRDefault="00876A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По степени тяжести гиповолемии и возможности развития шока (по Г. П. Брюсову, 1997):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легкой степени (дефицит ОЦК 10–20 %, дефицит глобулярного объема (ГО)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%, шок отсутствует);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умеренной (дефицит ОЦК 21–30 %, дефицит ГО 30–45 %, развитие шока при длительной гиповолемии);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тяжелой (дефицит ОЦК 31–40 %, дефицит ГО 46–60 %, шок);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крайне тяжелой (дефицит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ОЦК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40 %, дефицит ГО &gt; 60 %, шок, терминальное состояние).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 По степени тяжести (по Н. А. Кузнецову, А. Ф. Черноусову, 2009–2010):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 степени (хроническое оккультное (скрытое) кровотечение или микрокровотечение):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крови может быть незначительно снижено, признаков нарушения гемодинамики нет; 7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II степени (умеренная степень кровопотери): состояние пациента удовлетворительное, общие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побледнение кожи, сухость слизистых оболочек, возможно развитие обморока; пульс до 100 уд./мин, систолическое АД &gt; 110 мм рт. ст., индекс шока (ИШ) &lt; 1,0, центральное венозное давление (ЦВД) &gt; 5 см вод. ст., диурез &gt; 30 мл/ч,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100 г/л, дефицит ОЦК &lt; 20 %;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III степени (средняя степень кровопотери): состояние пациента средней степени тяжести, бледность, мелена, однократная потеря сознания, пульс 110–120 уд./мин, систолическое АД 90–110 мм рт. ст., ИШ 1,0–1,5, ЦВД 0–5 см вод. ст., диурез 15–30 мл/ч,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80–100 г/л, дефицит ОЦК 20–30 %;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IV степени (тяжелая кровопотеря): состояние пациента тяжелое, сознание спутанное, пульс &gt; 120 уд./мин, систолическое АД &lt; 90 мм рт. ст., ЦВД &lt; 0 см вод. ст., диурез &lt; 15 мл/ч,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80 г/л, дефицит ОЦК &gt; 30 %;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 степени (крайне тяжелая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геморрагический шок): угнетение сознания, при продолжающемся кровотечении — полная потеря сознания, кома, систолическое АД &lt; 60 мм рт. ст.,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60 г/л,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1,5 · 1012/л, дефицит ОЦК &gt; 40 %.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По эндоскопической картине язвенного кровотечения (J.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>
        <w:rPr>
          <w:rFonts w:ascii="Times New Roman" w:hAnsi="Times New Roman" w:cs="Times New Roman"/>
          <w:sz w:val="24"/>
          <w:szCs w:val="24"/>
        </w:rPr>
        <w:t>, 1987):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F-I-A — струйное (артериальное) кровотечение из язвы;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F-I-B — капельное (венозное) кровотечение из язвы;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F-II-A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сосуды на дне язвы;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F-II-B — сгусток крови, закрывающий язву;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F-II-C — язва без признаков кровотечения;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F-III — источники кровотечения не обнаружены.</w:t>
      </w: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1D4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Клиника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диагноза желудочно-кишечного кровотечения</w:t>
      </w:r>
      <w:r>
        <w:rPr>
          <w:rFonts w:ascii="Times New Roman" w:hAnsi="Times New Roman" w:cs="Times New Roman"/>
          <w:sz w:val="24"/>
          <w:szCs w:val="24"/>
        </w:rPr>
        <w:br/>
        <w:t>являются следующие признаки:</w:t>
      </w:r>
    </w:p>
    <w:p w:rsidR="00876A00" w:rsidRDefault="00876A0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рвота малоизмененной кровью и/или содержимым по типу «кофейной гущи»;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мелена и/или черный оформленный кал при пальцевом исследовании прямой кишки;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коллаптоидное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и холодный липкий пот в сочетании с язвенным анамнезом;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 кожи, снижение гемоглобина в сочетании с язвен</w:t>
      </w:r>
      <w:r>
        <w:rPr>
          <w:rFonts w:ascii="Times New Roman" w:hAnsi="Times New Roman" w:cs="Times New Roman"/>
          <w:sz w:val="24"/>
          <w:szCs w:val="24"/>
        </w:rPr>
        <w:softHyphen/>
        <w:t>ным анамнезом.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одного из перечисленных критериев для отнесения больного к группе ЖКК.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диагностические мероприятия: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АД и ЧСС;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желудочного зонда;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пальцевое исследование прямой кишки;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 органов брюшной полости (при отсутствии нарушений ге</w:t>
      </w:r>
      <w:r>
        <w:rPr>
          <w:rFonts w:ascii="Times New Roman" w:hAnsi="Times New Roman" w:cs="Times New Roman"/>
          <w:sz w:val="24"/>
          <w:szCs w:val="24"/>
        </w:rPr>
        <w:softHyphen/>
        <w:t>модинамики)</w:t>
      </w: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ПРОТОКОЛЫ ДИАГНОСТИКИ В ОРИТ (ОПЕРБЛОКЕ) ДЛЯ БОЛЬНЫХ ГРУППЫ «ТЯЖЕЛОЕ ЖКК»</w:t>
      </w:r>
    </w:p>
    <w:p w:rsidR="00876A00" w:rsidRDefault="00876A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1D4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Обязательные исследования: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ЭКГ, </w:t>
      </w: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-графия органов грудной клетки (если не выполнены в ОСМП);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биохимический анализ крови: сахар, мочевина, креатинин кро</w:t>
      </w:r>
      <w:r>
        <w:rPr>
          <w:rFonts w:ascii="Times New Roman" w:hAnsi="Times New Roman" w:cs="Times New Roman"/>
          <w:sz w:val="24"/>
          <w:szCs w:val="24"/>
        </w:rPr>
        <w:softHyphen/>
        <w:t>ви, общий белок;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крови, резус-фактор;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ФГДС,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ФГДС при тяжелом ЯК должна быть выполнена в экстренном по</w:t>
      </w:r>
      <w:r>
        <w:rPr>
          <w:rFonts w:ascii="Times New Roman" w:hAnsi="Times New Roman" w:cs="Times New Roman"/>
          <w:sz w:val="24"/>
          <w:szCs w:val="24"/>
        </w:rPr>
        <w:softHyphen/>
        <w:t>рядке соответственно тяжести состояния больного в течение 2 ча</w:t>
      </w:r>
      <w:r>
        <w:rPr>
          <w:rFonts w:ascii="Times New Roman" w:hAnsi="Times New Roman" w:cs="Times New Roman"/>
          <w:sz w:val="24"/>
          <w:szCs w:val="24"/>
        </w:rPr>
        <w:softHyphen/>
        <w:t>сов после поступления в стационар.</w:t>
      </w:r>
    </w:p>
    <w:p w:rsidR="00876A00" w:rsidRDefault="0087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Противопоказанием для проведения лечебно-диагностической ФГДС может быть только терминальное состояние больного.</w:t>
      </w:r>
    </w:p>
    <w:p w:rsidR="00876A00" w:rsidRDefault="001D4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Дополнительные исследования (по показаниям):</w:t>
      </w:r>
    </w:p>
    <w:p w:rsidR="00876A00" w:rsidRDefault="00876A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тромбоциты, активированное частичное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тромбопластиновое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время (АЧТВ), MHO,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фибринолитическая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 плазмы;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крови: билирубин, ACT, AJIT, калий и</w:t>
      </w:r>
      <w:r>
        <w:rPr>
          <w:rFonts w:ascii="Times New Roman" w:hAnsi="Times New Roman" w:cs="Times New Roman"/>
          <w:sz w:val="24"/>
          <w:szCs w:val="24"/>
        </w:rPr>
        <w:br/>
        <w:t xml:space="preserve">натрий; </w:t>
      </w:r>
    </w:p>
    <w:p w:rsidR="00876A00" w:rsidRDefault="001D44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РаО</w:t>
      </w:r>
      <w:proofErr w:type="gramStart"/>
      <w:r>
        <w:rPr>
          <w:rFonts w:ascii="Times New Roman" w:hAnsi="Times New Roman" w:cs="Times New Roman"/>
          <w:sz w:val="24"/>
          <w:szCs w:val="24"/>
        </w:rPr>
        <w:t>2,ЦВД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6A00" w:rsidRDefault="00876A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больным с тяжелыми ЖКК должна быть определена сте</w:t>
      </w:r>
      <w:r>
        <w:rPr>
          <w:rFonts w:ascii="Times New Roman" w:hAnsi="Times New Roman" w:cs="Times New Roman"/>
          <w:sz w:val="24"/>
          <w:szCs w:val="24"/>
        </w:rPr>
        <w:softHyphen/>
        <w:t>пень тяжести кровопотери.</w:t>
      </w:r>
    </w:p>
    <w:p w:rsidR="00876A00" w:rsidRDefault="00876A00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Клинико-лабораторные критерии для определения тяжести кровопотери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гастродуоденальных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кровотечениях </w:t>
      </w:r>
    </w:p>
    <w:p w:rsidR="00876A00" w:rsidRDefault="00876A0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86"/>
        <w:gridCol w:w="1248"/>
        <w:gridCol w:w="1757"/>
        <w:gridCol w:w="1373"/>
      </w:tblGrid>
      <w:tr w:rsidR="00876A00">
        <w:trPr>
          <w:trHeight w:hRule="exact" w:val="41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кровопотери</w:t>
            </w:r>
          </w:p>
        </w:tc>
      </w:tr>
      <w:tr w:rsidR="00876A00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87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00" w:rsidRDefault="0087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876A00">
        <w:trPr>
          <w:trHeight w:hRule="exact" w:val="35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АД, мм. рт. ст.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&lt;90</w:t>
            </w:r>
          </w:p>
        </w:tc>
      </w:tr>
      <w:tr w:rsidR="00876A00">
        <w:trPr>
          <w:trHeight w:hRule="exact" w:val="3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Частота пульса,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&lt; 120</w:t>
            </w:r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120</w:t>
            </w:r>
          </w:p>
        </w:tc>
      </w:tr>
      <w:tr w:rsidR="00876A00">
        <w:trPr>
          <w:trHeight w:hRule="exact" w:val="35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Гемоглобин, г/л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&lt;80</w:t>
            </w:r>
          </w:p>
        </w:tc>
      </w:tr>
      <w:tr w:rsidR="00876A00">
        <w:trPr>
          <w:trHeight w:hRule="exact" w:val="3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Венозный гематокрит, 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</w:tr>
      <w:tr w:rsidR="00876A00">
        <w:trPr>
          <w:trHeight w:hRule="exact" w:val="37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крови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1,053-1,050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1,050-1,044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00" w:rsidRDefault="001D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&lt; 1,044</w:t>
            </w:r>
            <w:proofErr w:type="gramEnd"/>
          </w:p>
        </w:tc>
      </w:tr>
    </w:tbl>
    <w:p w:rsidR="00876A00" w:rsidRDefault="00876A0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Параллельно с определением тяжести кровопотери и проведе</w:t>
      </w:r>
      <w:r>
        <w:rPr>
          <w:rFonts w:ascii="Times New Roman" w:hAnsi="Times New Roman" w:cs="Times New Roman"/>
          <w:sz w:val="24"/>
          <w:szCs w:val="24"/>
        </w:rPr>
        <w:softHyphen/>
        <w:t>нием лечебно-диагностической ФГДС необходимо оценить тяжесть со</w:t>
      </w:r>
      <w:r>
        <w:rPr>
          <w:rFonts w:ascii="Times New Roman" w:hAnsi="Times New Roman" w:cs="Times New Roman"/>
          <w:sz w:val="24"/>
          <w:szCs w:val="24"/>
        </w:rPr>
        <w:softHyphen/>
        <w:t>стояния больных и степень выраженности сопутствующей патологии с целью выяснения степени риска возможной анестезии и операции. Для этого целесообразно использовать общепринятую классифика</w:t>
      </w:r>
      <w:r>
        <w:rPr>
          <w:rFonts w:ascii="Times New Roman" w:hAnsi="Times New Roman" w:cs="Times New Roman"/>
          <w:sz w:val="24"/>
          <w:szCs w:val="24"/>
        </w:rPr>
        <w:softHyphen/>
        <w:t>цию Американского общества анестезиологов (ASA) либо балльные системы оценки полиорганной недостаточности MODS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>) и APACHE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Acute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</w:t>
      </w:r>
      <w:r>
        <w:rPr>
          <w:rFonts w:ascii="Times New Roman" w:hAnsi="Times New Roman" w:cs="Times New Roman"/>
          <w:sz w:val="24"/>
          <w:szCs w:val="24"/>
        </w:rPr>
        <w:softHyphen/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>), SOFA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Sepsis-related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др.</w:t>
      </w:r>
    </w:p>
    <w:p w:rsidR="00876A00" w:rsidRDefault="00876A0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степени тяжести кровотечения:</w:t>
      </w:r>
    </w:p>
    <w:p w:rsidR="00876A00" w:rsidRDefault="001D4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отнесения к группе «тяжелое ЖКК»: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старше 60 лет;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неоднократные рвота малоизмененной кровью («кофейной гу</w:t>
      </w:r>
      <w:r>
        <w:rPr>
          <w:rFonts w:ascii="Times New Roman" w:hAnsi="Times New Roman" w:cs="Times New Roman"/>
          <w:sz w:val="24"/>
          <w:szCs w:val="24"/>
        </w:rPr>
        <w:softHyphen/>
        <w:t>щей») и/или мелена;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коллапс, потеря сознания;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тахикардия - частота сердечных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сокращений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в мин;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гипотензия—систолическое АД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рг.сх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концентрация гемоглобина менее 100 г/л;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малоизмененной крови («кофейной гущи») по же</w:t>
      </w:r>
      <w:r>
        <w:rPr>
          <w:rFonts w:ascii="Times New Roman" w:hAnsi="Times New Roman" w:cs="Times New Roman"/>
          <w:sz w:val="24"/>
          <w:szCs w:val="24"/>
        </w:rPr>
        <w:softHyphen/>
        <w:t>лудочному зонду;</w:t>
      </w:r>
    </w:p>
    <w:p w:rsidR="00876A00" w:rsidRDefault="001D4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сопутствующих заболеваний в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 и деком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требующих неотложных лечебных мероприятий или непо</w:t>
      </w:r>
      <w:r>
        <w:rPr>
          <w:rFonts w:ascii="Times New Roman" w:hAnsi="Times New Roman" w:cs="Times New Roman"/>
          <w:sz w:val="24"/>
          <w:szCs w:val="24"/>
        </w:rPr>
        <w:softHyphen/>
        <w:t>средственно угрожающих жизни больного.</w:t>
      </w:r>
    </w:p>
    <w:p w:rsidR="00876A00" w:rsidRDefault="001D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4-х и более перечисленных признаков позволяет диагно</w:t>
      </w:r>
      <w:r>
        <w:rPr>
          <w:rFonts w:ascii="Times New Roman" w:hAnsi="Times New Roman" w:cs="Times New Roman"/>
          <w:sz w:val="24"/>
          <w:szCs w:val="24"/>
        </w:rPr>
        <w:softHyphen/>
        <w:t>стировать у больного «тяжелое ЖКК», что требует направления его в ОРИТ (БИТ - блок интенсивной терапии ОСМП) для дальнейшего обследования и лечения.</w:t>
      </w:r>
    </w:p>
    <w:p w:rsidR="00876A00" w:rsidRDefault="001D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Остальные пациенты относятся к группе «нетяжелое ЖКК» и подлежат обследованию в условиях ОСМП и кабинета ФГДС, а в даль</w:t>
      </w:r>
      <w:r>
        <w:rPr>
          <w:rFonts w:ascii="Times New Roman" w:hAnsi="Times New Roman" w:cs="Times New Roman"/>
          <w:sz w:val="24"/>
          <w:szCs w:val="24"/>
        </w:rPr>
        <w:softHyphen/>
        <w:t>нейшем большинству из них показано лечение и наблюдение в про</w:t>
      </w:r>
      <w:r>
        <w:rPr>
          <w:rFonts w:ascii="Times New Roman" w:hAnsi="Times New Roman" w:cs="Times New Roman"/>
          <w:sz w:val="24"/>
          <w:szCs w:val="24"/>
        </w:rPr>
        <w:softHyphen/>
        <w:t>фильном ХО.</w:t>
      </w:r>
    </w:p>
    <w:p w:rsidR="00876A00" w:rsidRDefault="001D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Больные, находящиеся в критическом состоянии с нестабильны</w:t>
      </w:r>
      <w:r>
        <w:rPr>
          <w:rFonts w:ascii="Times New Roman" w:hAnsi="Times New Roman" w:cs="Times New Roman"/>
          <w:sz w:val="24"/>
          <w:szCs w:val="24"/>
        </w:rPr>
        <w:softHyphen/>
        <w:t>ми показателями гемодинамики, минуя ОСМП, направляются в ОРИТ (БИТ ОСМП) или операционную, где на фоне интенсивной терапии проводится комплекс диагностических мероприятий, в т.ч. экстренная лечебно-диагностическая ФГДС</w:t>
      </w:r>
    </w:p>
    <w:p w:rsidR="00876A00" w:rsidRDefault="001D4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Больные с тяжелыми   ЖКК   перемешаются по стационару</w:t>
      </w:r>
      <w:r>
        <w:rPr>
          <w:rFonts w:ascii="Times New Roman" w:hAnsi="Times New Roman" w:cs="Times New Roman"/>
          <w:sz w:val="24"/>
          <w:szCs w:val="24"/>
        </w:rPr>
        <w:br/>
        <w:t>только на каталке.</w:t>
      </w:r>
    </w:p>
    <w:p w:rsidR="00876A00" w:rsidRDefault="001D4427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tabs>
          <w:tab w:val="left" w:pos="3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КОНСЕРВАТИВНОЕ ЛЕЧЕНИЕ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Консервативное лечение должно включать частные и общие направления: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Строгий постельный режим, диета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Мейленграхта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Холод на эпигастральную область. Возможно промывание желудка ледяной водой с добавлением адреналина, ε-аминокапроновой кислоты или 0,1%-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азотнокислого серебра.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Применение гемостатических средств, оказывающих системные эффекты  и обеспечивающих как ингибирование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(ε-аминокапроновая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транексамовая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лексипифан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так и усиление коагуляции (свежезамороженная плазма; препараты, содержащие факторы свертывания: криопреципитат — при снижении уровня фибриногена &lt; 100 мг%; тромбоцитарная масса — при тромбоцитопении &lt; 50 · 109 /л; витамин К и его синтетический аналог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десмопрессин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синтетический аналог антидиуретического гормона, стимулирующего высвобождение фактора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VIII фактора)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Восполнение кровопотери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(«правило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1»: 1 мл потерянной крови замещают 3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коллоидных растворов) исходя из тяжести кровопотери. Препаратами для возмещения острой кровопотери являются: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 1000 мл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коллоидные растворы в соотношении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 объеме 200–300 % объема кровопотери;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1000–1500 мл — кристаллоиды и коллоиды в соотношении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 общем объеме 300 % от кровопотери;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более 1500 мл: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кристаллоиды/коллоиды в соотношении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свежезамороженная плазма, реже альбумин (при снижении концентрации белка в плазме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г/л);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эритроцитарная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тромбоцитарный концентрат (при уровне тромбоцитов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150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· 109 /л) в общем объеме 300 % от кровопотери.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используют солевые изотонические растворы и препараты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среднемолекулярных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декстранов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полиглюсоль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препараты желатина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желатиноль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гелофузин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среднемолекулярного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(ХАЭС-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волювен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рефортан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препараты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полиоксифумарин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Данные лекарственные средства длительно удерживаются в сосудистом русле и повышают коллоидно-осмотическое давление плазмы, нормализуют ОЦК и гемодинамику. В последние десятилетия для возмещения острой кровопотери применяют кровезаменители — переносчики кислорода, созданные на основе эмульсий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перфторуглеродов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(химически инертные соединения, растворяющие до 60 объемных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кислорода и до 90 объемных процентов углекислого газа: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перфукол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перфторан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лиофилизированного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геленпол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Целенаправленная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противоязвенная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боллюсно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до 40 мг 2 раза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пантопразол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до 40 мг/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блокаторы внешнесекреторной функции желудка, ДПК, поджелудочной железы (внутривенно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октреотид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Эндоскопическое лечение. Способы: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гемостатическими и сосудосуживающими сред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(раствор адреналина)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Аргоно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-плазменная коагуляция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сосудов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Лигирование</w:t>
      </w:r>
      <w:proofErr w:type="spellEnd"/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Диатермокоагуляция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коагуляция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Криовоздействие</w:t>
      </w:r>
      <w:proofErr w:type="spellEnd"/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пленкообразующими препаратами и медицин</w:t>
      </w:r>
      <w:r>
        <w:rPr>
          <w:rFonts w:ascii="Times New Roman" w:hAnsi="Times New Roman" w:cs="Times New Roman"/>
          <w:sz w:val="24"/>
          <w:szCs w:val="24"/>
        </w:rPr>
        <w:softHyphen/>
        <w:t>ским клеем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Склерозирующая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876A00" w:rsidRDefault="001D44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Гемоспрей</w:t>
      </w:r>
      <w:proofErr w:type="spellEnd"/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остановки кровотечения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расширенных вен пищевода используется зонд-обтуратор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Сенгстакена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–Блэкмора в течение 2–3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дополнительным введением препаратов, снижающих портальное давление (питуитрин, нитроглицерин).</w:t>
      </w:r>
    </w:p>
    <w:p w:rsidR="00876A00" w:rsidRDefault="001D4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ОПЕРАТИВНЫХ ВМЕШАТЕЛЬСТВ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Оперативные вмешательства при ОГДК начинают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дуодено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установления локализации и вида источника кровотечения.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кровоточащей язве желудка хирургические вмешательства должны выполняться дифференцированно. У пациентов с высоким риском (пожилой, старческий возраст; сопутствующая патология в стадии декомпенсации) предпочтение отдается малотравматичным операциям: стволовой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иссечением язвы по типу сегментарной резекции (реже прошиванием кровоточащих сосудов)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пилоропластике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Резекция 2 /3 желудка с удалением кровоточащей язвы тела желудка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гастринопродуцирующей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может быть выполнена у компенсированных пациентов (без явлений геморрагического шока и при уровне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 г/л).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кровоточащей язве ДПК возможны следующие вмешательства: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прошивание (иссечение) кровоточащей язвы в сочетании (или без)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дуоденопластикой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Финнею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селективной проксимальной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ваготомией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(предпочтительнее в экстренных условиях операция Тейлора: передняя СПВ + задняя стволовая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антрумэктомия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сочетании ОГДК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пилородуоденального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стеноза и относительно стабильном состоянии пациента);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резекция 2 /3 желудка (при стабилизации состояния пациента и невысоком операционном риске). Летальность при экстренных операциях по поводу ОГДК может достигать 5–15 %.</w:t>
      </w:r>
    </w:p>
    <w:p w:rsidR="00876A00" w:rsidRDefault="00876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00" w:rsidRDefault="001D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Хирургические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болезни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/ под ред. А. Ф. Черноусова.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664 с.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Неотложная абдоминальная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хирургия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справ. пособие для врачей / под ред. А. А. Гринберга.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Триада-Х, 2000. 496 с.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МакНелли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Р. Секреты гастроэнтерологии / П. 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МакНелли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 с англ. М. ; СПб : Бином, Невский диалект, 1998. 1023 с.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50 лекций по хирургии / под ред. В. С. Савельева.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 Медика, 2003. 408 с. 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Основы клинической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хирургии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рук. / под ред. Н. А. Кузнецова. 2-е изд.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2009. 672 с.</w:t>
      </w:r>
    </w:p>
    <w:p w:rsidR="00876A00" w:rsidRDefault="001D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Протоколы организации лечебно-диагностической помощи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неварикозных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желудочно-кишечных кровотечениях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хронических язв желудка, двенадцатиперстной кишки и пептических язв ГЭА- МКБ-10 К25.4; К26.4;К28.4) / РОХ, 2014. 16 с.</w:t>
      </w:r>
    </w:p>
    <w:p w:rsidR="00876A00" w:rsidRDefault="001D4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7.Клиническая хирургия: национальное руководство: в 3 т. /под ред. В.С. Савельева, А.И. Кириенко. – М. ГЭОТАР – Медиа, 2009. Т-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– 832 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«Национальные руководства»).</w:t>
      </w:r>
    </w:p>
    <w:p w:rsidR="00876A00" w:rsidRDefault="00876A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p w:rsidR="00876A00" w:rsidRDefault="00876A00">
      <w:pPr>
        <w:rPr>
          <w:rFonts w:ascii="Times New Roman" w:hAnsi="Times New Roman" w:cs="Times New Roman"/>
          <w:sz w:val="24"/>
          <w:szCs w:val="24"/>
        </w:rPr>
      </w:pPr>
    </w:p>
    <w:sectPr w:rsidR="008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60D"/>
    <w:multiLevelType w:val="multilevel"/>
    <w:tmpl w:val="07FA26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54B"/>
    <w:multiLevelType w:val="multilevel"/>
    <w:tmpl w:val="1240654B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2183"/>
    <w:multiLevelType w:val="multilevel"/>
    <w:tmpl w:val="1BB8218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4E2C"/>
    <w:multiLevelType w:val="multilevel"/>
    <w:tmpl w:val="2FEA4E2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A57"/>
    <w:multiLevelType w:val="multilevel"/>
    <w:tmpl w:val="388C1A57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4E3E"/>
    <w:multiLevelType w:val="multilevel"/>
    <w:tmpl w:val="45964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C"/>
    <w:rsid w:val="001D4427"/>
    <w:rsid w:val="00200B4D"/>
    <w:rsid w:val="00214165"/>
    <w:rsid w:val="002B1043"/>
    <w:rsid w:val="002B4953"/>
    <w:rsid w:val="00407E7B"/>
    <w:rsid w:val="004F2FD8"/>
    <w:rsid w:val="0053010B"/>
    <w:rsid w:val="005724E5"/>
    <w:rsid w:val="005D0A20"/>
    <w:rsid w:val="006624BC"/>
    <w:rsid w:val="006C7322"/>
    <w:rsid w:val="006D697D"/>
    <w:rsid w:val="00795868"/>
    <w:rsid w:val="00876A00"/>
    <w:rsid w:val="008810FC"/>
    <w:rsid w:val="00886B84"/>
    <w:rsid w:val="009372A8"/>
    <w:rsid w:val="00983D8D"/>
    <w:rsid w:val="00A51636"/>
    <w:rsid w:val="00C371F6"/>
    <w:rsid w:val="00CB2BFD"/>
    <w:rsid w:val="00EE6FDC"/>
    <w:rsid w:val="00F15994"/>
    <w:rsid w:val="00FC6BBB"/>
    <w:rsid w:val="22E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AD0"/>
  <w15:docId w15:val="{B77B296D-C8A1-4894-9610-D93AA12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2510</Words>
  <Characters>14308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12</cp:revision>
  <dcterms:created xsi:type="dcterms:W3CDTF">2019-01-13T09:06:00Z</dcterms:created>
  <dcterms:modified xsi:type="dcterms:W3CDTF">2023-10-02T11:06:00Z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