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09380" w14:textId="77777777" w:rsidR="003F1804" w:rsidRDefault="00CC4491" w:rsidP="003F1804">
      <w:pPr>
        <w:widowControl w:val="0"/>
        <w:autoSpaceDE w:val="0"/>
        <w:autoSpaceDN w:val="0"/>
        <w:jc w:val="center"/>
        <w:rPr>
          <w:rFonts w:eastAsia="Times New Roman" w:cs="Times New Roman"/>
          <w:color w:val="000000" w:themeColor="text1"/>
          <w:sz w:val="17"/>
          <w:lang w:val="en-US" w:bidi="ru-RU"/>
        </w:rPr>
      </w:pPr>
      <w:r w:rsidRPr="00CC4491">
        <w:rPr>
          <w:rFonts w:eastAsia="Times New Roman" w:cs="Times New Roman"/>
          <w:color w:val="000000" w:themeColor="text1"/>
          <w:sz w:val="17"/>
          <w:lang w:val="en-US" w:bidi="ru-RU"/>
        </w:rPr>
        <w:tab/>
      </w:r>
      <w:r w:rsidR="003F1804">
        <w:rPr>
          <w:noProof/>
        </w:rPr>
        <w:drawing>
          <wp:inline distT="0" distB="0" distL="0" distR="0" wp14:anchorId="768B4F7A" wp14:editId="7C21EAC9">
            <wp:extent cx="5940425" cy="7917815"/>
            <wp:effectExtent l="0" t="0" r="3175" b="6985"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73CEF" w14:textId="77777777" w:rsidR="003F1804" w:rsidRDefault="003F1804" w:rsidP="003F1804">
      <w:pPr>
        <w:widowControl w:val="0"/>
        <w:autoSpaceDE w:val="0"/>
        <w:autoSpaceDN w:val="0"/>
        <w:jc w:val="center"/>
        <w:rPr>
          <w:rFonts w:eastAsia="Times New Roman" w:cs="Times New Roman"/>
          <w:color w:val="000000" w:themeColor="text1"/>
          <w:sz w:val="17"/>
          <w:lang w:val="en-US" w:bidi="ru-RU"/>
        </w:rPr>
      </w:pPr>
    </w:p>
    <w:p w14:paraId="29646FD7" w14:textId="77777777" w:rsidR="003F1804" w:rsidRDefault="003F1804" w:rsidP="003F1804">
      <w:pPr>
        <w:widowControl w:val="0"/>
        <w:autoSpaceDE w:val="0"/>
        <w:autoSpaceDN w:val="0"/>
        <w:jc w:val="center"/>
        <w:rPr>
          <w:rFonts w:eastAsia="Times New Roman" w:cs="Times New Roman"/>
          <w:color w:val="000000" w:themeColor="text1"/>
          <w:sz w:val="17"/>
          <w:lang w:val="en-US" w:bidi="ru-RU"/>
        </w:rPr>
      </w:pPr>
    </w:p>
    <w:p w14:paraId="214650B3" w14:textId="77777777" w:rsidR="003F1804" w:rsidRDefault="003F1804" w:rsidP="003F1804">
      <w:pPr>
        <w:widowControl w:val="0"/>
        <w:autoSpaceDE w:val="0"/>
        <w:autoSpaceDN w:val="0"/>
        <w:jc w:val="center"/>
        <w:rPr>
          <w:rFonts w:eastAsia="Times New Roman" w:cs="Times New Roman"/>
          <w:color w:val="000000" w:themeColor="text1"/>
          <w:sz w:val="17"/>
          <w:lang w:val="en-US" w:bidi="ru-RU"/>
        </w:rPr>
      </w:pPr>
    </w:p>
    <w:p w14:paraId="14CC092D" w14:textId="77777777" w:rsidR="003F1804" w:rsidRDefault="003F1804" w:rsidP="003F1804">
      <w:pPr>
        <w:widowControl w:val="0"/>
        <w:autoSpaceDE w:val="0"/>
        <w:autoSpaceDN w:val="0"/>
        <w:jc w:val="center"/>
        <w:rPr>
          <w:rFonts w:eastAsia="Times New Roman" w:cs="Times New Roman"/>
          <w:color w:val="000000" w:themeColor="text1"/>
          <w:sz w:val="17"/>
          <w:lang w:val="en-US" w:bidi="ru-RU"/>
        </w:rPr>
      </w:pPr>
    </w:p>
    <w:p w14:paraId="05C5C131" w14:textId="77777777" w:rsidR="003F1804" w:rsidRDefault="003F1804" w:rsidP="003F1804">
      <w:pPr>
        <w:widowControl w:val="0"/>
        <w:autoSpaceDE w:val="0"/>
        <w:autoSpaceDN w:val="0"/>
        <w:jc w:val="center"/>
        <w:rPr>
          <w:rFonts w:eastAsia="Times New Roman" w:cs="Times New Roman"/>
          <w:color w:val="000000" w:themeColor="text1"/>
          <w:sz w:val="17"/>
          <w:lang w:val="en-US" w:bidi="ru-RU"/>
        </w:rPr>
      </w:pPr>
    </w:p>
    <w:p w14:paraId="74A2DC5B" w14:textId="77777777" w:rsidR="003F1804" w:rsidRDefault="003F1804" w:rsidP="003F1804">
      <w:pPr>
        <w:widowControl w:val="0"/>
        <w:autoSpaceDE w:val="0"/>
        <w:autoSpaceDN w:val="0"/>
        <w:jc w:val="center"/>
        <w:rPr>
          <w:rFonts w:eastAsia="Times New Roman" w:cs="Times New Roman"/>
          <w:color w:val="000000" w:themeColor="text1"/>
          <w:sz w:val="17"/>
          <w:lang w:val="en-US" w:bidi="ru-RU"/>
        </w:rPr>
      </w:pPr>
    </w:p>
    <w:p w14:paraId="594FB0F8" w14:textId="77777777" w:rsidR="003F1804" w:rsidRDefault="003F1804" w:rsidP="003F1804">
      <w:pPr>
        <w:widowControl w:val="0"/>
        <w:autoSpaceDE w:val="0"/>
        <w:autoSpaceDN w:val="0"/>
        <w:jc w:val="center"/>
        <w:rPr>
          <w:rFonts w:eastAsia="Times New Roman" w:cs="Times New Roman"/>
          <w:color w:val="000000" w:themeColor="text1"/>
          <w:sz w:val="17"/>
          <w:lang w:val="en-US" w:bidi="ru-RU"/>
        </w:rPr>
      </w:pPr>
    </w:p>
    <w:p w14:paraId="2F1DB4AD" w14:textId="77777777" w:rsidR="003F1804" w:rsidRDefault="003F1804" w:rsidP="003F1804">
      <w:pPr>
        <w:widowControl w:val="0"/>
        <w:autoSpaceDE w:val="0"/>
        <w:autoSpaceDN w:val="0"/>
        <w:jc w:val="center"/>
        <w:rPr>
          <w:rFonts w:eastAsia="Times New Roman" w:cs="Times New Roman"/>
          <w:color w:val="000000" w:themeColor="text1"/>
          <w:sz w:val="17"/>
          <w:lang w:val="en-US" w:bidi="ru-RU"/>
        </w:rPr>
      </w:pPr>
    </w:p>
    <w:p w14:paraId="4367B37A" w14:textId="6144FFFF" w:rsidR="00CC4491" w:rsidRPr="00CC4491" w:rsidRDefault="00CC4491" w:rsidP="003F1804">
      <w:pPr>
        <w:widowControl w:val="0"/>
        <w:autoSpaceDE w:val="0"/>
        <w:autoSpaceDN w:val="0"/>
        <w:jc w:val="center"/>
        <w:rPr>
          <w:rFonts w:eastAsia="Times New Roman" w:cs="Times New Roman"/>
          <w:color w:val="000000" w:themeColor="text1"/>
          <w:sz w:val="28"/>
          <w:szCs w:val="28"/>
          <w:lang w:bidi="ru-RU"/>
        </w:rPr>
      </w:pPr>
      <w:r w:rsidRPr="00CC4491">
        <w:rPr>
          <w:rFonts w:eastAsia="Times New Roman" w:cs="Times New Roman"/>
          <w:b/>
          <w:bCs/>
          <w:color w:val="000000" w:themeColor="text1"/>
          <w:sz w:val="28"/>
          <w:szCs w:val="28"/>
          <w:lang w:bidi="ru-RU"/>
        </w:rPr>
        <w:lastRenderedPageBreak/>
        <w:t>Содержание</w:t>
      </w:r>
      <w:r w:rsidRPr="00CC4491">
        <w:rPr>
          <w:rFonts w:eastAsia="Times New Roman" w:cs="Times New Roman"/>
          <w:color w:val="000000" w:themeColor="text1"/>
          <w:sz w:val="28"/>
          <w:szCs w:val="28"/>
          <w:lang w:bidi="ru-RU"/>
        </w:rPr>
        <w:t>:</w:t>
      </w:r>
    </w:p>
    <w:p w14:paraId="7C5D390A" w14:textId="313D4DA6" w:rsidR="00CC4491" w:rsidRPr="00CC4491" w:rsidRDefault="005E637D" w:rsidP="005E637D">
      <w:pPr>
        <w:widowControl w:val="0"/>
        <w:tabs>
          <w:tab w:val="left" w:pos="840"/>
          <w:tab w:val="left" w:pos="841"/>
        </w:tabs>
        <w:autoSpaceDE w:val="0"/>
        <w:autoSpaceDN w:val="0"/>
        <w:spacing w:before="139"/>
        <w:rPr>
          <w:rFonts w:eastAsia="Times New Roman" w:cs="Times New Roman"/>
          <w:color w:val="000000" w:themeColor="text1"/>
          <w:sz w:val="28"/>
          <w:lang w:bidi="ru-RU"/>
        </w:rPr>
      </w:pPr>
      <w:r>
        <w:rPr>
          <w:rFonts w:eastAsia="Times New Roman" w:cs="Times New Roman"/>
          <w:color w:val="000000" w:themeColor="text1"/>
          <w:sz w:val="28"/>
          <w:lang w:bidi="ru-RU"/>
        </w:rPr>
        <w:t>1.</w:t>
      </w:r>
      <w:r w:rsidR="00297BC9">
        <w:rPr>
          <w:rFonts w:eastAsia="Times New Roman" w:cs="Times New Roman"/>
          <w:color w:val="000000" w:themeColor="text1"/>
          <w:sz w:val="28"/>
          <w:lang w:bidi="ru-RU"/>
        </w:rPr>
        <w:t xml:space="preserve"> </w:t>
      </w:r>
      <w:r w:rsidR="00CC4491" w:rsidRPr="00CC4491">
        <w:rPr>
          <w:rFonts w:eastAsia="Times New Roman" w:cs="Times New Roman"/>
          <w:color w:val="000000" w:themeColor="text1"/>
          <w:sz w:val="28"/>
          <w:lang w:bidi="ru-RU"/>
        </w:rPr>
        <w:t>Введение</w:t>
      </w:r>
    </w:p>
    <w:p w14:paraId="29AEAF26" w14:textId="17D8B372" w:rsidR="00642FCD" w:rsidRDefault="005E637D" w:rsidP="005E637D">
      <w:pPr>
        <w:widowControl w:val="0"/>
        <w:tabs>
          <w:tab w:val="left" w:pos="840"/>
          <w:tab w:val="left" w:pos="841"/>
        </w:tabs>
        <w:autoSpaceDE w:val="0"/>
        <w:autoSpaceDN w:val="0"/>
        <w:spacing w:before="134"/>
        <w:rPr>
          <w:rFonts w:eastAsia="Times New Roman" w:cs="Times New Roman"/>
          <w:color w:val="000000" w:themeColor="text1"/>
          <w:sz w:val="28"/>
          <w:lang w:bidi="ru-RU"/>
        </w:rPr>
      </w:pPr>
      <w:r>
        <w:rPr>
          <w:rFonts w:eastAsia="Times New Roman" w:cs="Times New Roman"/>
          <w:color w:val="000000" w:themeColor="text1"/>
          <w:sz w:val="28"/>
          <w:lang w:bidi="ru-RU"/>
        </w:rPr>
        <w:t>2.</w:t>
      </w:r>
      <w:r w:rsidR="00297BC9">
        <w:rPr>
          <w:rFonts w:eastAsia="Times New Roman" w:cs="Times New Roman"/>
          <w:color w:val="000000" w:themeColor="text1"/>
          <w:sz w:val="28"/>
          <w:lang w:bidi="ru-RU"/>
        </w:rPr>
        <w:t xml:space="preserve"> </w:t>
      </w:r>
      <w:r w:rsidR="00642FCD">
        <w:rPr>
          <w:rFonts w:eastAsia="Times New Roman" w:cs="Times New Roman"/>
          <w:color w:val="000000" w:themeColor="text1"/>
          <w:sz w:val="28"/>
          <w:lang w:bidi="ru-RU"/>
        </w:rPr>
        <w:t>Эпидемиология</w:t>
      </w:r>
      <w:r w:rsidR="005D0D2E">
        <w:rPr>
          <w:rFonts w:eastAsia="Times New Roman" w:cs="Times New Roman"/>
          <w:color w:val="000000" w:themeColor="text1"/>
          <w:sz w:val="28"/>
          <w:lang w:bidi="ru-RU"/>
        </w:rPr>
        <w:t xml:space="preserve"> и классификация</w:t>
      </w:r>
    </w:p>
    <w:p w14:paraId="1743D40A" w14:textId="6F68E398" w:rsidR="00CC4491" w:rsidRPr="00CC4491" w:rsidRDefault="005E637D" w:rsidP="005E637D">
      <w:pPr>
        <w:widowControl w:val="0"/>
        <w:tabs>
          <w:tab w:val="left" w:pos="840"/>
          <w:tab w:val="left" w:pos="841"/>
        </w:tabs>
        <w:autoSpaceDE w:val="0"/>
        <w:autoSpaceDN w:val="0"/>
        <w:spacing w:before="134"/>
        <w:rPr>
          <w:rFonts w:eastAsia="Times New Roman" w:cs="Times New Roman"/>
          <w:color w:val="000000" w:themeColor="text1"/>
          <w:sz w:val="28"/>
          <w:lang w:bidi="ru-RU"/>
        </w:rPr>
      </w:pPr>
      <w:r>
        <w:rPr>
          <w:rFonts w:eastAsia="Times New Roman" w:cs="Times New Roman"/>
          <w:color w:val="000000" w:themeColor="text1"/>
          <w:sz w:val="28"/>
          <w:lang w:bidi="ru-RU"/>
        </w:rPr>
        <w:t>3.</w:t>
      </w:r>
      <w:r w:rsidR="00297BC9">
        <w:rPr>
          <w:rFonts w:eastAsia="Times New Roman" w:cs="Times New Roman"/>
          <w:color w:val="000000" w:themeColor="text1"/>
          <w:sz w:val="28"/>
          <w:lang w:bidi="ru-RU"/>
        </w:rPr>
        <w:t xml:space="preserve"> </w:t>
      </w:r>
      <w:r w:rsidR="005D0D2E">
        <w:rPr>
          <w:rFonts w:eastAsia="Times New Roman" w:cs="Times New Roman"/>
          <w:color w:val="000000" w:themeColor="text1"/>
          <w:sz w:val="28"/>
          <w:lang w:bidi="ru-RU"/>
        </w:rPr>
        <w:t>Диагностика</w:t>
      </w:r>
    </w:p>
    <w:p w14:paraId="202A3C22" w14:textId="25F02D7D" w:rsidR="00CC4491" w:rsidRDefault="005E637D" w:rsidP="005E637D">
      <w:pPr>
        <w:widowControl w:val="0"/>
        <w:tabs>
          <w:tab w:val="left" w:pos="840"/>
          <w:tab w:val="left" w:pos="841"/>
        </w:tabs>
        <w:autoSpaceDE w:val="0"/>
        <w:autoSpaceDN w:val="0"/>
        <w:spacing w:before="139"/>
        <w:rPr>
          <w:rFonts w:eastAsia="Times New Roman" w:cs="Times New Roman"/>
          <w:color w:val="000000" w:themeColor="text1"/>
          <w:sz w:val="28"/>
          <w:lang w:bidi="ru-RU"/>
        </w:rPr>
      </w:pPr>
      <w:r>
        <w:rPr>
          <w:rFonts w:eastAsia="Times New Roman" w:cs="Times New Roman"/>
          <w:color w:val="000000" w:themeColor="text1"/>
          <w:sz w:val="28"/>
          <w:lang w:bidi="ru-RU"/>
        </w:rPr>
        <w:t>4.</w:t>
      </w:r>
      <w:r w:rsidR="00297BC9">
        <w:rPr>
          <w:rFonts w:eastAsia="Times New Roman" w:cs="Times New Roman"/>
          <w:color w:val="000000" w:themeColor="text1"/>
          <w:sz w:val="28"/>
          <w:lang w:bidi="ru-RU"/>
        </w:rPr>
        <w:t xml:space="preserve"> </w:t>
      </w:r>
      <w:r w:rsidR="005D0D2E">
        <w:rPr>
          <w:rFonts w:eastAsia="Times New Roman" w:cs="Times New Roman"/>
          <w:color w:val="000000" w:themeColor="text1"/>
          <w:sz w:val="28"/>
          <w:lang w:bidi="ru-RU"/>
        </w:rPr>
        <w:t>Лечение и прогноз</w:t>
      </w:r>
    </w:p>
    <w:p w14:paraId="2B867786" w14:textId="0A0DE436" w:rsidR="00405827" w:rsidRPr="00CC4491" w:rsidRDefault="00405827" w:rsidP="005E637D">
      <w:pPr>
        <w:widowControl w:val="0"/>
        <w:tabs>
          <w:tab w:val="left" w:pos="840"/>
          <w:tab w:val="left" w:pos="841"/>
        </w:tabs>
        <w:autoSpaceDE w:val="0"/>
        <w:autoSpaceDN w:val="0"/>
        <w:spacing w:before="139"/>
        <w:rPr>
          <w:rFonts w:eastAsia="Times New Roman" w:cs="Times New Roman"/>
          <w:color w:val="000000" w:themeColor="text1"/>
          <w:sz w:val="28"/>
          <w:lang w:bidi="ru-RU"/>
        </w:rPr>
      </w:pPr>
      <w:r>
        <w:rPr>
          <w:rFonts w:eastAsia="Times New Roman" w:cs="Times New Roman"/>
          <w:color w:val="000000" w:themeColor="text1"/>
          <w:sz w:val="28"/>
          <w:lang w:bidi="ru-RU"/>
        </w:rPr>
        <w:t>5.</w:t>
      </w:r>
      <w:r w:rsidR="00297BC9">
        <w:rPr>
          <w:rFonts w:eastAsia="Times New Roman" w:cs="Times New Roman"/>
          <w:color w:val="000000" w:themeColor="text1"/>
          <w:sz w:val="28"/>
          <w:lang w:bidi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lang w:bidi="ru-RU"/>
        </w:rPr>
        <w:t>Литература</w:t>
      </w:r>
    </w:p>
    <w:p w14:paraId="2E2640AC" w14:textId="77777777" w:rsidR="00CC4491" w:rsidRDefault="00CC4491" w:rsidP="00844D97">
      <w:pPr>
        <w:rPr>
          <w:rFonts w:ascii="Times New Roman" w:hAnsi="Times New Roman" w:cs="Times New Roman"/>
          <w:sz w:val="28"/>
          <w:szCs w:val="28"/>
        </w:rPr>
      </w:pPr>
    </w:p>
    <w:p w14:paraId="6D631F3C" w14:textId="77777777" w:rsidR="00CC4491" w:rsidRDefault="00CC4491" w:rsidP="00844D97">
      <w:pPr>
        <w:rPr>
          <w:rFonts w:ascii="Times New Roman" w:hAnsi="Times New Roman" w:cs="Times New Roman"/>
          <w:sz w:val="28"/>
          <w:szCs w:val="28"/>
        </w:rPr>
      </w:pPr>
    </w:p>
    <w:p w14:paraId="6688B959" w14:textId="77777777" w:rsidR="00CC4491" w:rsidRDefault="00CC4491" w:rsidP="00844D97">
      <w:pPr>
        <w:rPr>
          <w:rFonts w:ascii="Times New Roman" w:hAnsi="Times New Roman" w:cs="Times New Roman"/>
          <w:sz w:val="28"/>
          <w:szCs w:val="28"/>
        </w:rPr>
      </w:pPr>
    </w:p>
    <w:p w14:paraId="554539DD" w14:textId="77777777" w:rsidR="00CC4491" w:rsidRDefault="00CC4491" w:rsidP="00844D97">
      <w:pPr>
        <w:rPr>
          <w:rFonts w:ascii="Times New Roman" w:hAnsi="Times New Roman" w:cs="Times New Roman"/>
          <w:sz w:val="28"/>
          <w:szCs w:val="28"/>
        </w:rPr>
      </w:pPr>
    </w:p>
    <w:p w14:paraId="63FD8B0B" w14:textId="77777777" w:rsidR="00CC4491" w:rsidRDefault="00CC4491" w:rsidP="00844D97">
      <w:pPr>
        <w:rPr>
          <w:rFonts w:ascii="Times New Roman" w:hAnsi="Times New Roman" w:cs="Times New Roman"/>
          <w:sz w:val="28"/>
          <w:szCs w:val="28"/>
        </w:rPr>
      </w:pPr>
    </w:p>
    <w:p w14:paraId="00ADDEDF" w14:textId="77777777" w:rsidR="00CC4491" w:rsidRDefault="00CC4491" w:rsidP="00844D97">
      <w:pPr>
        <w:rPr>
          <w:rFonts w:ascii="Times New Roman" w:hAnsi="Times New Roman" w:cs="Times New Roman"/>
          <w:sz w:val="28"/>
          <w:szCs w:val="28"/>
        </w:rPr>
      </w:pPr>
    </w:p>
    <w:p w14:paraId="58B5787D" w14:textId="77777777" w:rsidR="00CC4491" w:rsidRDefault="00CC4491" w:rsidP="00844D97">
      <w:pPr>
        <w:rPr>
          <w:rFonts w:ascii="Times New Roman" w:hAnsi="Times New Roman" w:cs="Times New Roman"/>
          <w:sz w:val="28"/>
          <w:szCs w:val="28"/>
        </w:rPr>
      </w:pPr>
    </w:p>
    <w:p w14:paraId="51F54173" w14:textId="77777777" w:rsidR="00CC4491" w:rsidRDefault="00CC4491" w:rsidP="00844D97">
      <w:pPr>
        <w:rPr>
          <w:rFonts w:ascii="Times New Roman" w:hAnsi="Times New Roman" w:cs="Times New Roman"/>
          <w:sz w:val="28"/>
          <w:szCs w:val="28"/>
        </w:rPr>
      </w:pPr>
    </w:p>
    <w:p w14:paraId="59943CD7" w14:textId="77777777" w:rsidR="00CC4491" w:rsidRDefault="00CC4491" w:rsidP="00844D97">
      <w:pPr>
        <w:rPr>
          <w:rFonts w:ascii="Times New Roman" w:hAnsi="Times New Roman" w:cs="Times New Roman"/>
          <w:sz w:val="28"/>
          <w:szCs w:val="28"/>
        </w:rPr>
      </w:pPr>
    </w:p>
    <w:p w14:paraId="36354E08" w14:textId="77777777" w:rsidR="00CC4491" w:rsidRDefault="00CC4491" w:rsidP="00844D97">
      <w:pPr>
        <w:rPr>
          <w:rFonts w:ascii="Times New Roman" w:hAnsi="Times New Roman" w:cs="Times New Roman"/>
          <w:sz w:val="28"/>
          <w:szCs w:val="28"/>
        </w:rPr>
      </w:pPr>
    </w:p>
    <w:p w14:paraId="22DABB48" w14:textId="77777777" w:rsidR="00CC4491" w:rsidRDefault="00CC4491" w:rsidP="00844D97">
      <w:pPr>
        <w:rPr>
          <w:rFonts w:ascii="Times New Roman" w:hAnsi="Times New Roman" w:cs="Times New Roman"/>
          <w:sz w:val="28"/>
          <w:szCs w:val="28"/>
        </w:rPr>
      </w:pPr>
    </w:p>
    <w:p w14:paraId="531A9A11" w14:textId="77777777" w:rsidR="00CC4491" w:rsidRDefault="00CC4491" w:rsidP="00844D97">
      <w:pPr>
        <w:rPr>
          <w:rFonts w:ascii="Times New Roman" w:hAnsi="Times New Roman" w:cs="Times New Roman"/>
          <w:sz w:val="28"/>
          <w:szCs w:val="28"/>
        </w:rPr>
      </w:pPr>
    </w:p>
    <w:p w14:paraId="04DC866B" w14:textId="77777777" w:rsidR="00CC4491" w:rsidRDefault="00CC4491" w:rsidP="00844D97">
      <w:pPr>
        <w:rPr>
          <w:rFonts w:ascii="Times New Roman" w:hAnsi="Times New Roman" w:cs="Times New Roman"/>
          <w:sz w:val="28"/>
          <w:szCs w:val="28"/>
        </w:rPr>
      </w:pPr>
    </w:p>
    <w:p w14:paraId="5354A0B1" w14:textId="77777777" w:rsidR="00CC4491" w:rsidRDefault="00CC4491" w:rsidP="00844D97">
      <w:pPr>
        <w:rPr>
          <w:rFonts w:ascii="Times New Roman" w:hAnsi="Times New Roman" w:cs="Times New Roman"/>
          <w:sz w:val="28"/>
          <w:szCs w:val="28"/>
        </w:rPr>
      </w:pPr>
    </w:p>
    <w:p w14:paraId="19A765F1" w14:textId="77777777" w:rsidR="00CC4491" w:rsidRDefault="00CC4491" w:rsidP="00844D97">
      <w:pPr>
        <w:rPr>
          <w:rFonts w:ascii="Times New Roman" w:hAnsi="Times New Roman" w:cs="Times New Roman"/>
          <w:sz w:val="28"/>
          <w:szCs w:val="28"/>
        </w:rPr>
      </w:pPr>
    </w:p>
    <w:p w14:paraId="4FF196AA" w14:textId="77777777" w:rsidR="00CC4491" w:rsidRDefault="00CC4491" w:rsidP="00844D97">
      <w:pPr>
        <w:rPr>
          <w:rFonts w:ascii="Times New Roman" w:hAnsi="Times New Roman" w:cs="Times New Roman"/>
          <w:sz w:val="28"/>
          <w:szCs w:val="28"/>
        </w:rPr>
      </w:pPr>
    </w:p>
    <w:p w14:paraId="3114002C" w14:textId="77777777" w:rsidR="00CC4491" w:rsidRDefault="00CC4491" w:rsidP="00844D97">
      <w:pPr>
        <w:rPr>
          <w:rFonts w:ascii="Times New Roman" w:hAnsi="Times New Roman" w:cs="Times New Roman"/>
          <w:sz w:val="28"/>
          <w:szCs w:val="28"/>
        </w:rPr>
      </w:pPr>
    </w:p>
    <w:p w14:paraId="1E04B35E" w14:textId="77777777" w:rsidR="00CC4491" w:rsidRDefault="00CC4491" w:rsidP="00844D97">
      <w:pPr>
        <w:rPr>
          <w:rFonts w:ascii="Times New Roman" w:hAnsi="Times New Roman" w:cs="Times New Roman"/>
          <w:sz w:val="28"/>
          <w:szCs w:val="28"/>
        </w:rPr>
      </w:pPr>
    </w:p>
    <w:p w14:paraId="079E187F" w14:textId="77777777" w:rsidR="00CC4491" w:rsidRDefault="00CC4491" w:rsidP="00844D97">
      <w:pPr>
        <w:rPr>
          <w:rFonts w:ascii="Times New Roman" w:hAnsi="Times New Roman" w:cs="Times New Roman"/>
          <w:sz w:val="28"/>
          <w:szCs w:val="28"/>
        </w:rPr>
      </w:pPr>
    </w:p>
    <w:p w14:paraId="4454D615" w14:textId="77777777" w:rsidR="00CC4491" w:rsidRDefault="00CC4491" w:rsidP="00844D97">
      <w:pPr>
        <w:rPr>
          <w:rFonts w:ascii="Times New Roman" w:hAnsi="Times New Roman" w:cs="Times New Roman"/>
          <w:sz w:val="28"/>
          <w:szCs w:val="28"/>
        </w:rPr>
      </w:pPr>
    </w:p>
    <w:p w14:paraId="3FECF297" w14:textId="77777777" w:rsidR="00CC4491" w:rsidRDefault="00CC4491" w:rsidP="00844D97">
      <w:pPr>
        <w:rPr>
          <w:rFonts w:ascii="Times New Roman" w:hAnsi="Times New Roman" w:cs="Times New Roman"/>
          <w:sz w:val="28"/>
          <w:szCs w:val="28"/>
        </w:rPr>
      </w:pPr>
    </w:p>
    <w:p w14:paraId="660F1289" w14:textId="77777777" w:rsidR="00CC4491" w:rsidRDefault="00CC4491" w:rsidP="00844D97">
      <w:pPr>
        <w:rPr>
          <w:rFonts w:ascii="Times New Roman" w:hAnsi="Times New Roman" w:cs="Times New Roman"/>
          <w:sz w:val="28"/>
          <w:szCs w:val="28"/>
        </w:rPr>
      </w:pPr>
    </w:p>
    <w:p w14:paraId="1F054EFA" w14:textId="77777777" w:rsidR="00CC4491" w:rsidRDefault="00CC4491" w:rsidP="00844D97">
      <w:pPr>
        <w:rPr>
          <w:rFonts w:ascii="Times New Roman" w:hAnsi="Times New Roman" w:cs="Times New Roman"/>
          <w:sz w:val="28"/>
          <w:szCs w:val="28"/>
        </w:rPr>
      </w:pPr>
    </w:p>
    <w:p w14:paraId="686A1CF7" w14:textId="77777777" w:rsidR="00CC4491" w:rsidRDefault="00CC4491" w:rsidP="00844D97">
      <w:pPr>
        <w:rPr>
          <w:rFonts w:ascii="Times New Roman" w:hAnsi="Times New Roman" w:cs="Times New Roman"/>
          <w:sz w:val="28"/>
          <w:szCs w:val="28"/>
        </w:rPr>
      </w:pPr>
    </w:p>
    <w:p w14:paraId="1D990335" w14:textId="77777777" w:rsidR="00CC4491" w:rsidRDefault="00CC4491" w:rsidP="00844D97">
      <w:pPr>
        <w:rPr>
          <w:rFonts w:ascii="Times New Roman" w:hAnsi="Times New Roman" w:cs="Times New Roman"/>
          <w:sz w:val="28"/>
          <w:szCs w:val="28"/>
        </w:rPr>
      </w:pPr>
    </w:p>
    <w:p w14:paraId="7582ADC6" w14:textId="77777777" w:rsidR="00CC4491" w:rsidRDefault="00CC4491" w:rsidP="00844D97">
      <w:pPr>
        <w:rPr>
          <w:rFonts w:ascii="Times New Roman" w:hAnsi="Times New Roman" w:cs="Times New Roman"/>
          <w:sz w:val="28"/>
          <w:szCs w:val="28"/>
        </w:rPr>
      </w:pPr>
    </w:p>
    <w:p w14:paraId="1BC42543" w14:textId="77777777" w:rsidR="00CC4491" w:rsidRDefault="00CC4491" w:rsidP="00844D97">
      <w:pPr>
        <w:rPr>
          <w:rFonts w:ascii="Times New Roman" w:hAnsi="Times New Roman" w:cs="Times New Roman"/>
          <w:sz w:val="28"/>
          <w:szCs w:val="28"/>
        </w:rPr>
      </w:pPr>
    </w:p>
    <w:p w14:paraId="0AE5AD0E" w14:textId="77777777" w:rsidR="00CC4491" w:rsidRDefault="00CC4491" w:rsidP="00844D97">
      <w:pPr>
        <w:rPr>
          <w:rFonts w:ascii="Times New Roman" w:hAnsi="Times New Roman" w:cs="Times New Roman"/>
          <w:sz w:val="28"/>
          <w:szCs w:val="28"/>
        </w:rPr>
      </w:pPr>
    </w:p>
    <w:p w14:paraId="571CD159" w14:textId="77777777" w:rsidR="00CC4491" w:rsidRDefault="00CC4491" w:rsidP="00844D97">
      <w:pPr>
        <w:rPr>
          <w:rFonts w:ascii="Times New Roman" w:hAnsi="Times New Roman" w:cs="Times New Roman"/>
          <w:sz w:val="28"/>
          <w:szCs w:val="28"/>
        </w:rPr>
      </w:pPr>
    </w:p>
    <w:p w14:paraId="75D4226A" w14:textId="77777777" w:rsidR="00CC4491" w:rsidRDefault="00CC4491" w:rsidP="00844D97">
      <w:pPr>
        <w:rPr>
          <w:rFonts w:ascii="Times New Roman" w:hAnsi="Times New Roman" w:cs="Times New Roman"/>
          <w:sz w:val="28"/>
          <w:szCs w:val="28"/>
        </w:rPr>
      </w:pPr>
    </w:p>
    <w:p w14:paraId="3C65093E" w14:textId="77777777" w:rsidR="00CC4491" w:rsidRDefault="00CC4491" w:rsidP="00844D97">
      <w:pPr>
        <w:rPr>
          <w:rFonts w:ascii="Times New Roman" w:hAnsi="Times New Roman" w:cs="Times New Roman"/>
          <w:sz w:val="28"/>
          <w:szCs w:val="28"/>
        </w:rPr>
      </w:pPr>
    </w:p>
    <w:p w14:paraId="740F969F" w14:textId="77777777" w:rsidR="00CC4491" w:rsidRDefault="00CC4491" w:rsidP="00844D97">
      <w:pPr>
        <w:rPr>
          <w:rFonts w:ascii="Times New Roman" w:hAnsi="Times New Roman" w:cs="Times New Roman"/>
          <w:sz w:val="28"/>
          <w:szCs w:val="28"/>
        </w:rPr>
      </w:pPr>
    </w:p>
    <w:p w14:paraId="7783C911" w14:textId="77777777" w:rsidR="00CC4491" w:rsidRDefault="00CC4491" w:rsidP="00844D97">
      <w:pPr>
        <w:rPr>
          <w:rFonts w:ascii="Times New Roman" w:hAnsi="Times New Roman" w:cs="Times New Roman"/>
          <w:sz w:val="28"/>
          <w:szCs w:val="28"/>
        </w:rPr>
      </w:pPr>
    </w:p>
    <w:p w14:paraId="580520F2" w14:textId="77777777" w:rsidR="00CC4491" w:rsidRDefault="00CC4491" w:rsidP="00844D97">
      <w:pPr>
        <w:rPr>
          <w:rFonts w:ascii="Times New Roman" w:hAnsi="Times New Roman" w:cs="Times New Roman"/>
          <w:sz w:val="28"/>
          <w:szCs w:val="28"/>
        </w:rPr>
      </w:pPr>
    </w:p>
    <w:p w14:paraId="0D81E96E" w14:textId="77777777" w:rsidR="00CC4491" w:rsidRDefault="00CC4491" w:rsidP="00844D97">
      <w:pPr>
        <w:rPr>
          <w:rFonts w:ascii="Times New Roman" w:hAnsi="Times New Roman" w:cs="Times New Roman"/>
          <w:sz w:val="28"/>
          <w:szCs w:val="28"/>
        </w:rPr>
      </w:pPr>
    </w:p>
    <w:p w14:paraId="282ED666" w14:textId="77777777" w:rsidR="00CC4491" w:rsidRDefault="00CC4491" w:rsidP="00844D97">
      <w:pPr>
        <w:rPr>
          <w:rFonts w:ascii="Times New Roman" w:hAnsi="Times New Roman" w:cs="Times New Roman"/>
          <w:sz w:val="28"/>
          <w:szCs w:val="28"/>
        </w:rPr>
      </w:pPr>
    </w:p>
    <w:p w14:paraId="5902D15C" w14:textId="77777777" w:rsidR="005E637D" w:rsidRDefault="005E637D" w:rsidP="00844D97">
      <w:pPr>
        <w:rPr>
          <w:rFonts w:ascii="Times New Roman" w:hAnsi="Times New Roman" w:cs="Times New Roman"/>
          <w:sz w:val="28"/>
          <w:szCs w:val="28"/>
        </w:rPr>
      </w:pPr>
    </w:p>
    <w:p w14:paraId="0388371D" w14:textId="77777777" w:rsidR="0004467F" w:rsidRDefault="0004467F" w:rsidP="00844D97">
      <w:pPr>
        <w:rPr>
          <w:rFonts w:ascii="Times New Roman" w:hAnsi="Times New Roman" w:cs="Times New Roman"/>
          <w:sz w:val="28"/>
          <w:szCs w:val="28"/>
        </w:rPr>
      </w:pPr>
    </w:p>
    <w:p w14:paraId="3B6C628A" w14:textId="63F68639" w:rsidR="00844D97" w:rsidRPr="0004467F" w:rsidRDefault="00844D97" w:rsidP="00844D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</w:t>
      </w:r>
      <w:r w:rsidRPr="0004467F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14:paraId="480D299D" w14:textId="77777777" w:rsidR="002132B2" w:rsidRPr="00502810" w:rsidRDefault="00844D97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Вульвовагинальный кандидоз (ВВК) – инфекционное поражение, сопровождающееся воспалением слизистой оболочки влагалища, которое вызывают грибы рода Candida. Эта болезнь примечательна тем, что в норме грибы Candida живут в кишечнике женщины и не наносят ущерба здоровью. Но при определенных условиях грибы Candida albicans могут заменить нормальную микрофлору влагалища женщины и вызвать кандидозный вагинит/вульвит [1, 2].</w:t>
      </w:r>
    </w:p>
    <w:p w14:paraId="3C0251F0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>Эпидемиология</w:t>
      </w:r>
    </w:p>
    <w:p w14:paraId="400E3F3A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Заболеваемость ВВК в течение последних 20 лет имеет четкую тенденцию к увеличению. В настоящее время по частоте распространения ВВК занимает второе место после бактериального вагиноза. Ряд авторов свидетельствуют о том, что ВВК является одной из наиболее распространенных причин обращения пациенток к гинекологу. По данным различных исследователей, от 15 до 40% инфекционных поражений вульвы и влагалища обусловлены грибковой инфекцией. Около 75% женщин страдают данным заболеванием по крайней мере один раз в течение жизни [1, 5, 6]. У 40–45% пациенток на протяжении своей жизни встречаются два (и более) эпизодов ВВК. 10–20% женщин являются бессимптомными носителями грибов, при этом грибы чаще всего локализуются во влагалище; у беременных женщин колонизация грибами может достигать 40% [1, 7, 8].</w:t>
      </w:r>
    </w:p>
    <w:p w14:paraId="7D9C6224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Распространенность рецидивирующих форм кандидоза в мире составляет около 3 млн случаев в год. От 40% до 50% женщин имеют рецидивы вульвовагинита, а у 5–8% заболевание переходит в хроническую форму. Заболеваемость ВВК будет возрастать и далее в связи с ростом инфицирования Candida не-albicans (резистентных к большинству противогрибковых препаратов), а также вследствие развития резистентности к противогрибковым препаратам [1, 7].</w:t>
      </w:r>
    </w:p>
    <w:p w14:paraId="736E099E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Распространенность ВВК неодинакова в разных возрастных группах. Проведенные исследования показали, что чаще ВВК страдают женщины в возрасте от 21 до 40 лет, т. е. наиболее трудоспособная часть общества, что еще раз свидетельствует о высокой социальной значимости данной проблемы. У девочек до менархе и у женщин в постменопаузе заболевание встречается реже. Большинство исследователей считают, что истинная заболеваемость ВВК неизвестна из-за высокого процента самолечения пациенток [1, 2, 9].</w:t>
      </w:r>
    </w:p>
    <w:p w14:paraId="5F73ED0E" w14:textId="77777777" w:rsidR="00725F4E" w:rsidRPr="0004467F" w:rsidRDefault="00725F4E" w:rsidP="00725F4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</w:t>
      </w:r>
      <w:r w:rsidRPr="0004467F">
        <w:rPr>
          <w:rFonts w:ascii="Times New Roman" w:hAnsi="Times New Roman" w:cs="Times New Roman"/>
          <w:b/>
          <w:bCs/>
          <w:sz w:val="28"/>
          <w:szCs w:val="28"/>
        </w:rPr>
        <w:t>Классификация</w:t>
      </w:r>
    </w:p>
    <w:p w14:paraId="7D5A1942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ВВК разделяют на неосложненный и осложненный.</w:t>
      </w:r>
    </w:p>
    <w:p w14:paraId="0487FDC1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Неосложненный ВВК (острый ВВК) диагностируется при наличии всех критериев:</w:t>
      </w:r>
    </w:p>
    <w:p w14:paraId="701E837E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• спорадический или нечастый ВВК;</w:t>
      </w:r>
    </w:p>
    <w:p w14:paraId="5DA76352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• легкий или среднетяжелый ВВК;</w:t>
      </w:r>
    </w:p>
    <w:p w14:paraId="799A2604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• вызванный С. albicans;</w:t>
      </w:r>
    </w:p>
    <w:p w14:paraId="29B15081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lastRenderedPageBreak/>
        <w:t xml:space="preserve">    • у пациенток с нормальным иммунитетом.</w:t>
      </w:r>
    </w:p>
    <w:p w14:paraId="126A31D1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Осложненный ВВК диагностируется при наличии хотя бы одного критерия:</w:t>
      </w:r>
    </w:p>
    <w:p w14:paraId="0F05E74F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• рецидивирующий ВВК (диагноз ставится в тех случаях, когда в течение 1 года регистрируется 4 или более клинически выраженных эпизодов ВВК);</w:t>
      </w:r>
    </w:p>
    <w:p w14:paraId="70878701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• тяжелое течение ВВК;</w:t>
      </w:r>
    </w:p>
    <w:p w14:paraId="1A53323E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• кандидоз, вызванный Candida не-albicans видами у пациенток со сниженным иммунитетом (например, в случаях декомпенсированного сахарного диабета (СД), лечения глюкокортикоидами, беременности) [1, 2, 8].</w:t>
      </w:r>
    </w:p>
    <w:p w14:paraId="04BB3830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Выделяют также кандидоносительство, для которого характерно отсутствие жалоб больных и выраженной клинической картины заболевания. Однако при микробиологическом исследовании в отделяемом влагалища обнаруживаются в небольшом количестве почкующиеся формы дрожжевых грибов при отсутствии в большинстве случаев псевдомицелия [1, 2, 10].</w:t>
      </w:r>
    </w:p>
    <w:p w14:paraId="1D673DBD" w14:textId="77777777" w:rsidR="00725F4E" w:rsidRPr="0004467F" w:rsidRDefault="00725F4E" w:rsidP="00725F4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467F">
        <w:rPr>
          <w:rFonts w:ascii="Times New Roman" w:hAnsi="Times New Roman" w:cs="Times New Roman"/>
          <w:b/>
          <w:bCs/>
          <w:sz w:val="28"/>
          <w:szCs w:val="28"/>
        </w:rPr>
        <w:t xml:space="preserve">    Этиология и патогенез</w:t>
      </w:r>
    </w:p>
    <w:p w14:paraId="1CB84D42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Возбудителями ВВК являются дрожжеподобные грибы рода Candida, насчитывающего более 170 видов, среди которых C. albicans, вызывающая ВВК в 75–80% случаев. За последние годы отмечена тенденция к увеличению распространения ВВК, обусловленного «не-albicans»-видами: C. glabrata, C. tropicalis, C. paparsilosis, C. crusei, C. lusitaniae, Saccharomyces cerevisiae. Данные виды рода Candida, как правило, способствуют осложненному течению заболевания, которое трудно поддается воздействию антимикотической терапии [1, 2, 12, 13].</w:t>
      </w:r>
    </w:p>
    <w:p w14:paraId="6578AF65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Патогенез ВВК сложен и до сих пор недостаточно изучен. Учитывая тот факт, что штаммы C. albicans, выделенные у больных кандидозным вульвовагинитом и у носителей, существенно не различаются по ряду биохимических характеристик, можно сделать заключение о ведущей роли состояния макроорганизма в развитии кандидозного вульвовагинита, а не свойств возбудителя. Триггером развития заболевания является не изменение свойств гриба, а снижение резистентности организма-хозяина [10, 14, 15]. </w:t>
      </w:r>
    </w:p>
    <w:p w14:paraId="61EDAE66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В развитии кандидоза различают следующие этапы: </w:t>
      </w:r>
    </w:p>
    <w:p w14:paraId="764870CB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• прикрепление (адгезию) грибов к поверхности слизистой оболочки с ее колонизацией; </w:t>
      </w:r>
    </w:p>
    <w:p w14:paraId="541C119B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• внедрение (инвазию) в эпителий, преодоление эпителиального барьера слизистой оболочки, попадание в соединительную ткань собственной пластинки, преодоление тканевых и клеточных защитных механизмов;</w:t>
      </w:r>
    </w:p>
    <w:p w14:paraId="53DC5CDF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• проникновение в сосуды, гематогенная диссеминация с поражением различных органов и систем. </w:t>
      </w:r>
    </w:p>
    <w:p w14:paraId="47E3B0A0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При вагинальном кандидозе инфекционный процесс чаще всего локализуется в поверхностных слоях эпителия влагалища [1, 2, 5]. </w:t>
      </w:r>
    </w:p>
    <w:p w14:paraId="04FBCD42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Морфология и физиология грибов рода Candida</w:t>
      </w:r>
    </w:p>
    <w:p w14:paraId="4AFE1C5E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Грибы рода Candida состоят из овальных почкующихся дрожжевых клеток (4–8 мкм) псевдогиф и септированных гиф. Для C. albicans характерно образование ростовой трубки из бластоспоры (почки) при помещении их в </w:t>
      </w:r>
      <w:r w:rsidRPr="00502810">
        <w:rPr>
          <w:rFonts w:ascii="Times New Roman" w:hAnsi="Times New Roman" w:cs="Times New Roman"/>
          <w:sz w:val="28"/>
          <w:szCs w:val="28"/>
        </w:rPr>
        <w:lastRenderedPageBreak/>
        <w:t>сыворотку. Кроме этого, C. albicans образует хламидоспоры – толстостенные двухконтурные крупные овальные споры. На простых питательных средах при 25–27°С они образуют дрожжевые и псевдогифальные клетки. Колонии выпуклые, блестящие, сметанообразные, непрозрачные. В тканях кандиды растут в виде дрожжей и псевдогиф (рис. 1, 2) [1, 2, 16, 17].</w:t>
      </w:r>
    </w:p>
    <w:p w14:paraId="11930F41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>Рис. 1. Структура грибов рода Candida</w:t>
      </w:r>
    </w:p>
    <w:p w14:paraId="51BCE091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>Рис. 2. Хламидоспоры с двухконтурной оболочкой и зернистым содержимым на концах псевдомицелия (указаны стрелками)</w:t>
      </w:r>
    </w:p>
    <w:p w14:paraId="55FFFE1B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Предрасполагающие факторы</w:t>
      </w:r>
    </w:p>
    <w:p w14:paraId="58C42D12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Грибы рода Candida входят в состав нормальной микрофлоры влагалища. Однако под воздействием определенных экзо- и эндогенных факторов (антибиотики широкого спектра действия, иммунодефицитные состояния, вирус иммунодефицита человека, туберкулез, СД, патология щитовидной железы, инфекции, передающиеся половым путем, и др.) кандидоносительство переходит в клинически выраженную форму (рис. 3). </w:t>
      </w:r>
    </w:p>
    <w:p w14:paraId="7901EE84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Генитальному кандидозу нередко сопутствуют бессимптомная кандидоурия, уретрит и другие заболевания мочевых путей. В патогенезе генитального кандидоза определенную роль играет длительное использование гормональных (оральных) контрацептивов, влияющих на соотношение гормонов, регулирующих репродуктивную функцию. Вирулентность C. albicans увеличивается в условиях повышенной влажности (потливости). Триггерами для развития гиперчувствительности и предрасположенности к колонизации грибов рода Candida являются: </w:t>
      </w:r>
    </w:p>
    <w:p w14:paraId="5A283C22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• ношение тесного синтетического нижнего белья, </w:t>
      </w:r>
    </w:p>
    <w:p w14:paraId="5497B9B2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• подмывание душем под напором, </w:t>
      </w:r>
    </w:p>
    <w:p w14:paraId="5BBBB73B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• использование спреев, </w:t>
      </w:r>
    </w:p>
    <w:p w14:paraId="4B713CE8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• применение прокладок (рис. 3) [18,19].</w:t>
      </w:r>
    </w:p>
    <w:p w14:paraId="523A6E64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>Рис. 3. Факторы, предрасполагающие к развитию ВВК</w:t>
      </w:r>
    </w:p>
    <w:p w14:paraId="26A9D190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Скрининг</w:t>
      </w:r>
    </w:p>
    <w:p w14:paraId="5BD955FB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Обследованию на ВВК подлежат пациентки с жалобами на наличие творожистых выделений из влагалища, зуд, жжение, диспареунию, беременные женщины. Скрининг проводят с помощью микроскопического исследования отделяемого влагалища [1, 2, 5].</w:t>
      </w:r>
    </w:p>
    <w:p w14:paraId="3BC461C4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Диагностика</w:t>
      </w:r>
    </w:p>
    <w:p w14:paraId="77E75F09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Клиническая картина</w:t>
      </w:r>
    </w:p>
    <w:p w14:paraId="0235DD60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Клиническая картина ВВК различается и зависит от ряда факторов, в т. ч. и от вида возбудителя. К наиболее частым симптомам ВВК относятся следующие клинические признаки:</w:t>
      </w:r>
    </w:p>
    <w:p w14:paraId="677A5E26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• обильные выделения из половых путей различного цвета и консистенции: белые, густые (сливкообразные) или хлопьевидные, творожистые, пленчатые, с нерезким кисловатым запахом, изредка водянистые, с творожисто-крошковатыми вкраплениями;</w:t>
      </w:r>
    </w:p>
    <w:p w14:paraId="5C7AD370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• зуд и жжение в области влагалища и вульвы; зуд, как правило, интенсивный, сопровождается расчесами, нередко приводит к бессоннице, неврозам;</w:t>
      </w:r>
    </w:p>
    <w:p w14:paraId="6F0E554A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lastRenderedPageBreak/>
        <w:t xml:space="preserve">    • гиперемия, отек, высыпания в виде везикул на коже и слизистых оболочках вульвы и влагалища;</w:t>
      </w:r>
    </w:p>
    <w:p w14:paraId="13EADD6A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• вышеуказанные симптомы нередко могут препятствовать мочеиспусканию, вызывая задержку мочи.</w:t>
      </w:r>
    </w:p>
    <w:p w14:paraId="343CE3C8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Рецидивирующее течение ВВК диагностируют при наличии 4 и более эпизодов ВВК в год, встречается у 17–20% женщин с ВВК. Существуют 2 основных механизма возникновения хронического рецидивирующего кандидоза: </w:t>
      </w:r>
    </w:p>
    <w:p w14:paraId="1EFB32F2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• реинфекция влагалища;</w:t>
      </w:r>
    </w:p>
    <w:p w14:paraId="25DE25BD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• рецидив, связанный с неполной элиминацией возбудителя.</w:t>
      </w:r>
    </w:p>
    <w:p w14:paraId="565A837F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Клиническая картина при рецидивирующем ВВК характеризуется меньшей распространенностью поражений, менее интенсивной гиперемией и отечностью; влагалищные выделения менее обильные или могут отсутствовать. На коже и слизистых оболочках половых органов преобладают вторичные элементы в виде инфильтрации, лихенизации и атрофии тканей. Кроме того, процесс может распространяться и на перианальную область, а также на внутреннюю поверхность бедер. Как правило, симптомы заболевания стремительно развиваются за неделю до менструации и немного стихают во время менструации (табл. 1) [1, 2].</w:t>
      </w:r>
    </w:p>
    <w:p w14:paraId="6973960C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>Таблица 1. Классификация вагинального кандидоза (D.A. Eschenbach, 2004)</w:t>
      </w:r>
    </w:p>
    <w:p w14:paraId="12502E51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Следствием осложненной формы ВВК являются:</w:t>
      </w:r>
    </w:p>
    <w:p w14:paraId="290D98BE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• генерализованный кандидоз у пациенток с иммунодефицитными состояниями;</w:t>
      </w:r>
    </w:p>
    <w:p w14:paraId="09A97729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• рецидивирующие инфекции мочевой системы;</w:t>
      </w:r>
    </w:p>
    <w:p w14:paraId="454D13F8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• невынашивание беременности;</w:t>
      </w:r>
    </w:p>
    <w:p w14:paraId="3903F426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• рождение маловесных детей;</w:t>
      </w:r>
    </w:p>
    <w:p w14:paraId="67BA3496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• хориоамнионит;</w:t>
      </w:r>
    </w:p>
    <w:p w14:paraId="6D805613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• преждевременный разрыв плодных оболочек;</w:t>
      </w:r>
    </w:p>
    <w:p w14:paraId="6F731335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• преждевременные роды [20–22].   </w:t>
      </w:r>
    </w:p>
    <w:p w14:paraId="2CB4BF48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Лабораторно-инструментальные исследования</w:t>
      </w:r>
    </w:p>
    <w:p w14:paraId="2D1AFDB5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Диагностика ВВК должна быть комплексной. Ведущая роль в диагностике наряду с клиническими симптомами принадлежит микробиологическим методам исследования (микроскопия мазков вагинального отделяемого и культуральный метод исследования), диагностическая ценность которых достигает 95%. Культуральный метод — посев материала на питательную среду позволяет определить количество, родовую и видовую принадлежность грибов, их чувствительность к антифунгальным препаратам, а также характер и степень микробной обсемененности другими условно-патогенными бактериями. Микроскопическое исследование является одним из наиболее доступных и простых методов диагностики. Исследование проводят в нативных и окрашенных по Граму препаратах. В последние годы применяют методы экспресс-диагностики, которые в минимально короткие сроки с довольно высокой точностью позволяют выявить штаммы гриба при помощи готовых тест-систем с благоприятными средами для роста грибов. Использование экспресс-диагностики является весьма перспективным, не </w:t>
      </w:r>
      <w:r w:rsidRPr="00502810">
        <w:rPr>
          <w:rFonts w:ascii="Times New Roman" w:hAnsi="Times New Roman" w:cs="Times New Roman"/>
          <w:sz w:val="28"/>
          <w:szCs w:val="28"/>
        </w:rPr>
        <w:lastRenderedPageBreak/>
        <w:t>требует много времени, не вызывает затруднений, однако ее результаты не позволяют судить о сопутствующей флоре.</w:t>
      </w:r>
    </w:p>
    <w:p w14:paraId="7F83C657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При тяжелых, рецидивирующих формах ВВК, сопровождающихся нарушениями в иммунной системе, возможно определение титров антител к грибам рода Candida в сыворотке крови. Но этот метод исследования практически не применяется из-за высокой частоты ложноотрицательных и ложноположительных результатов.</w:t>
      </w:r>
    </w:p>
    <w:p w14:paraId="7D5D03A5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Кольпоскопический метод диагностики не является специфическим. Он выявляет изменения эпителия, характерные для воспалительного процесса, но не позволяет определить этиологию заболевания. </w:t>
      </w:r>
    </w:p>
    <w:p w14:paraId="7461BD82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Молекулярно-биологические методы (полимеразная цепная реакция (ПЦР) в реальном времени, направленная на обнаружение специфических фрагментов дезоксирибонуклеиновой кислоты или рибонуклеиновой кислоты Candida spp.) не являются обязательными методами лабораторной диагностики ВВК [1, 2, 5, 20, 22].</w:t>
      </w:r>
    </w:p>
    <w:p w14:paraId="64B02C12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В зависимости от концентрации дрожжеподобных грибов рода Candida и характера сопутствующей микрофлоры в вагинальном биотопе выделяют 3 формы Candida инфекции влагалища:</w:t>
      </w:r>
    </w:p>
    <w:p w14:paraId="55979484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• бессимптомное носительство;</w:t>
      </w:r>
    </w:p>
    <w:p w14:paraId="33296DF6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• истинный кандидоз (высокая концентрация грибов сочетается с высокой концентрацией лактобацилл);</w:t>
      </w:r>
    </w:p>
    <w:p w14:paraId="576C4052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• сочетанная форма бактериального вагиноза с ВВК (грибы вегетируют при подавляющем преобладании облигатных анаэробов) [22–24].</w:t>
      </w:r>
    </w:p>
    <w:p w14:paraId="6EEC6E57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Дифференциальная диагностика</w:t>
      </w:r>
    </w:p>
    <w:p w14:paraId="7F51F6AA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Дифференциальную диагностику ВВК целесообразно проводить с:</w:t>
      </w:r>
    </w:p>
    <w:p w14:paraId="0670C9BA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• бактериальным вагинозом;</w:t>
      </w:r>
    </w:p>
    <w:p w14:paraId="2FF7A2B0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• генитальным герпесом;</w:t>
      </w:r>
    </w:p>
    <w:p w14:paraId="4A2903AB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• аэробным вагинитом;</w:t>
      </w:r>
    </w:p>
    <w:p w14:paraId="227E86C6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• кожными заболеваниями (экземой, красным плоским лишаем, склеродермией, болезнью Бехчета и др.). </w:t>
      </w:r>
    </w:p>
    <w:p w14:paraId="6B0510A0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В клинической практике чаще всего дифференциальную диагностику ВВК следует проводить с бактериальным вагинозом и трихомониазом (табл. 2) [1, 5, 22]. Дифференциальная диагностика патологии влагалища представлена в таблице 2.</w:t>
      </w:r>
    </w:p>
    <w:p w14:paraId="3C5BBAE5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>Таблица 2. Отличительные признаки нормального влагалищного секрета и воспалительных выделений, сопутствующих наиболее распространенным инфекциям влагалища</w:t>
      </w:r>
    </w:p>
    <w:p w14:paraId="261DA4E8" w14:textId="77777777" w:rsidR="00725F4E" w:rsidRPr="00405827" w:rsidRDefault="00725F4E" w:rsidP="00725F4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</w:t>
      </w:r>
      <w:r w:rsidRPr="00405827">
        <w:rPr>
          <w:rFonts w:ascii="Times New Roman" w:hAnsi="Times New Roman" w:cs="Times New Roman"/>
          <w:b/>
          <w:bCs/>
          <w:sz w:val="28"/>
          <w:szCs w:val="28"/>
        </w:rPr>
        <w:t>Лечение</w:t>
      </w:r>
    </w:p>
    <w:p w14:paraId="5A4C1738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Цель медикаментозного лечения ВВК – эрадикация возбудителя. Большинство случаев ВВК поддается терапии местными противогрибковыми средствами и антисептиками [1, 5, 22].</w:t>
      </w:r>
    </w:p>
    <w:p w14:paraId="3423AF5D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К преимуществам местных средств относят их безопасность, высокие концентрации антимикотиков, создаваемые на поверхности слизистой оболочки, и меньшую вероятность развития устойчивости. Кроме того, многие антимикотики местного действия быстрее обеспечивают купирование </w:t>
      </w:r>
      <w:r w:rsidRPr="00502810">
        <w:rPr>
          <w:rFonts w:ascii="Times New Roman" w:hAnsi="Times New Roman" w:cs="Times New Roman"/>
          <w:sz w:val="28"/>
          <w:szCs w:val="28"/>
        </w:rPr>
        <w:lastRenderedPageBreak/>
        <w:t xml:space="preserve">симптомов, в основном за счет мазевой основы. При выраженных симптомах заболевания предпочтение отдают системным препаратам. </w:t>
      </w:r>
    </w:p>
    <w:p w14:paraId="580B4B77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Среди системных препаратов применяется флуконазол, который ранее при лечении ВВК назначался однократно, впоследствии препарат было рекомендовано применять трехкратно. При лечении ВВК, вызванного грибами Candida non-albicans, распространенность которого в последнее время неуклонно растет, применение флуконазола неэффективно [29]. В связи с этим возрастает актуальность применения других групп противогрибковых препаратов, в т. ч. клотримазолов.</w:t>
      </w:r>
    </w:p>
    <w:p w14:paraId="445AF56A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Местные противогрибковые средства выпускают в специальных формах: вагинальных суппозиториях и таблетках, кремах, растворах для спринцеваний. Арсенал вагинальных форм антимикотиков в России постоянно меняется, что иногда вводит врачей в заблуждение относительно доступных в настоящее время препаратов. В России зарегистрированы вагинальные формы изоконазола, клотримазола, миконазола, эконазола и т. д. </w:t>
      </w:r>
    </w:p>
    <w:p w14:paraId="7085AD89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Вагинальные кремы рекомендуют назначать для лечения вульвитов, сочетания вульвитов и вагинитов, таблетированные формы и суппозитории – для лечения вагинитов. Препараты, как правило, вводят перед сном с помощью прилагаемых аппликаторов (кремы) или напальчников (суппозитории). </w:t>
      </w:r>
    </w:p>
    <w:p w14:paraId="535F4C4A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 Интравагинальное и пероральное применение препаратов одинаково эффективно (уровень доказательности ΙΙ, класс А). Однако местные формы более безопасны, т. к. практически не оказывают системного действия и создают высокие концентрации активного вещества в месте применения.</w:t>
      </w:r>
    </w:p>
    <w:p w14:paraId="09FEA5E7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Используют следующие основные противогрибковые препараты:</w:t>
      </w:r>
    </w:p>
    <w:p w14:paraId="092F3B6E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• полиенового ряда (натамицин, нистатин);</w:t>
      </w:r>
    </w:p>
    <w:p w14:paraId="74079A63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• имидазолового ряда (клотримазол, сертаконазол, кетоконазол, бутоконазол, фентиконазол, миконазол, эконазол, омоконазол, тернидазол и др.);</w:t>
      </w:r>
    </w:p>
    <w:p w14:paraId="62BAC757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• триазолового ряда (флуконазол, итраконазол);</w:t>
      </w:r>
    </w:p>
    <w:p w14:paraId="327E4CB7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• другие (препараты йода и др.) [25–28].</w:t>
      </w:r>
    </w:p>
    <w:p w14:paraId="3251E8D7" w14:textId="77777777" w:rsidR="00725F4E" w:rsidRPr="00502810" w:rsidRDefault="00725F4E" w:rsidP="003121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Несмотря на бурное развитие фармакологической индустрии и огромный выбор антимикотических препаратов, проблема лечения кандидозного вульвовагинита не теряет своей актуальности. Учитывая высокую частоту заболевания, длительное течение, частое рецидивирование процесса, можно предположить, что, вероятнее всего, в основе лежит необоснованный подход к диагностике и лечению данного заболевания. Возбудителем хронического рецидивирующего вульвовагинита в 85% случаев является смешанная кандидозная инфекция, устойчивая к широко используемым антимикотическим средствам. В этой связи использование препаратов антимикотического действия, оказывающих также антимикробное действие на сопутствующую микробную флору, имеет принципиальное значение. Примером такого препарата является клотримазол (имидазоловый ряд), </w:t>
      </w:r>
      <w:r w:rsidRPr="00502810">
        <w:rPr>
          <w:rFonts w:ascii="Times New Roman" w:hAnsi="Times New Roman" w:cs="Times New Roman"/>
          <w:sz w:val="28"/>
          <w:szCs w:val="28"/>
        </w:rPr>
        <w:lastRenderedPageBreak/>
        <w:t xml:space="preserve">который эффективен в отношении дерматофитов, дрожжеподобных, плесневых грибов и простейших. Оказывает антимикробное действие в отношении грамположительных (Streptococcus spp., Staphylococcus spp.) и анаэробов (Bacteroides spp., Gardnerella vaginalis). Клотримазол не оказывает влияния на лактобацилы. In vitro в концентрации 0,5–10 мкг/мл клотримазол подавляет размножение бактерий семейства Corinebacteria и грамположительных кокков (за исключением энтерококков); оказывает трихомонацидное действие в концентрации 100 мкг/мл [30]. </w:t>
      </w:r>
    </w:p>
    <w:p w14:paraId="0B5E4A37" w14:textId="77777777" w:rsidR="00725F4E" w:rsidRPr="00502810" w:rsidRDefault="00725F4E" w:rsidP="003121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При применении клотримазола интравагинально (таблетки – 100, 200, 500 мг; суппозитории – 100 мг) абсорбция составляет 3–10% введенной дозы. Высокие концентрации в вагинальном секрете и низкие концентрации в крови сохраняются в течение 48–72 ч. В печени метаболизируется до неактивных метаболитов, выводимых из организма почками и через кишечник. </w:t>
      </w:r>
    </w:p>
    <w:p w14:paraId="3B51C5BF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Клотримазол 2% крем (10 мг), используемый для наружного применения, за счет воздействия активного вещества (клотримазол), проникает внутрь грибковой клетки и нарушает синтез эргостерина, входящего в состав клеточной мембраны грибов, что изменяет проницаемость мембраны и вызывает последующий лизис клетки. В фунгицидных концентрациях взаимодействует с митохондриальными и пероксидазными ферментами, в результате чего происходит увеличение концентрации перекиси водорода до токсического уровня, что также способствует разрушению грибковых клеток. Точно так же Клотримазол воздействует на болезнетворные бактерии (грамположительные (Streptococcus spp., Staphylococcus spp.) микроорганизмы и анаэробы (Bacteroides spp., Gardnerella vaginalis)), которые вызывают вульвиты и вагиниты [30].</w:t>
      </w:r>
    </w:p>
    <w:p w14:paraId="4B1BF8D8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Преимущество использования 2% крема Клотримазол перед другими формами антимикотиков заключается в том, что данная форма эффективна при лечении рецидивирующих кандидозных вульвитов с присоединением бактериальной инфекции у женщин, а также для лечения баланопостита у их половых партнеров, в связи с антимикробным действием препарата. Лечение Клотримазолом (2% крем) мужчин следует начинать сразу при появлении первых симптомов заболевания. Запущенная инфекция может перерасти в хроническую форму или спровоцировать серьезные последствия – появление простатита и везикулита. В некоторых случаях грибы способны поражать мочевой пузырь и почки. </w:t>
      </w:r>
    </w:p>
    <w:p w14:paraId="0B2642C0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Кроме этого, 2% крем Клотримазол целесообразно использовать при лечении вульвитов у ВИЧ-инфицированных пациенток и пациенток с сахарным диабетом в связи с частым наличием у данных пациенток тяжелых форм рецидивирующего ВВК.</w:t>
      </w:r>
    </w:p>
    <w:p w14:paraId="55DB6FC7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Преимущества 2% крема Клотримазол перед 1% кремом заключаются в более высокой концентрации активного вещества в месте применения и, следовательно, в уменьшении длительности курса лечения – 2% крем </w:t>
      </w:r>
      <w:r w:rsidRPr="00502810">
        <w:rPr>
          <w:rFonts w:ascii="Times New Roman" w:hAnsi="Times New Roman" w:cs="Times New Roman"/>
          <w:sz w:val="28"/>
          <w:szCs w:val="28"/>
        </w:rPr>
        <w:lastRenderedPageBreak/>
        <w:t>применяется для лечения ВВК 1 раз в сутки в течение 3 дней, 1% крем – 1 раз в сутки в течение 7 дней.</w:t>
      </w:r>
    </w:p>
    <w:p w14:paraId="5E5C0FB1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Основными преимуществами Клотримазола перед иными противогрибковыми средствами являются:</w:t>
      </w:r>
    </w:p>
    <w:p w14:paraId="0CD2D072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• эффективное воздействие на патогенные формы грибов и сопутствующую бактериальную флору – грамположительные (Streptococcus spp., Staphylococcus spp.) и анаэробы (Bacteroides spp., Gardnerella vaginalis), клотримазол подавляет размножение бактерий семейства Corinebacteria и грамположительных кокков (за исключением энтерококков); оказывает трихомонацидное действие, приводящее к гибели трихомонад и, соответственно, к полному излечению от заболевания;</w:t>
      </w:r>
    </w:p>
    <w:p w14:paraId="0E936269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• минимальное количество противопоказаний к использованию и побочных эффектов, что связано с местным применением клотримазола;</w:t>
      </w:r>
    </w:p>
    <w:p w14:paraId="47330413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• экономическая доступность препарата.</w:t>
      </w:r>
    </w:p>
    <w:p w14:paraId="0B303402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Основные профилактические меры</w:t>
      </w:r>
    </w:p>
    <w:p w14:paraId="5347E1CE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Выздоровлению будет способствовать непрерывная профилактика ВВК, которая должна включать следующие рекомендации для пациенток:</w:t>
      </w:r>
    </w:p>
    <w:p w14:paraId="07AE74B4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• использовать при половых контактах барьерный метод защиты (презерватив); особенно важно следовать этому правилу женщинам, у которых нет постоянного сексуального партнера;</w:t>
      </w:r>
    </w:p>
    <w:p w14:paraId="4ABFE133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• провести обследование организма и выявить скрытые заболевания (особенно мочеполовой системы);</w:t>
      </w:r>
    </w:p>
    <w:p w14:paraId="3E2F4A21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• отказаться от половых контактов с больным кандидозом человеком до его выздоровления;</w:t>
      </w:r>
    </w:p>
    <w:p w14:paraId="373B9D58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• заниматься лечением основного заболевания, спровоцировавшего снижение иммунитета;</w:t>
      </w:r>
    </w:p>
    <w:p w14:paraId="05100C25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• по возможности отказаться от гормональных контрацептивов, под действием которых гормональный фон становится благоприятной основой для роста грибков;</w:t>
      </w:r>
    </w:p>
    <w:p w14:paraId="53AE8C61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• при лечении антибиотиками дополнительно употреблять антимикотические лекарственные препараты;</w:t>
      </w:r>
    </w:p>
    <w:p w14:paraId="6A4C5421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• отказаться, хотя бы частично, от белья из синтетических материалов; </w:t>
      </w:r>
    </w:p>
    <w:p w14:paraId="0D446F9A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• соблюдать гигиену интимных мест;</w:t>
      </w:r>
    </w:p>
    <w:p w14:paraId="157A12DB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• отказаться от жестких диет и питаться рационально; </w:t>
      </w:r>
    </w:p>
    <w:p w14:paraId="07321FF9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• не злоупотреблять спиртными напитками, отказаться от курения [1, 5, 22].</w:t>
      </w:r>
    </w:p>
    <w:p w14:paraId="290140B7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Наблюдение и дальнейшее ведение</w:t>
      </w:r>
    </w:p>
    <w:p w14:paraId="301C7B3B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Критерии эффективности лечения ВВК – исчезновение симптомов заболевания в сочетании с отрицательными результатами микробиологического исследования.</w:t>
      </w:r>
    </w:p>
    <w:p w14:paraId="4FB05C9A" w14:textId="77777777" w:rsidR="00725F4E" w:rsidRPr="00502810" w:rsidRDefault="00725F4E" w:rsidP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Прогноз</w:t>
      </w:r>
    </w:p>
    <w:p w14:paraId="3BDD5570" w14:textId="77777777" w:rsidR="00C958BB" w:rsidRDefault="00725F4E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    Прогноз благоприятный.</w:t>
      </w:r>
    </w:p>
    <w:p w14:paraId="4C8E6FC6" w14:textId="77777777" w:rsidR="00297BC9" w:rsidRDefault="00297BC9">
      <w:pPr>
        <w:rPr>
          <w:rFonts w:ascii="Times New Roman" w:hAnsi="Times New Roman" w:cs="Times New Roman"/>
          <w:sz w:val="28"/>
          <w:szCs w:val="28"/>
        </w:rPr>
      </w:pPr>
    </w:p>
    <w:p w14:paraId="605ED580" w14:textId="77777777" w:rsidR="00297BC9" w:rsidRDefault="00297BC9">
      <w:pPr>
        <w:rPr>
          <w:rFonts w:ascii="Times New Roman" w:hAnsi="Times New Roman" w:cs="Times New Roman"/>
          <w:sz w:val="28"/>
          <w:szCs w:val="28"/>
        </w:rPr>
      </w:pPr>
    </w:p>
    <w:p w14:paraId="5326B7CC" w14:textId="77777777" w:rsidR="00297BC9" w:rsidRPr="00502810" w:rsidRDefault="00297BC9">
      <w:pPr>
        <w:rPr>
          <w:rFonts w:ascii="Times New Roman" w:hAnsi="Times New Roman" w:cs="Times New Roman"/>
          <w:sz w:val="28"/>
          <w:szCs w:val="28"/>
        </w:rPr>
      </w:pPr>
    </w:p>
    <w:p w14:paraId="35238D31" w14:textId="77777777" w:rsidR="00876A26" w:rsidRPr="00297BC9" w:rsidRDefault="00876A26" w:rsidP="003B124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97BC9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Литература</w:t>
      </w:r>
    </w:p>
    <w:p w14:paraId="2FEC7308" w14:textId="77777777" w:rsidR="00E54979" w:rsidRPr="00502810" w:rsidRDefault="00876A26" w:rsidP="00876A26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 xml:space="preserve">1. Руководство по амбулаторно-поликлинической помощи в акушерстве и гинекологии / под ред. В.Н. Серова, Г.Т. Сухих, В.Н. Прилепской, В.Е. Радзинского. М.: ГЭОТАР-Медиа, 2016. 1136 с. </w:t>
      </w:r>
    </w:p>
    <w:p w14:paraId="1D05D8C5" w14:textId="77777777" w:rsidR="00876A26" w:rsidRPr="00502810" w:rsidRDefault="00E54979" w:rsidP="00876A26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>2.</w:t>
      </w:r>
      <w:r w:rsidR="00876A26" w:rsidRPr="00502810">
        <w:rPr>
          <w:rFonts w:ascii="Times New Roman" w:hAnsi="Times New Roman" w:cs="Times New Roman"/>
          <w:sz w:val="28"/>
          <w:szCs w:val="28"/>
        </w:rPr>
        <w:t xml:space="preserve"> Петерсен Э.Э. Инфекции в акушерстве и гинекологии / пер. с англ. / под общей ред. В.Н. Прилепской. М.: МЕДпресс-информ, 2007. 352 с. </w:t>
      </w:r>
    </w:p>
    <w:p w14:paraId="0459AF66" w14:textId="77777777" w:rsidR="00876A26" w:rsidRPr="00502810" w:rsidRDefault="00876A26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>3. Международная статистическая классификация болезней и проблем, связанных со здоровьем (МКБ-10). Всемирная организация здравоохранения. Женева, 2005</w:t>
      </w:r>
    </w:p>
    <w:p w14:paraId="7FAA8782" w14:textId="77777777" w:rsidR="002C2EEE" w:rsidRPr="00502810" w:rsidRDefault="003B124D">
      <w:pPr>
        <w:rPr>
          <w:rFonts w:ascii="Times New Roman" w:hAnsi="Times New Roman" w:cs="Times New Roman"/>
          <w:sz w:val="28"/>
          <w:szCs w:val="28"/>
        </w:rPr>
      </w:pPr>
      <w:r w:rsidRPr="00502810">
        <w:rPr>
          <w:rFonts w:ascii="Times New Roman" w:hAnsi="Times New Roman" w:cs="Times New Roman"/>
          <w:sz w:val="28"/>
          <w:szCs w:val="28"/>
        </w:rPr>
        <w:t>4. Прилепская В.Н., Байрамова Г.Р. Вульвовагинальный кандидоз. Клиника, диагностика, принципы терапии. М.: ГЭОТАР-Медиа. 2010. 80 с.</w:t>
      </w:r>
    </w:p>
    <w:sectPr w:rsidR="002C2EEE" w:rsidRPr="00502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A1D7C" w14:textId="77777777" w:rsidR="006170B3" w:rsidRDefault="006170B3" w:rsidP="009E477C">
      <w:r>
        <w:separator/>
      </w:r>
    </w:p>
  </w:endnote>
  <w:endnote w:type="continuationSeparator" w:id="0">
    <w:p w14:paraId="757756F8" w14:textId="77777777" w:rsidR="006170B3" w:rsidRDefault="006170B3" w:rsidP="009E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160AD" w14:textId="77777777" w:rsidR="006170B3" w:rsidRDefault="006170B3" w:rsidP="009E477C">
      <w:r>
        <w:separator/>
      </w:r>
    </w:p>
  </w:footnote>
  <w:footnote w:type="continuationSeparator" w:id="0">
    <w:p w14:paraId="50016AEB" w14:textId="77777777" w:rsidR="006170B3" w:rsidRDefault="006170B3" w:rsidP="009E4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63B70"/>
    <w:multiLevelType w:val="hybridMultilevel"/>
    <w:tmpl w:val="1262C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9546E"/>
    <w:multiLevelType w:val="hybridMultilevel"/>
    <w:tmpl w:val="8CC87AC8"/>
    <w:lvl w:ilvl="0" w:tplc="0419000F">
      <w:start w:val="1"/>
      <w:numFmt w:val="decimal"/>
      <w:lvlText w:val="%1."/>
      <w:lvlJc w:val="left"/>
      <w:pPr>
        <w:ind w:left="944" w:hanging="360"/>
      </w:p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2" w15:restartNumberingAfterBreak="0">
    <w:nsid w:val="6689699D"/>
    <w:multiLevelType w:val="hybridMultilevel"/>
    <w:tmpl w:val="DCD0A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77840"/>
    <w:multiLevelType w:val="hybridMultilevel"/>
    <w:tmpl w:val="DE10966C"/>
    <w:lvl w:ilvl="0" w:tplc="50E4AEDC">
      <w:start w:val="1"/>
      <w:numFmt w:val="upperRoman"/>
      <w:lvlText w:val="%1."/>
      <w:lvlJc w:val="left"/>
      <w:pPr>
        <w:ind w:left="840" w:hanging="524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8"/>
        <w:lang w:val="ru-RU" w:eastAsia="ru-RU" w:bidi="ru-RU"/>
      </w:rPr>
    </w:lvl>
    <w:lvl w:ilvl="1" w:tplc="A44200C6">
      <w:numFmt w:val="bullet"/>
      <w:lvlText w:val="•"/>
      <w:lvlJc w:val="left"/>
      <w:pPr>
        <w:ind w:left="1796" w:hanging="524"/>
      </w:pPr>
      <w:rPr>
        <w:rFonts w:hint="default"/>
        <w:lang w:val="ru-RU" w:eastAsia="ru-RU" w:bidi="ru-RU"/>
      </w:rPr>
    </w:lvl>
    <w:lvl w:ilvl="2" w:tplc="11869ED4">
      <w:numFmt w:val="bullet"/>
      <w:lvlText w:val="•"/>
      <w:lvlJc w:val="left"/>
      <w:pPr>
        <w:ind w:left="2753" w:hanging="524"/>
      </w:pPr>
      <w:rPr>
        <w:rFonts w:hint="default"/>
        <w:lang w:val="ru-RU" w:eastAsia="ru-RU" w:bidi="ru-RU"/>
      </w:rPr>
    </w:lvl>
    <w:lvl w:ilvl="3" w:tplc="BA04D620">
      <w:numFmt w:val="bullet"/>
      <w:lvlText w:val="•"/>
      <w:lvlJc w:val="left"/>
      <w:pPr>
        <w:ind w:left="3710" w:hanging="524"/>
      </w:pPr>
      <w:rPr>
        <w:rFonts w:hint="default"/>
        <w:lang w:val="ru-RU" w:eastAsia="ru-RU" w:bidi="ru-RU"/>
      </w:rPr>
    </w:lvl>
    <w:lvl w:ilvl="4" w:tplc="0EC4EF18">
      <w:numFmt w:val="bullet"/>
      <w:lvlText w:val="•"/>
      <w:lvlJc w:val="left"/>
      <w:pPr>
        <w:ind w:left="4667" w:hanging="524"/>
      </w:pPr>
      <w:rPr>
        <w:rFonts w:hint="default"/>
        <w:lang w:val="ru-RU" w:eastAsia="ru-RU" w:bidi="ru-RU"/>
      </w:rPr>
    </w:lvl>
    <w:lvl w:ilvl="5" w:tplc="EA323E4E">
      <w:numFmt w:val="bullet"/>
      <w:lvlText w:val="•"/>
      <w:lvlJc w:val="left"/>
      <w:pPr>
        <w:ind w:left="5624" w:hanging="524"/>
      </w:pPr>
      <w:rPr>
        <w:rFonts w:hint="default"/>
        <w:lang w:val="ru-RU" w:eastAsia="ru-RU" w:bidi="ru-RU"/>
      </w:rPr>
    </w:lvl>
    <w:lvl w:ilvl="6" w:tplc="AA564BAC">
      <w:numFmt w:val="bullet"/>
      <w:lvlText w:val="•"/>
      <w:lvlJc w:val="left"/>
      <w:pPr>
        <w:ind w:left="6581" w:hanging="524"/>
      </w:pPr>
      <w:rPr>
        <w:rFonts w:hint="default"/>
        <w:lang w:val="ru-RU" w:eastAsia="ru-RU" w:bidi="ru-RU"/>
      </w:rPr>
    </w:lvl>
    <w:lvl w:ilvl="7" w:tplc="63DE95E2">
      <w:numFmt w:val="bullet"/>
      <w:lvlText w:val="•"/>
      <w:lvlJc w:val="left"/>
      <w:pPr>
        <w:ind w:left="7538" w:hanging="524"/>
      </w:pPr>
      <w:rPr>
        <w:rFonts w:hint="default"/>
        <w:lang w:val="ru-RU" w:eastAsia="ru-RU" w:bidi="ru-RU"/>
      </w:rPr>
    </w:lvl>
    <w:lvl w:ilvl="8" w:tplc="73F641DC">
      <w:numFmt w:val="bullet"/>
      <w:lvlText w:val="•"/>
      <w:lvlJc w:val="left"/>
      <w:pPr>
        <w:ind w:left="8495" w:hanging="524"/>
      </w:pPr>
      <w:rPr>
        <w:rFonts w:hint="default"/>
        <w:lang w:val="ru-RU" w:eastAsia="ru-RU" w:bidi="ru-RU"/>
      </w:rPr>
    </w:lvl>
  </w:abstractNum>
  <w:num w:numId="1" w16cid:durableId="483087060">
    <w:abstractNumId w:val="2"/>
  </w:num>
  <w:num w:numId="2" w16cid:durableId="1440837924">
    <w:abstractNumId w:val="1"/>
  </w:num>
  <w:num w:numId="3" w16cid:durableId="1475180201">
    <w:abstractNumId w:val="0"/>
  </w:num>
  <w:num w:numId="4" w16cid:durableId="7260315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2B2"/>
    <w:rsid w:val="0004467F"/>
    <w:rsid w:val="002132B2"/>
    <w:rsid w:val="002521A6"/>
    <w:rsid w:val="00297BC9"/>
    <w:rsid w:val="002C2EEE"/>
    <w:rsid w:val="003121DD"/>
    <w:rsid w:val="003B124D"/>
    <w:rsid w:val="003F1804"/>
    <w:rsid w:val="00405827"/>
    <w:rsid w:val="00435AC0"/>
    <w:rsid w:val="00502810"/>
    <w:rsid w:val="005D0D2E"/>
    <w:rsid w:val="005E637D"/>
    <w:rsid w:val="006170B3"/>
    <w:rsid w:val="00627088"/>
    <w:rsid w:val="00642FCD"/>
    <w:rsid w:val="00725F4E"/>
    <w:rsid w:val="00747BCF"/>
    <w:rsid w:val="00835232"/>
    <w:rsid w:val="00844D97"/>
    <w:rsid w:val="00876A26"/>
    <w:rsid w:val="009C050A"/>
    <w:rsid w:val="009D52E1"/>
    <w:rsid w:val="009E477C"/>
    <w:rsid w:val="00BD1D8C"/>
    <w:rsid w:val="00C16D3E"/>
    <w:rsid w:val="00C958BB"/>
    <w:rsid w:val="00CC4491"/>
    <w:rsid w:val="00DE4621"/>
    <w:rsid w:val="00E54979"/>
    <w:rsid w:val="00EE5229"/>
    <w:rsid w:val="00F1622E"/>
    <w:rsid w:val="00F7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412D5"/>
  <w15:chartTrackingRefBased/>
  <w15:docId w15:val="{0DBD758D-307D-0345-B78D-46CE6E63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5497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47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E477C"/>
  </w:style>
  <w:style w:type="paragraph" w:styleId="a6">
    <w:name w:val="footer"/>
    <w:basedOn w:val="a"/>
    <w:link w:val="a7"/>
    <w:uiPriority w:val="99"/>
    <w:unhideWhenUsed/>
    <w:rsid w:val="009E47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E477C"/>
  </w:style>
  <w:style w:type="paragraph" w:styleId="a8">
    <w:name w:val="Body Text"/>
    <w:basedOn w:val="a"/>
    <w:link w:val="a9"/>
    <w:uiPriority w:val="1"/>
    <w:qFormat/>
    <w:rsid w:val="00CC4491"/>
    <w:pPr>
      <w:widowControl w:val="0"/>
      <w:autoSpaceDE w:val="0"/>
      <w:autoSpaceDN w:val="0"/>
      <w:ind w:left="258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CC4491"/>
    <w:rPr>
      <w:rFonts w:ascii="Times New Roman" w:eastAsia="Times New Roman" w:hAnsi="Times New Roman" w:cs="Times New Roman"/>
      <w:sz w:val="28"/>
      <w:szCs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3144</Words>
  <Characters>17925</Characters>
  <Application>Microsoft Office Word</Application>
  <DocSecurity>0</DocSecurity>
  <Lines>149</Lines>
  <Paragraphs>42</Paragraphs>
  <ScaleCrop>false</ScaleCrop>
  <Company/>
  <LinksUpToDate>false</LinksUpToDate>
  <CharactersWithSpaces>21027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Тарасова</dc:creator>
  <cp:keywords/>
  <dc:description/>
  <cp:lastModifiedBy>Игорь Чалков</cp:lastModifiedBy>
  <cp:revision>4</cp:revision>
  <dcterms:created xsi:type="dcterms:W3CDTF">2022-05-14T08:49:00Z</dcterms:created>
  <dcterms:modified xsi:type="dcterms:W3CDTF">2022-06-21T04:56:00Z</dcterms:modified>
</cp:coreProperties>
</file>