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Федеральное государственное бюджетное образовательное учреждение высшего образования</w:t>
      </w:r>
    </w:p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"Красноярский государственный медицинский университет имени профессора В.Ф.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Войно-Ясенецкого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>"</w:t>
      </w:r>
    </w:p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Министерства здравоохранения Российской Федерации</w:t>
      </w:r>
    </w:p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Кафедра патологической анатомии имени профессора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П.Г.Подзолкова</w:t>
      </w:r>
      <w:proofErr w:type="spellEnd"/>
    </w:p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РЕФЕРАТ</w:t>
      </w:r>
    </w:p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49246C" w:rsidRPr="00A869AF" w:rsidRDefault="0049246C" w:rsidP="0049246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«Патологическая анатомия </w:t>
      </w:r>
      <w:proofErr w:type="spellStart"/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>миеломной</w:t>
      </w:r>
      <w:proofErr w:type="spellEnd"/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 болезни»</w:t>
      </w:r>
    </w:p>
    <w:p w:rsidR="0049246C" w:rsidRPr="00A869AF" w:rsidRDefault="0049246C" w:rsidP="0049246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49246C" w:rsidRPr="00A869AF" w:rsidRDefault="0049246C" w:rsidP="0049246C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Выполнил: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ординатор 2-го года</w:t>
      </w:r>
    </w:p>
    <w:p w:rsidR="0049246C" w:rsidRPr="00A869AF" w:rsidRDefault="0049246C" w:rsidP="0049246C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Воробович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 Никита Сергеевич</w:t>
      </w:r>
    </w:p>
    <w:p w:rsidR="0049246C" w:rsidRPr="00A869AF" w:rsidRDefault="0049246C" w:rsidP="0049246C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sz w:val="36"/>
          <w:szCs w:val="36"/>
        </w:rPr>
        <w:t xml:space="preserve">Специальность: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патологическая анатомия</w:t>
      </w:r>
    </w:p>
    <w:p w:rsidR="0049246C" w:rsidRPr="00A869AF" w:rsidRDefault="0049246C" w:rsidP="0049246C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Руководитель: </w:t>
      </w:r>
      <w:r w:rsidRPr="00A869AF">
        <w:rPr>
          <w:rFonts w:ascii="Times New Roman" w:eastAsia="TimesNewRomanPSMT" w:hAnsi="Times New Roman" w:cs="Times New Roman"/>
          <w:bCs/>
          <w:sz w:val="36"/>
          <w:szCs w:val="36"/>
        </w:rPr>
        <w:t xml:space="preserve">зав. кафедрой,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К.М.Н., </w:t>
      </w:r>
    </w:p>
    <w:p w:rsidR="0049246C" w:rsidRPr="00A869AF" w:rsidRDefault="0049246C" w:rsidP="0049246C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  <w:hyperlink r:id="rId4" w:history="1">
        <w:proofErr w:type="spellStart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>Хоржевский</w:t>
        </w:r>
        <w:proofErr w:type="spellEnd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 xml:space="preserve"> Владимир Алексеевич</w:t>
        </w:r>
      </w:hyperlink>
    </w:p>
    <w:p w:rsidR="0049246C" w:rsidRPr="00A869AF" w:rsidRDefault="0049246C" w:rsidP="0049246C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49246C" w:rsidRPr="00A869AF" w:rsidRDefault="0049246C" w:rsidP="0049246C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49246C" w:rsidRPr="00A869AF" w:rsidRDefault="0049246C" w:rsidP="0049246C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49246C" w:rsidRPr="00A869AF" w:rsidRDefault="0049246C" w:rsidP="0049246C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Красноярск, 2022</w:t>
      </w:r>
    </w:p>
    <w:p w:rsidR="007C12A7" w:rsidRDefault="007C12A7" w:rsidP="007C12A7"/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ДИЗЕНТЕРИЯ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dysenteria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греч,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dys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+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enteron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кишка, кишечник) — инфекционная болезнь, характеризующаяся признаками интоксикации организма, преимущественным функциональным и морфологическим поражением толстой кишки, вызываемая бактериями из рода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12A7" w:rsidRPr="007C12A7" w:rsidRDefault="007C12A7" w:rsidP="007C12A7">
      <w:pPr>
        <w:shd w:val="clear" w:color="auto" w:fill="FFFFFF"/>
        <w:spacing w:before="259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ИСТОРИЯ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Дизентерия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известна с древнейших времен, болезнь была знакома Гиппократу, который и дал ей название. Обстоятельное по тому времени (1 в. н. э.) описание «натужного поно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са» оставил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Аретей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 тех пор Дизентерия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постоянно упоминается на страницах мед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итературы. Эпидемии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изентерии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Европе описаны уже в 6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а в 16—19 вв. о Д. говорится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многих исторических описаниях.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Дизентрия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всегда сопутствовала войнам, голоду и другим социальным потрясениям.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Доптер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(G.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Dopter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) писал, что во все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сторические эпохи бациллярная Дизентерия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постоянным бичом армий во время войн, вызывая иногда поражения более ужасные, чем огонь врага.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Показательны в этом отношении войны конца 19 в.— начала 20 в. В гражданскую войну в СШ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(1861 —1865) за четыре года Дизентерией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заболело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287 000 чел., из которых умерло 9431, а заболеваемость так наз. диареей составила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1,5 млн. случаев; при этом умерло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35 тыс. чел. Очевидно, что среди последней категории больных было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значительное число страдавших Дизентерией.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Еще большей была заболеваемость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изентерией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время других войн.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 Великую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ечественную войну заболевания Дизентерией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советских войсках, по материалам Т. Е. Болдырева (1955), составили 66,02% всех инфекционных болезней; из общего числа заболеваний в действующей армии — 48,7 5%, в тыловых войсках — 51,25%.</w:t>
      </w:r>
    </w:p>
    <w:p w:rsidR="007C12A7" w:rsidRPr="007C12A7" w:rsidRDefault="007C12A7" w:rsidP="007C12A7">
      <w:pPr>
        <w:shd w:val="clear" w:color="auto" w:fill="FFFFFF"/>
        <w:spacing w:before="259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ЭТИОЛОГИЯ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Возбудители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изентерии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ба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ктерии рода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Shigella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трибы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Escherichieae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семейства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Enterobacteriaceae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грамотрицательные бактерии длиной от 2 до 4 мкм и шириной от 0,5 до 0,8 мкм, не имеющие жгутиков и капсулы, не образующие спор и пигмента, хорошо окрашивающиеся анилин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овыми красителями. Возбудители дизентерии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хорошо растут в аэробных условиях на простых питательных средах. 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роду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Shigella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относятся бактерии, постоянно ферментирующие глюкозу и непостоянно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маннит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дульцит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лактозу, сахарозу, не образующие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к-ты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росте на средах с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адонитом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инозитом и салицином, не утилизирующие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малонат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фенилаланин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цитрат (на средах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Кристенсена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Симмонса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не способные разжижать желатину, расщеплять мочевину и образовывать сероводород, дающие положительную реакцию с метиловым красным и отрицательную реакцию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Фогеса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Проскауэра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редуцирующие 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нитраты, не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растущие на среде с KCN, образующие и не образующие индол. Основной дифференциальный признак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расщепление углеводов без газообразования. Исключение составляют некоторые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биохим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варианты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Ньюкасл,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сбраживающие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глюкозу с образованием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к-ты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газа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подвида Ньюкасл впервые были выделены в 1925 —1929 гг. в Англии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Клейтоном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(F.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Clayton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Уорреном (S.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Warren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1931 г.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Дауни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(A.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Downie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с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в 1931 —1938 гг.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Бойд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(J. S.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Boyd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описали сходные бактерии,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серологически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идентичные, но отличающиеся по ферментации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маннита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Бойд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показал, что, несмотря на некоторые различия в ферментативной активности, микробы Ньюкасл,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Дентон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нчестер и Бойд-88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серологически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идентичны.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подвида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Бойда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впервые были обнаружены англ. ученым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Бойдом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1932—1938 гг. У нас в стране их роль в этиологии Д. установила Э. М. Новгородская с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 (1943). Она описала серотипы II, IV (1943) и VI (1945). Серотипы этого подвида обладают типоспецифическими антигенами.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получили наименование в честь датского ученого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Sonne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подробно описавшего в 1915 г. этих возбудителей Д.,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серологически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отличавшихся от всех известных ранее и способных медленно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сбраживать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лактозу.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склонны к диссоциации и дают на твердых питательных средах круглые, гладкие колонии (S-форма) и плоские, шероховатые (R-форма). Установлено, что R-формы являются мутантами S-форм, в которых блокированы определенные ступени биосинтеза полисахарида.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Серологически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обособлены от остальных возбудителей Д.; установлено два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антигенных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компонента, характерных для круглых и плоских вариантов. Гладкие и переходные варианты в своем составе имеют примесь R-компонента. Преобладание R-форм в культурах ведет к спонтанной агглютинации со всеми (или большинством) дизентерийными агглютинирующими сыворотками.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Образование токсинов изучено гл. обр. у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Григорьева —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продуцирующих два вида токсинов: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термолабильный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экзотоксин 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термостабильный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эндотоксин. Экзотоксин, образуемый S- и R-формами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обладает выраженным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нейротропным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действием, поражает у подопытных животных кровеносные сосуды, особенно сосуды серого вещества головного и спинного мозга.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Термостабилыгый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эндотоксин, так наз.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энтеротоксин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соответствует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О-антигену</w:t>
      </w:r>
      <w:proofErr w:type="spellEnd"/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(комплекс из полисахаридных, липоидных и протеиновых соединений), вызывает у подопытных животных кишечные и другие нарушения, такие как лейкопения, повышение температуры, снижение гликогена в печени и содержания аскорбиновой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к-ты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надпочечниках, кровотечения. Эндотоксин обнаружен у всех представителей рода. Механизм патогенного действия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обусловлен эндотоксином, освобождающимся при их гибели.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 всех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обнаружен также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термолабильный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эндотоксин или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нейротоксин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(липопротеидная часть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О-антигена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лишенная полисахаридов)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напоминающий токсическим действием экзотоксин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Григорьева—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Показан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цитопатических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эффект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нейротоксина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культуре клеток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HeLa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эмбриональной ткани человека. Продукция токсина в пищевых продуктах (молоке)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происходит интенсивнее, чем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Флекснера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 Эндотоксин S-форм более токсичен, чем R-форм.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Возбудители Д. характеризуются неодинаковой устойчивостью к окружающей среде. Наименее устойчивы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Григорьева—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наиболее устойчивы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воде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открытых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водоисточников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выживают до 48,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Флекснера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до 9 —13 и Ньюкасл до б —16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сут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водопроводной воде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Ньюкасл выживают до 61 — 80 дней (при комнатной температуре). В молоке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Григорьева —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сохраняют жизнеспособность при комнатной температуре 2—3 дня, Штуцера—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Шмитца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3—5,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Флекснера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2—6, Ньюкасл — 3—6,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6—10 дней. Особенно долго могут сохраняться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сливочном масле при хранении в холодильнике (до 6—8 мес.).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Возбудители Д. характеризуются выраженной лекарственной устойчивостью, особенно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12A7" w:rsidRPr="007C12A7" w:rsidRDefault="007C12A7" w:rsidP="007C12A7">
      <w:pPr>
        <w:shd w:val="clear" w:color="auto" w:fill="FFFFFF"/>
        <w:spacing w:before="259" w:after="13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ЭПИДЕМИОЛОГИЯ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Эпидемиология Д. определяется ее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полиэтиологичностью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полиморфизмом клин, проявлений, многофакторностью фекально-орального механизма передачи, высокой устойчивостью возбудителей,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вид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типоспецифичностью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постинфекционного иммунитета, всеобщей восприимчивостью, особенно высокой у детей.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Источником инфекции при Д. является больной человек. Заражение в основном происходит от больных легкими или стертыми формами Д., реже от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реконвалесцентов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больных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формами Д. Некоторые считают, что при Д., вызываемой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Флекснера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роль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реконвалесцентов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больных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формами как источников инфекции выше, чем при дизентерии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Наиболее часто формирование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формы Д. отмечено у детей в возрастных группах 1—2 лет (23%), 2—3 лет (29,5%). Больные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субклин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формами Д. составляют 2,6%.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Особенно велика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эпидемиол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значимость больных Д. работников пищевых предприятий. При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бактериол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обследованиях этих лиц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высеваемость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возбудителя Д. доходит до 0,2—1,2%. Больной Д. опасен для окружающих с первого дня болезни, когда выделение возбудителя в окружающую среду происходит наиболее интенсивно, а в 1 г испражнений может содержаться 104 — 106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при острой форме Д.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бактериовыделение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продолжается чаще 2—3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нед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Пути распространения. Фекально-оральный механизм передачи инфекции при Д. осуществляется с участием различных факторов распространения. Возбудитель Д. выделяется из организма больного или носителя с содержимым кишечника и может попадать на различные объекты в их окружении. При этом распространение Д. происходит контактно-бытовым, водным или пищевым путями, а также через посредство мух.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Контактно-бытовой путь распространения Д. влечет за собой заражение как при непосредственном соприкосновении с больным человеком (напр., при уходе за ним), так и через загрязненные выделениями больного (носителя) различные предметы обихода: посуду, дверные ручки, выключатели, судна, щетки для чистки одежды и т. д. В конечном итоге заражение Д. при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контактнобытовом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пути передачи инфекции происходит через руки, так или иначе загрязненные выделениями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больного; загрязненными руками возбудитель переносится либо на пищевые продукты, либо на посуду.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Контактно-бытовой путь заражения взрослых чаще наблюдался в очагах Д.,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вызываемой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Григорьева—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Согласно опытам на добровольцах в США, наиболее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вирулентны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бактерии Григорьева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(заражающая доза для взрослых 10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микробных клеток), несколько в меньшей степени —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Флекснера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наиболее распространенного подтипа 2а (заражающая доза 10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в наименьшей степени —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(заражающая доза 10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7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при контактно-бытовом пути передачи чаще наблюдается в виде спорадических случаев, реже групповых («гнездных») заболеваний. Вспышка при отсутствии мер профилактики течет обычно длительно. Инфицирование людей в этих случаях происходит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неодномоментно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заболевания нарастают постепенно и связаны, как правило, с разными источниками. В организованных коллективах, в частности в детских учреждениях, при своевременном выявлении и госпитализации больных контактно-бытовой путь распространения Д. не имеет большого значения и становится опасным при серьезных нарушениях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сан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гиг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 правил, особенно в организации питания.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Водный путь распространения Д. характеризуется острым подъемом (вспышка или эпидемия) и относительно быстрым падением заболеваемости, однако при этом остается «хвост» эпидемии за счет неполного осуществления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противоэпид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мер. Заболеваемость Д. при инфицировании водопроводной воды может быть значительной и регистрироваться среди населения, обеспечиваемого водой данного водопровода. Загрязнение возбудителем Д. колодца может обусловить также быстрый подъем заболеваемости,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к-рая</w:t>
      </w:r>
      <w:proofErr w:type="spellEnd"/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правило, возникает среди лиц, пользующихся водой из данного колодца. Заражение воды открытых водоемов может быть длительным за счет постоянного проникновения в них нечистот. В этих случаях заболеваемость Д. приобретает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характер, хотя в летнее время 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(сезон купания) могут наблюдаться подъемы заболеваемости. Т. о., заболеваемость Д. при водном пути распространения (централизованное водоснабжение) характеризуется чаще взрывным развитием, охватывая население, пользующееся общим источником водоснабжения, и при устранении источника инфицирования быстро спадает.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Пищевой путь распространения Д. нередко приобретает первостепенное значение. При этом пищевые продукты могут быть инфицированы руками неопрятных больных (носителей), работников пищевых объектов и мухами.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Многие пищевые продукты при оптимальных температурных условиях являются достаточно благоприятной средой для размножения возбудителя Д.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распространении Д. имеют пищевые продукты, которые не подвергаются термической обработке перед употреблением: молоко и молочные продукты, салаты, винегреты, холодцы, паштеты, овощи, фрукты, ягоды и др.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Вспышки Д. пищевого происхождения имеют взрывной характер, если в торговой сети, в системе общественного питания или в детском учреждении инфицируется молоко, сметана, творог, кремы и др.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Заражение продуктов и при благоприятных температурных условиях размножение в них возбудителя Д. обусловливает возникновение вспышки, протекающей клинически 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эпидемиологически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типу пищевой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токсикоинфекции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(см. 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"https://xn--90aw5c.xn--c1avg/index.php/%D0%A2%D0%9E%D0%9A%D0%A1%D0%98%D0%9A%D0%9E%D0%98%D0%9D%D0%A4%D0%95%D0%9A%D0%A6%D0%98%D0%98_%D0%9F%D0%98%D0%A9%D0%95%D0%92%D0%AB%D0%95" \o "ТОКСИКОИНФЕКЦИИ ПИЩЕВЫЕ" </w:instrTex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7C12A7">
        <w:rPr>
          <w:rFonts w:ascii="Times New Roman" w:eastAsia="Times New Roman" w:hAnsi="Times New Roman" w:cs="Times New Roman"/>
          <w:color w:val="337AB7"/>
          <w:sz w:val="28"/>
          <w:szCs w:val="28"/>
        </w:rPr>
        <w:t>Токсикоинфекции</w:t>
      </w:r>
      <w:proofErr w:type="spellEnd"/>
      <w:r w:rsidRPr="007C12A7">
        <w:rPr>
          <w:rFonts w:ascii="Times New Roman" w:eastAsia="Times New Roman" w:hAnsi="Times New Roman" w:cs="Times New Roman"/>
          <w:color w:val="337AB7"/>
          <w:sz w:val="28"/>
          <w:szCs w:val="28"/>
        </w:rPr>
        <w:t xml:space="preserve"> пищевые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Такие проявления Д. присущи обычно дизентерии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связаны, по-видимому, с массивной дозой заражения в результате интенсивного размножения возбудителя в продуктах.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Инфицирование пищевых продуктов, используемых ограниченным кругом лиц, обычно вызывает относительно небольшую заболеваемость,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к-рая</w:t>
      </w:r>
      <w:proofErr w:type="spellEnd"/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имеет место при контактно-бытовом пути передачи. Если инфицирование продуктов было однократным, то в ряде случаев причины возникновения этих заболеваний могут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 выявлены.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Сезонность. По временам года Д. распределяется неравномерно. Зимой регистрируется примерно 15% годовой заболеваемости, весной — 12% , летом — 31% , осенью — 42% , что отражает меняющееся в течение года значение отдельных путей передачи.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Случаи загрязнения воды хозяйственно-питьевых водопроводов как чрезвычайные происшествия чаще могут возникать зимой и весной; соответственно и групповые заболевания, связанные с заражением воды, обычно регистрируются в это время. Повышение заболеваемости в летний период определяется как изменением характера питания, так и возрастающими возможностями нарушения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гиг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правил приготовления, хранения и реализации пищевых продуктов. Приобретают значение и такие 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дополнительные факторы, как употребление загрязненных ягод, овощей и фруктов, а также купание в загрязненных водоемах.</w:t>
      </w:r>
    </w:p>
    <w:p w:rsidR="007C12A7" w:rsidRPr="007C12A7" w:rsidRDefault="007C12A7" w:rsidP="007C12A7">
      <w:pPr>
        <w:shd w:val="clear" w:color="auto" w:fill="FFFFFF"/>
        <w:spacing w:before="259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ПАТОГЕНЕЗ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Механизм развития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процесса при Д. сложен и недостаточно изучен.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Заражение при Д. происходит только через рот. В зависимости от функционального состояния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жел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киш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тракта, местного и общего иммунитета, а также дозы возбудителя может произойти следующее: в одних случаях под воздействием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жел.-киш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сока (соляная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к-та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лизоцим и другие факторы) возбудитель погибает в верхнем отделе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жел.-киш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тракта; в других — проходит через кишечник и выделяется в окружающую среду, не вызывая при этом заметной ответной реакции со стороны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макроорганизма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в третьих, в ответ на внедрение в организм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развивается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проце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сс с кл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инической картиной Д. По данным H. Н. Сиротинина и Е. А. Бродской (1955),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суток (иногда и дольше) могут находиться в желудке, при этом часть из них распадается, освобождая эндотоксин, выжившие бактерии продвигаются в тонкий кишечник, где могут задерживаться до нескольких суток и даже размножаться, а затем продвигаются в нижележащие отделы кишечника.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резко сниженной сопротивляемости организма и массивных дозах заражения может наблюдаться кратковременная бактериемия,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к-рая</w:t>
      </w:r>
      <w:proofErr w:type="spellEnd"/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 мнению большинства авторов, не имеет существенного патогенетического значения. Лишь при Д., вызванной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Григорьева—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особенно у детей, бактериемии принадлежит существенная роль в патогенезе болезни. Основная же роль в патогенезе Д. принадлежит токсинам возбудителя, которые всасываются и обусловливают первые проявления болезни: озноб, лихорадку и др. Все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содержат эндотоксин, а вид Григорьева —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продуцирует также и экзотоксин. Токсины в организме действуют двояко: непосредственно воздействуют на слизистую оболочку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жел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киш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 тракта и на нервные окончания, сосуды и рецепторы слизистой оболочки, а всосавшиеся токсины оказывают влияние на различные отделы нервной системы и внутренних органов.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легких, особенно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гастроэнтероколитических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 Д., при которых даже самое тщательное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бактериол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исследование кала не позволяет 'выделить возбудителей, скорее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объясняется также </w:t>
      </w:r>
      <w:hyperlink r:id="rId5" w:tooltip="ТОКСЕМИЯ" w:history="1">
        <w:r w:rsidRPr="007C12A7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токсемией</w:t>
        </w:r>
      </w:hyperlink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(см.), возникающей при разрушении основной массы бактерий. Токсемией объясняется вовлечение с первых дней заболевания в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процесс и тонкой кишки, на что указывает острое капиллярное полнокровие, обнаруживающееся в слизистой оболочке, нарушение ее двигательной, всасывательной и пищеварительной функций. Об этом же свидетельствует и обнаружение эндотоксина в сыворотке крови больных с первых дней болезни и выделение его с мочой.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Попавшие в кровь токсины, по мнению Л. С.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Бибиновой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(1932), И. В. Давыдовского (1956) и других, выделяются не только почками, но и через слизистую оболочку толстой кишки, при этом в первую очередь страдает нервно-сосудистый аппарат кишечника, а изменения в слизистой оболочке развиваются вторично. Определенную роль в патогенезе Д., очевидно, играет и аллергический фактор. По мнению А. А.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Колтыпина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(1936), В. Д. Тимакова (1949), В. О. Мохнач (1957) и др., весь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процесс в толстой кишке развивается после предварительной ее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енсибилизации. А. Ф.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Блюгер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соавт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(1972) также выявил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аутосенсибилизацию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ткани кишечника — органу, преимущественно вовлекаемому в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процесс. H. Н. Сиротинин и Е. А. Бродская (1959) считают, что Д. не является типичным аллергическим заболеванием, а заключает в себе лишь отдельные компоненты аллергии.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Наряду с непосредственным (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органотропным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воздействием на ряд органов эндотоксины Д. вызывают общие обменные нарушения в организме: блокируют окислительные реакции, нарушают водно-солевой, углеводный, белковый обмен, вызывают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полигиповитаминозы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 счет повышенной потребности организма больных в витаминах) и явления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дисбактериоза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приводят к изменению состава и количества микроэлементов, снижают содержание натрия и калия в остром периоде заболевания.</w:t>
      </w:r>
      <w:proofErr w:type="gramEnd"/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 нарушения можно рассматривать как неспецифическую реакцию организма на воздействие токсина. Со стороны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макроорганизма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ответ на внедрение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развиваются комплексные специфические и неспецифические защитные реакции, которые в большинстве случаев ведут к быстрому выздоровлению. Однако иногда процесс принимает затяжное течение, а в ряде случаев переходит в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форму.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Патогенез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Д. еще более сложен, что обусловлено наличием большого количества причин, которые нарушают ход обратного развития острого процесса, часть из них имеет место и при острой Д. К их числу относят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преморбидное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макроорганизма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функциональную неполноценность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жел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киш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тракта, пониженную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иммунобиол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реактивность и возникновение повышенной сенсибилизации организма к ряду аллергенов, поздно начатое и неправильное лечение больных, нарушение больными пищевого режима в период ранней реконвалесценции. Формирование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Д. может быть обусловлено также способностью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образовывать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L-фор-мы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пониженной вирулентностью и патогенностью. Все это препятствует проявлению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физиол</w:t>
      </w:r>
      <w:proofErr w:type="spellEnd"/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защитных механизмов и ведет к переходу острой Д. в хроническую.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мнению Н. И. Рагозы (1949), А. Ф.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Билибина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(1958, 1959), Б.М.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Домрачева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(1966), И. В. Сепии (1963) и др., при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хрон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Д. явления интоксикации играют вторичную роль, а на первое место выступают прогрессирующие нарушения всасывательной и пищеварительной функций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жел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киш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. тракта.</w:t>
      </w:r>
    </w:p>
    <w:p w:rsidR="007C12A7" w:rsidRPr="007C12A7" w:rsidRDefault="007C12A7" w:rsidP="007C12A7">
      <w:pPr>
        <w:shd w:val="clear" w:color="auto" w:fill="FFFFFF"/>
        <w:spacing w:before="259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ПАТОЛОГИЧЕСКАЯ АНАТОМИЯ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Характерные для Д.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изменения возникают в дистальных отделах пищеварительного тракта. В развитии дизентерийных колитов можно выделить два основных типа воспалительной реакции: разлитое катаральное и очаговое гнойно-некротическое воспаление слизистой оболочки. Катаральное воспаление характеризуется гиперемией, набуханием слизистой оболочки и иногда кровоизлияниями (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рис. 1,7 и 8) и усиленной выработкой слизи бокаловидными клетками. Эпителиальный покров остается целым, лейкоцитарная инфильтрация, как правило, отсутствует. В отдельных местах, где слизистая оболочка частично разрушена, накапливается много полиморфно-ядерных лейкоцитов (рис. 1), а выработка слизи, наоборот, подавлена. Такие очаги воспаления могут быть мелкими и редкими, различимыми лишь под микроскопом, или глубокими, захватывающими значительные участки слизистой оболочки. Воспалительный экссудат нередко образует пленчатые наложения (рис. 2) над поврежденной слизистой оболочкой — то нежные, сероватые, то довольно толстые желтовато-белые. Эти наложения принято называть фибринозными, однако фибрина они содержат мало, а состоят гл. обр. из распадающихся полиморфно-ядерных лейкоцитов, слизи и остатков разрушенной ткани. По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удалении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(или отторжении) пленок на их месте остаются поверхностные изъязвления неправильной угловатой формы.</w:t>
      </w:r>
    </w:p>
    <w:p w:rsidR="007C12A7" w:rsidRPr="007C12A7" w:rsidRDefault="007C12A7" w:rsidP="007C12A7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острых дизентерийных колитах нарушения целости тканей и скопления полиморфно-ядерных лейкоцитов ограничены пределами собственно слизистой оболочки. В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подслизистой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основе обычно наблюдается лишь расширение кровеносных сосудов с миграцией полиморфно-ядерных лейкоцитов, а также возникает то более, то менее выраженный отек, иногда с кровоизлияниями. При особо тяжелых формах коли</w:t>
      </w:r>
      <w:r w:rsidR="00226F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тов, называемых </w:t>
      </w:r>
      <w:proofErr w:type="spellStart"/>
      <w:r w:rsidR="00226FFF">
        <w:rPr>
          <w:rFonts w:ascii="Times New Roman" w:eastAsia="Times New Roman" w:hAnsi="Times New Roman" w:cs="Times New Roman"/>
          <w:color w:val="333333"/>
          <w:sz w:val="28"/>
          <w:szCs w:val="28"/>
        </w:rPr>
        <w:t>дифтеритическими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обширных участках слизистая оболочка почти полностью отсутствует,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подслизистая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основа очень сильно утолщена и пронизана густой сетью волокон фибрина с обильными кровоизлияниями.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При благоприятном течении болезни воспалительный проце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сс в сл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изистой оболочке толстого кишечника стихает. Небольшие повреждения ее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эпителизируются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но в области более крупных дефектов слизистая оболочка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нек-рое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время остается более низкой. Для затянувшихся тяжелых колитов характерно образование язв, нередко многочисленных и крупных. Края таких язв подрыты. При обширных язвах края их сливаются друг с другом. Однако дизентерийные язвы не глубоки, распространяются в пределах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подслизистого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слоя и в противоположность брюшнотифозным крайне редко ведут к перфорации. По той же причине рубцевание язв редко вызывает сужение просвета кишки. Иногда наблюдается неправильная (избыточная) регенерация поврежденной слизистой оболочки с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полипозными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ее разрастаниями.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 затяжном и рецидивирующем течении Д. в толстом кишечнике могут обнаруживаться разные по давности и по тяжести изменения. Обострение инфекции проявляется усилением катара и появлением новых очагов воспаления, часто на месте прежних, </w:t>
      </w:r>
      <w:proofErr w:type="spellStart"/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</w:t>
      </w:r>
      <w:proofErr w:type="spellEnd"/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по краям язв.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Тканевые изменения, присущие бактериальной Д., наиболее резко выражены в прямой, сигмовидной и нисходящей кишках, но не менее тяжелыми они могут быть и в других отделах кишечника, подчас захватывая даже терминальные участки тонкой кишки.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Поражения, как правило, имеют локальный характер и часто чередуются с мало измененными участками слизистой оболочки; сильнее всего страдают вершины складок.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Выраженность и некоторые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особенности поражения кишечника позволяют различать следующие основные формы дизентерийного колита.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Катаральный колит проявляется набуханием и гиперемией слизистой оболочки толстого кишечника, нередко покрытой слизью и мутной или гноевидной жидкостью. При исследовании через ректоскоп и на вскрытиях изменения слизистой оболочки представляются распространенными и довольно однородными, лишь кое-где удается различить мелкие кровоизлияния и эрозии (катарально-геморрагическая форма</w:t>
      </w:r>
      <w:r w:rsidR="00226F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или заметить незначительные пленчатые экссудативные наложения. Степень выраженности катарального колита бывает разной — от легкого набухания 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розовой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окраски слизистой оболочки прямой и сигмовидной кишок до резко выраженного катара, захватывающего всю толстую кишку.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катаральном колите у маленьких детей с сильно развитым лимф, аппаратом иногда над поверхностью слизистой оболочки отчетливо выступают крупные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солитарные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фолликулы, окаймленные узким пояском гиперемии. Однако обособлять такой колит, называя его фолликулярным, нет оснований, тем более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при Д. (в противоположность сальмонеллезам) лимфоидные образования кишечника сами по себе в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процесс не вовлекаются.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Фибринозный, или гнойный, колит наряду с ярко выраженным диффузным катаром характеризуется массивными, но легко снимающимися желтовато-белыми пленчатыми наложениями, прикрывающими поврежденные участки слизистой оболочки.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Дифтеритический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колит отличается резким утолщением, уплотнением и кровянистой окраской всей стенки толстой кишки. При этом поверхность слизистой оболочки кажется неровной и покрытой грязными зеленовато-серыми или коричневато-серыми тусклыми наложениями вследствие выпадения фибрина в самой кишечной стенке, почти лишенной эпителиального покрова.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Гангренозный колит—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 опасная форма; стенка толстой кишки окрашена в темно-коричневый, почти черный цвет, зловонна и легко рвется. </w:t>
      </w: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Такие поражения кишки при Д. встречаются весьма редко и, очевидно, являются результатом присоединившейся анаэробной инфекции.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Язвенный колит характерен для длительной тяжелой Д. Язвы, возникающие гл. обр. в дистальных отделах толстой кишки, заживают медленно, нередко сохраняясь и после затухания дизентерийной инфекции (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постдизентерийный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колит).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поражения толстого кишечника при Д. нередко считают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неотдельными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формами, а стадиями развития дизентерийного колита, начинающегося катаром и заканчивающегося образованием язв. Однако такая последовательность совершенно не обязательна. У больных Д., вызванной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Флекснера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Зонне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изменения толстой кишки обычно ограничиваются простым катаром с мелкими малозаметными очажками деструктивных изменений слизистой оболочки.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подслизистом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gram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межмышечном</w:t>
      </w:r>
      <w:proofErr w:type="gram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нервных сплетениях толстого кишечника обнаруживаются дегенеративные изменения нейронов; их считают причиной замедленной регенерации дизентерийных язв.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В других органах при Д. обнаруживаются дистрофические изменения, объясняемые как нарушением питания (особенно при длительной болезни), так и действием бактериальных продуктов и других токсических веществ, проникающих через поврежденную слизистую оболочку кишки.</w:t>
      </w:r>
    </w:p>
    <w:p w:rsidR="007C12A7" w:rsidRPr="007C12A7" w:rsidRDefault="007C12A7" w:rsidP="00226FF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появлением химиотерапевтических препаратов направленного действия смертельные исходы и тяжелые формы колита вообще почти не встречаются. С помощью методов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, исследований (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иммуногистохимического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электронно-микроскопического и др.) удалось получить новые данные, важные для понимания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анатомии и патогенеза дизентерийной инфекции. Так, в эксперименте была установлена способность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паразитированию в эпителиальных клетках кишечника (рис. 4). При этом покровные клетки, пораженные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обнаруживаются только в очагах гнойного воспаления и отсутствуют в участках простого катара. По мере размножения микробов эпителиальные клетки разрушаются и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слущиваются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маленьких кусочках ткани, получаемых путем биопсии при катаральных колитах у человека, очажки воспаления с </w:t>
      </w:r>
      <w:proofErr w:type="spellStart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>шигеллами</w:t>
      </w:r>
      <w:proofErr w:type="spellEnd"/>
      <w:r w:rsidRPr="007C12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эпителии попадаются редко.</w:t>
      </w:r>
    </w:p>
    <w:p w:rsidR="00D27C71" w:rsidRPr="007C12A7" w:rsidRDefault="00D27C71">
      <w:pPr>
        <w:rPr>
          <w:rFonts w:ascii="Times New Roman" w:hAnsi="Times New Roman" w:cs="Times New Roman"/>
          <w:sz w:val="28"/>
          <w:szCs w:val="28"/>
        </w:rPr>
      </w:pPr>
    </w:p>
    <w:sectPr w:rsidR="00D27C71" w:rsidRPr="007C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C12A7"/>
    <w:rsid w:val="00226FFF"/>
    <w:rsid w:val="0049246C"/>
    <w:rsid w:val="007C12A7"/>
    <w:rsid w:val="00D2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7C12A7"/>
  </w:style>
  <w:style w:type="character" w:styleId="a4">
    <w:name w:val="Hyperlink"/>
    <w:basedOn w:val="a0"/>
    <w:uiPriority w:val="99"/>
    <w:semiHidden/>
    <w:unhideWhenUsed/>
    <w:rsid w:val="007C1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2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84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0794752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17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76048939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23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3643296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062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0941278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02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3624398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34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w5c.xn--c1avg/index.php/%D0%A2%D0%9E%D0%9A%D0%A1%D0%95%D0%9C%D0%98%D0%AF" TargetMode="External"/><Relationship Id="rId4" Type="http://schemas.openxmlformats.org/officeDocument/2006/relationships/hyperlink" Target="https://krasgmu.ru/index.php?page%5bcommon%5d=user&amp;id=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2022-06-06T06:46:00Z</dcterms:created>
  <dcterms:modified xsi:type="dcterms:W3CDTF">2022-06-06T06:59:00Z</dcterms:modified>
</cp:coreProperties>
</file>