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5638" w:rsidRPr="00125638" w:rsidRDefault="00125638" w:rsidP="0012563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1256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ФЕДЕРАЛЬНОЕ ГОСУДАРСТВЕННОЕ БЮДЖЕТНОЕ ОБРАЗОВАТЕЛЬНОЕ УЧРЕЖДЕНИЕ ВЫСШЕГО ОБРАЗОВАНИЯ «КРАСНОЯРСКИЙ ГОСУДАРСТВЕННЫЙ МЕДИЦИНСКИЙ УНИВЕРСИТЕТ ИМЕНИ ПРОФЕССОРА В.Ф. ВОЙНО-ЯСЕНЕЦКОГО» МИНИСТЕРСТВА ЗДРАВООХРАНЕНИЯ РОССИЙСКОЙ ФЕДЕРАЦИИ</w:t>
      </w:r>
    </w:p>
    <w:p w:rsidR="00125638" w:rsidRPr="00125638" w:rsidRDefault="00125638" w:rsidP="0012563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1256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Кафедра Анестезиологии и реаниматологии ИПО</w:t>
      </w:r>
    </w:p>
    <w:p w:rsidR="00125638" w:rsidRDefault="00125638" w:rsidP="0012563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125638" w:rsidRPr="00125638" w:rsidRDefault="00125638" w:rsidP="0012563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  </w:t>
      </w:r>
      <w:r w:rsidRPr="001256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Реферат на тему: </w:t>
      </w:r>
    </w:p>
    <w:p w:rsidR="00125638" w:rsidRPr="00125638" w:rsidRDefault="00125638" w:rsidP="0012563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                         </w:t>
      </w:r>
      <w:r w:rsidRPr="00125638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«Анестезия у больных в </w:t>
      </w:r>
      <w:proofErr w:type="spellStart"/>
      <w:r w:rsidRPr="00125638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экстреннои</w:t>
      </w:r>
      <w:proofErr w:type="spellEnd"/>
      <w:r w:rsidRPr="00125638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̆ хирургии» </w:t>
      </w:r>
    </w:p>
    <w:p w:rsidR="00125638" w:rsidRDefault="00125638" w:rsidP="00125638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125638" w:rsidRDefault="00125638" w:rsidP="00125638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125638" w:rsidRDefault="00125638" w:rsidP="00125638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125638" w:rsidRDefault="00125638" w:rsidP="00125638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125638" w:rsidRDefault="00125638" w:rsidP="00125638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125638" w:rsidRPr="00125638" w:rsidRDefault="00125638" w:rsidP="00125638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1256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Выполнила: </w:t>
      </w:r>
      <w:proofErr w:type="spellStart"/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Оджагвердиева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256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</w:t>
      </w:r>
      <w:r w:rsidRPr="001256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</w:t>
      </w:r>
      <w:r w:rsidRPr="001256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proofErr w:type="gramEnd"/>
      <w:r w:rsidRPr="001256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ординатор 1 года</w:t>
      </w:r>
    </w:p>
    <w:p w:rsidR="00125638" w:rsidRDefault="00125638" w:rsidP="0012563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125638" w:rsidRDefault="00125638" w:rsidP="0012563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125638" w:rsidRDefault="00125638" w:rsidP="0012563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125638" w:rsidRDefault="00125638" w:rsidP="0012563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125638" w:rsidRDefault="00125638" w:rsidP="0012563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125638" w:rsidRDefault="00125638" w:rsidP="0012563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125638" w:rsidRDefault="00125638" w:rsidP="0012563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125638" w:rsidRDefault="00125638" w:rsidP="0012563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125638" w:rsidRDefault="00125638" w:rsidP="0012563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125638" w:rsidRDefault="00125638" w:rsidP="0012563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125638" w:rsidRPr="00125638" w:rsidRDefault="00125638" w:rsidP="0012563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</w:t>
      </w:r>
      <w:r w:rsidRPr="001256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Красноярск 20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24</w:t>
      </w:r>
    </w:p>
    <w:p w:rsidR="00125638" w:rsidRPr="00125638" w:rsidRDefault="00125638" w:rsidP="00125638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12563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lastRenderedPageBreak/>
        <w:fldChar w:fldCharType="begin"/>
      </w:r>
      <w:r w:rsidRPr="0012563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instrText xml:space="preserve"> INCLUDEPICTURE "/Users/sevindzodzagverdieva/Library/Group Containers/UBF8T346G9.ms/WebArchiveCopyPasteTempFiles/com.microsoft.Word/page1image142038464" \* MERGEFORMATINET </w:instrText>
      </w:r>
      <w:r w:rsidRPr="0012563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separate"/>
      </w:r>
      <w:r w:rsidRPr="00125638">
        <w:rPr>
          <w:rFonts w:ascii="Times New Roman" w:eastAsia="Times New Roman" w:hAnsi="Times New Roman" w:cs="Times New Roman"/>
          <w:noProof/>
          <w:kern w:val="0"/>
          <w:lang w:eastAsia="ru-RU"/>
          <w14:ligatures w14:val="none"/>
        </w:rPr>
        <w:drawing>
          <wp:inline distT="0" distB="0" distL="0" distR="0">
            <wp:extent cx="5940425" cy="164465"/>
            <wp:effectExtent l="0" t="0" r="3175" b="635"/>
            <wp:docPr id="1157270631" name="Рисунок 5" descr="page1image142038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420384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63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end"/>
      </w:r>
    </w:p>
    <w:p w:rsidR="00125638" w:rsidRPr="00125638" w:rsidRDefault="00125638" w:rsidP="0012563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125638">
        <w:rPr>
          <w:rFonts w:ascii="Times New Roman,Bold" w:eastAsia="Times New Roman" w:hAnsi="Times New Roman,Bold" w:cs="Times New Roman"/>
          <w:kern w:val="0"/>
          <w:shd w:val="clear" w:color="auto" w:fill="FFFFFF"/>
          <w:lang w:eastAsia="ru-RU"/>
          <w14:ligatures w14:val="none"/>
        </w:rPr>
        <w:t xml:space="preserve">Содержание </w:t>
      </w:r>
    </w:p>
    <w:p w:rsidR="00125638" w:rsidRPr="00125638" w:rsidRDefault="00125638" w:rsidP="001256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12563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Вступление </w:t>
      </w:r>
    </w:p>
    <w:p w:rsidR="00125638" w:rsidRPr="00125638" w:rsidRDefault="00125638" w:rsidP="001256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12563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Патофизиологическая характеристика </w:t>
      </w:r>
    </w:p>
    <w:p w:rsidR="00125638" w:rsidRPr="00125638" w:rsidRDefault="00125638" w:rsidP="001256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12563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Задачи анестезиологического обеспечения </w:t>
      </w:r>
    </w:p>
    <w:p w:rsidR="00125638" w:rsidRPr="00125638" w:rsidRDefault="00125638" w:rsidP="001256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12563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Подготовка к операции </w:t>
      </w:r>
    </w:p>
    <w:p w:rsidR="00125638" w:rsidRPr="00125638" w:rsidRDefault="00125638" w:rsidP="001256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12563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Методика анестезии </w:t>
      </w:r>
    </w:p>
    <w:p w:rsidR="00125638" w:rsidRDefault="00125638" w:rsidP="001256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12563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Список литературы </w:t>
      </w:r>
    </w:p>
    <w:p w:rsidR="00125638" w:rsidRDefault="00125638" w:rsidP="0012563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125638" w:rsidRDefault="00125638" w:rsidP="0012563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125638" w:rsidRDefault="00125638" w:rsidP="0012563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125638" w:rsidRDefault="00125638" w:rsidP="0012563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125638" w:rsidRDefault="00125638" w:rsidP="0012563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125638" w:rsidRDefault="00125638" w:rsidP="0012563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125638" w:rsidRDefault="00125638" w:rsidP="0012563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125638" w:rsidRDefault="00125638" w:rsidP="0012563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125638" w:rsidRDefault="00125638" w:rsidP="0012563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125638" w:rsidRDefault="00125638" w:rsidP="0012563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125638" w:rsidRDefault="00125638" w:rsidP="0012563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125638" w:rsidRDefault="00125638" w:rsidP="0012563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125638" w:rsidRDefault="00125638" w:rsidP="0012563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125638" w:rsidRDefault="00125638" w:rsidP="0012563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125638" w:rsidRDefault="00125638" w:rsidP="0012563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125638" w:rsidRDefault="00125638" w:rsidP="0012563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125638" w:rsidRDefault="00125638" w:rsidP="0012563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125638" w:rsidRDefault="00125638" w:rsidP="0012563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125638" w:rsidRPr="00125638" w:rsidRDefault="00125638" w:rsidP="0012563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125638" w:rsidRPr="00125638" w:rsidRDefault="00125638" w:rsidP="00125638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12563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begin"/>
      </w:r>
      <w:r w:rsidRPr="0012563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instrText xml:space="preserve"> INCLUDEPICTURE "/Users/sevindzodzagverdieva/Library/Group Containers/UBF8T346G9.ms/WebArchiveCopyPasteTempFiles/com.microsoft.Word/page2image141861120" \* MERGEFORMATINET </w:instrText>
      </w:r>
      <w:r w:rsidRPr="0012563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separate"/>
      </w:r>
      <w:r w:rsidRPr="00125638">
        <w:rPr>
          <w:rFonts w:ascii="Times New Roman" w:eastAsia="Times New Roman" w:hAnsi="Times New Roman" w:cs="Times New Roman"/>
          <w:noProof/>
          <w:kern w:val="0"/>
          <w:lang w:eastAsia="ru-RU"/>
          <w14:ligatures w14:val="none"/>
        </w:rPr>
        <w:drawing>
          <wp:inline distT="0" distB="0" distL="0" distR="0">
            <wp:extent cx="5940425" cy="164465"/>
            <wp:effectExtent l="0" t="0" r="3175" b="635"/>
            <wp:docPr id="115556932" name="Рисунок 4" descr="page2image141861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2image1418611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63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end"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125638" w:rsidRPr="00125638" w:rsidTr="00125638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,Bold" w:eastAsia="Times New Roman" w:hAnsi="Times New Roman,Bold" w:cs="Times New Roman"/>
                <w:kern w:val="0"/>
                <w:lang w:eastAsia="ru-RU"/>
                <w14:ligatures w14:val="none"/>
              </w:rPr>
              <w:t xml:space="preserve">Вступление </w:t>
            </w:r>
          </w:p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 xml:space="preserve">Необходимость проведения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анестезии при неотложных хирургических заболеваниях возникает в практике каждого анестезиолога.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Самои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частои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хирургическои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патологиеи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в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ургентнои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хирургии является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острыи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аппендицит (78,4%).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Острыи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холецистит и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острыи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панкреатит наблюдаются в 11,8%, ущемленная грыжа -- в 4%, острая кишечная непроходимость -- в 3,6%, прободная язва желудка -- в 2,2% случаев. Наиболее опасен перитонит,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которыи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может стать осложнением каждого из этих заболеваний. Особенностями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экстреннои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хирургии является острое начало заболевания, необходимость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срочнои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операции,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строгии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лимит времени, отведенного на диагностику и подготовку к операции. Условия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экстреннои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хирургии требуют от анестезиолога и хирурга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быстрои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профессиональнои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ориентации и согласованных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действии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при выработке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единои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лечебнои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тактики. </w:t>
            </w:r>
          </w:p>
        </w:tc>
      </w:tr>
      <w:tr w:rsidR="00125638" w:rsidRPr="00125638" w:rsidTr="0012563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,Bold" w:eastAsia="Times New Roman" w:hAnsi="Times New Roman,Bold" w:cs="Times New Roman"/>
                <w:kern w:val="0"/>
                <w:lang w:eastAsia="ru-RU"/>
                <w14:ligatures w14:val="none"/>
              </w:rPr>
              <w:lastRenderedPageBreak/>
              <w:t xml:space="preserve">Патофизиологическая характеристика </w:t>
            </w:r>
          </w:p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Несмотря на различия в этиологии и патогенезе экстренных заболеваний органов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брюшнои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полости, с точки зрения принципов анестезии и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интенсивнои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терапии они имеют много общего. Эта общность обусловлена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единои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патофизиологическои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основои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тех сложных изменений в организме больного, которые нарастают по мере развития заболевания и превращения местного патологического процесса в общую неспецифическую реакцию организма. </w:t>
            </w:r>
          </w:p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Общим характерным признаком для больных с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острои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хирургическои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патологиеи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является наличие болевого синдрома. Как правило, начало заболевания знаменуется появлением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болеи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̆, которые возникают нередко внезапно на фоне благополучия и могут быть ноющими, колющими, режущими, постоянными или схваткообразными, терпимыми или непереносимыми, вызывающими крики, стоны, сопровождающимися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потереи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сознания, коллапсом. </w:t>
            </w:r>
          </w:p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При острых хирургических заболеваниях органов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брюшнои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полости боли возникают вследствие раздражения висцеро-висцеральных,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висцеросоматиче-ских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и соматических нервных рецепторов, заложенных в брюшине и внутренних органах. Поскольку соматическая иннервация органов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брюшнои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полости осуществляется не одним, а несколькими сегментами спинного мозга, боли вначале носят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диффузныи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характер, что нередко затрудняет диагностику. Для острого аппендицита, например, характерно появление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болеи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в начале в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эпигастрии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, затем по всему животу, а позднее они локализуются в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правои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подвздошнои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области. Боли терпимые, постоянные, но при кашле и пальпации усиливаются. Для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прободнои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язвы желудка характерны острые («кинжальные») боли в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эпигастральнои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области, которые заставляют больного сжиматься </w:t>
            </w:r>
          </w:p>
        </w:tc>
      </w:tr>
      <w:tr w:rsidR="00125638" w:rsidRPr="00125638" w:rsidTr="0012563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 оставаться в неподвижности, поскольку каждое движение ведет к усилению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болеи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и появлению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сильнейшего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жжения в животе. </w:t>
            </w:r>
          </w:p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Для острого холецистита характерны сильные,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порои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невыносимые боли в правом подреберье или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надчревье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с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иррадиациеи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в правое плечо, шею, под лопатку, сопровождающиеся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рвотои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̆,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температурои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̆, возбуждением больного, икте-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ричностью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склер. Острому панкреатиту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свойственны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сильнейшие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боли опоясывающего характера в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эпигастральнои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области. Они настолько сильные, что приводят к коллапсу. При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острои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кишечнои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непроходимости и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ущемленнои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̆ грыже боли схваткообразные или постоянные сильные режущие (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узлообразование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, странгуляция). При перитоните боли постоянные, распространяющиеся по всему животу. </w:t>
            </w:r>
          </w:p>
        </w:tc>
      </w:tr>
      <w:tr w:rsidR="00125638" w:rsidRPr="00125638" w:rsidTr="00125638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Появление сильных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болеи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вызывает ответную неспецифическую реакцию организма со стороны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нейрогуморальнои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системы, системы дыхания, кровообращения, метаболизма, которая служит проявлением общего адаптационного синдрома. Практическому анестезиологу следует учитывать, что уже в самом начале заболевания боли изменяют </w:t>
            </w: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 xml:space="preserve">поведение больного, вызывают страх, психоэмоциональное напряжение, повышают уровень катехоламинов в крови, увеличивают скорость катаболических процессов, повышают уровень потребления кислорода. Сильные боли в животе резко ограничивают дыхание; оно становится поверхностным, преимущественно грудным с выраженным уменьшением экскурсии диафрагмы. В связи с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избыточнои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продукциеи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катехоламинов изменяется кровообращение, развивается спазм периферических сосудов, наступает «централизация» кровообращения, возникает феномен артериовенозного шунтирования, нарушается микроциркуляция. При остром холецистите,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прободнои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язве, панкреатите боль бывает настолько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невыносимои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̆, что сопровождается обмороком,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брадикардиеи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̆,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аритмиеи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̆, коллапсом. На ЭКГ возможны уплощение интервала 5 -- </w:t>
            </w:r>
            <w:r w:rsidRPr="00125638">
              <w:rPr>
                <w:rFonts w:ascii="Times New Roman,Italic" w:eastAsia="Times New Roman" w:hAnsi="Times New Roman,Italic" w:cs="Times New Roman"/>
                <w:kern w:val="0"/>
                <w:lang w:eastAsia="ru-RU"/>
                <w14:ligatures w14:val="none"/>
              </w:rPr>
              <w:t>Т</w:t>
            </w: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', </w:t>
            </w:r>
          </w:p>
        </w:tc>
      </w:tr>
      <w:tr w:rsidR="00125638" w:rsidRPr="00125638" w:rsidTr="0012563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 xml:space="preserve">инверсия зубца </w:t>
            </w:r>
            <w:r w:rsidRPr="00125638">
              <w:rPr>
                <w:rFonts w:ascii="Times New Roman,Italic" w:eastAsia="Times New Roman" w:hAnsi="Times New Roman,Italic" w:cs="Times New Roman"/>
                <w:kern w:val="0"/>
                <w:lang w:eastAsia="ru-RU"/>
                <w14:ligatures w14:val="none"/>
              </w:rPr>
              <w:t xml:space="preserve">Т, </w:t>
            </w: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углубление зубца Q, что может быть ошибочно воспринято как инфаркт миокарда [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Акжигитов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Г.Н., 1974]. </w:t>
            </w:r>
          </w:p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Болевои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синдром характеризуется изменениями метаболизма, связанными с выбросом стресс-гормонов и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расстройством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микроциркуляции,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активизациеи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калликреин- </w:t>
            </w:r>
          </w:p>
          <w:p w:rsidR="00125638" w:rsidRPr="00125638" w:rsidRDefault="00125638" w:rsidP="00125638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125638" w:rsidRPr="00125638" w:rsidTr="00125638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кининовои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системы, изменениями водно-электролитного, углеводного, жирового и </w:t>
            </w:r>
          </w:p>
        </w:tc>
      </w:tr>
      <w:tr w:rsidR="00125638" w:rsidRPr="00125638" w:rsidTr="00125638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белкового обмена, нарушениями КОС. В организационно-лечебном плане наличие резко выраженного болевого синдрома заставляет дежурную бригаду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врачеи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не только форсировать подготовку к операции, но и вынужденно ограничивать объем диагностических исследований, что неизбежно может повысить число диагностических и тактических ошибок. Естественно, что участие анестезиолога на этом этапе обследования и лечения больного становится необходимым. </w:t>
            </w:r>
          </w:p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Общими патофизиологическими признаками, объединяющими больных с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острои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хирургическои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патологиеи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̆, являются прогрессирующее обезвоживание и связанное с ним развитие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гиповолемического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шока. В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начальнои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стадии заболевания симптомы дегидратации и гиповолемии развиваются вследствие наружных необратимых потерь жидкости в виде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частои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рвоты, особенно при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высокои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кишечнои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непроходимости, остром панкреатите, перитоните, а также в виде перспирации и испарения через дыхательные пути. По мере развития заболевания и появления атонии кишечника гиповолемия усугубляется за счет внутренних потерь вследствие секвестрации жидкости в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паретически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раздутом кишечнике, «третьем пространстве», функционально связанном с внеклеточным и сосудистым секторами. Общая потеря жидкости может достигать 8--10 л/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сут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(фаза сосудистых и внеклеточных дефицитов). Дефицит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воды может достигать 5--8%, дефицит ОЦК -- 10--15%.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Реакциеи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сердечнососудистои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системы в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этои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стадии заболевания является компенсаторная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гипердинамия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, которая выражается в тахикардии, увеличении минутного объема кровообращения, сердечного индекса, общего периферического сопротивления и систолического артериального давления; почти вдвое </w:t>
            </w:r>
          </w:p>
          <w:p w:rsidR="00125638" w:rsidRPr="00125638" w:rsidRDefault="00125638" w:rsidP="00125638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125638" w:rsidRPr="00125638" w:rsidTr="0012563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возрастает работа левого желудочка [Малышев В.Д., 1985]. По мере развития патологического процесса дегидратация повышается и затрагивает не только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внеклеточныи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̆, но и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клеточныи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сектор.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Общии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̆ дефицит воды может достигать 10% массы тела, дефицит ОЦК-- 15--25% (фаза выраженных внеклеточных и сосудистых дефицитов). Компенсаторная способность сердечно-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сосудистои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системы начинает ослабевать. Снижаются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ударныи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объем сердца, работа левого желудочка, систолическое артериальное давление, увеличивается общее периферическое сопротивление, нарушается периферическое кровоснабжение, усиливаются гипоксия,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метаболическии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ацидоз. Клинически отмечаются выраженная жажда, сухость языка,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спадение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периферических вен,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акроцианоз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, тахипноэ до 30--35 в минуту,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олигу-рия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, заторможенность, адинамия. </w:t>
            </w:r>
          </w:p>
        </w:tc>
      </w:tr>
    </w:tbl>
    <w:p w:rsidR="00125638" w:rsidRPr="00125638" w:rsidRDefault="00125638" w:rsidP="00125638">
      <w:pPr>
        <w:rPr>
          <w:rFonts w:ascii="Times New Roman" w:eastAsia="Times New Roman" w:hAnsi="Times New Roman" w:cs="Times New Roman"/>
          <w:vanish/>
          <w:kern w:val="0"/>
          <w:lang w:eastAsia="ru-RU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125638" w:rsidRPr="00125638" w:rsidTr="00125638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В запущенных случаях заболевания (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разлитои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гнойныи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перитонит, деструктивные формы панкреатита, многосуточная острая кишечная непроходимость) признаки обезвоживания становятся резко выраженными, дегидратация затрагивает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клеточныи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сектор,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общии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дефицит воды составляет 15% и более, дефицит ОЦК -- до 30--35%, что приводит к срыву компенсаторных механизмов системы кровообращения, нарушению метаболизма (фаза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дегидратации и нарушений метаболизма). Клинические признаки свидетельствуют о наличии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эндогеннои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интоксикации, картины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гиповолемического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шока,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которыи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предвещает наступление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терминальнои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стадии. </w:t>
            </w:r>
          </w:p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Развитие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дегидратации сопровождается </w:t>
            </w:r>
            <w:proofErr w:type="spellStart"/>
            <w:r w:rsidRPr="00125638">
              <w:rPr>
                <w:rFonts w:ascii="Times New Roman,BoldItalic" w:eastAsia="Times New Roman" w:hAnsi="Times New Roman,BoldItalic" w:cs="Times New Roman"/>
                <w:kern w:val="0"/>
                <w:lang w:eastAsia="ru-RU"/>
                <w14:ligatures w14:val="none"/>
              </w:rPr>
              <w:t>расстройством</w:t>
            </w:r>
            <w:proofErr w:type="spellEnd"/>
            <w:r w:rsidRPr="00125638">
              <w:rPr>
                <w:rFonts w:ascii="Times New Roman,BoldItalic" w:eastAsia="Times New Roman" w:hAnsi="Times New Roman,BoldItalic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125638">
              <w:rPr>
                <w:rFonts w:ascii="Times New Roman,BoldItalic" w:eastAsia="Times New Roman" w:hAnsi="Times New Roman,BoldItalic" w:cs="Times New Roman"/>
                <w:kern w:val="0"/>
                <w:lang w:eastAsia="ru-RU"/>
                <w14:ligatures w14:val="none"/>
              </w:rPr>
              <w:t>электpoлитного</w:t>
            </w:r>
            <w:proofErr w:type="spellEnd"/>
            <w:r w:rsidRPr="00125638">
              <w:rPr>
                <w:rFonts w:ascii="Times New Roman,BoldItalic" w:eastAsia="Times New Roman" w:hAnsi="Times New Roman,BoldItalic" w:cs="Times New Roman"/>
                <w:kern w:val="0"/>
                <w:lang w:eastAsia="ru-RU"/>
                <w14:ligatures w14:val="none"/>
              </w:rPr>
              <w:t xml:space="preserve"> баланса и КОС</w:t>
            </w: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Наружные потери жидкости при рвоте ведут к дефициту К+, С1-, Н+ и к острому метаболическому алкалозу (при остром панкреатите). При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острои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кишечнои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непроходимости и перитоните возможны ретенция Na+ и повышение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осмолярности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крови. При остром деструктивном панкреатите следует учитывать развитие </w:t>
            </w:r>
          </w:p>
        </w:tc>
      </w:tr>
      <w:tr w:rsidR="00125638" w:rsidRPr="00125638" w:rsidTr="0012563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гипокальциемии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 счет поглощения </w:t>
            </w:r>
            <w:r w:rsidRPr="00125638">
              <w:rPr>
                <w:rFonts w:ascii="Times New Roman,Italic" w:eastAsia="Times New Roman" w:hAnsi="Times New Roman,Italic" w:cs="Times New Roman"/>
                <w:kern w:val="0"/>
                <w:lang w:eastAsia="ru-RU"/>
                <w14:ligatures w14:val="none"/>
              </w:rPr>
              <w:t>Са</w:t>
            </w:r>
            <w:r w:rsidRPr="00125638">
              <w:rPr>
                <w:rFonts w:ascii="Times New Roman,Italic" w:eastAsia="Times New Roman" w:hAnsi="Times New Roman,Italic" w:cs="Times New Roman"/>
                <w:kern w:val="0"/>
                <w:position w:val="10"/>
                <w:sz w:val="16"/>
                <w:szCs w:val="16"/>
                <w:lang w:eastAsia="ru-RU"/>
                <w14:ligatures w14:val="none"/>
              </w:rPr>
              <w:t xml:space="preserve">2 </w:t>
            </w:r>
            <w:r w:rsidRPr="00125638">
              <w:rPr>
                <w:rFonts w:ascii="Times New Roman,Italic" w:eastAsia="Times New Roman" w:hAnsi="Times New Roman,Italic" w:cs="Times New Roman"/>
                <w:kern w:val="0"/>
                <w:lang w:eastAsia="ru-RU"/>
                <w14:ligatures w14:val="none"/>
              </w:rPr>
              <w:t xml:space="preserve">+ </w:t>
            </w: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в очагах жирового некроза. Выраженные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расстройства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тканевого кровообращения в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дальнейшем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ведут к развитию метаболического ацидоза. </w:t>
            </w:r>
          </w:p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Тяжелые нарушения водно-электролитного обмена и КОС усугубляются развитием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гипопротеинемии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вследствие потери плазменного белка через измененную сосудистую стенку в полость кишечника и полость брюшины (при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острои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кишечнои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непроходимости и перитоните), в окружающую клетчатку ткани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поджелудочнои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̆ железы (при остром деструктивном панкреатите). Потеря белка может достигать 250--300 г/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сут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преимущественно за счет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альбуминовои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фракции, что резко снижает водоудерживающую функцию крови [Савчук Б.Д., 1979; Савельев В.С. и др., 1986]. При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странгуляционнои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острои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кишечнои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непроходимости и деструктивном панкреатите имеет место и потеря эритроцитов, что является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причинои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анемии и снижения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кислородотранспортнои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функции крови. </w:t>
            </w:r>
          </w:p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Выраженная гиповолемия, сгущение и повышение вязкостного сопротивления крови, снижение сердечного выброса приводят к нарушению микроциркуляции, создают условия для адгезии и агрегации форменных элементов. Нарушение проницаемости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сосудистои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стенки при этом способствует проникновению тканевых тромбокиназ и развитию синдрома ДВС,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коагулопатии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потребления, усугубляющих тканевую гипоксию. Это создает основу для развития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энте-роррагии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̆, резко ухудшающих прогноз заболевания. </w:t>
            </w:r>
          </w:p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Важную роль в ухудшении общего состояния больных при острых заболеваниях органов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брюшнои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полости играет фактор токсемии. При перитоните,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острои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кишечнои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непроходимости в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токсическои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стадии источником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эндогеннои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интоксикации служат бактериальная инвазия, обсеменение брюшины, поступление бактериальных токсинов и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лизосомных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ферментов из разрушенных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нейтрофилов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, резорбция продуктов гниения и </w:t>
            </w:r>
          </w:p>
        </w:tc>
      </w:tr>
      <w:tr w:rsidR="00125638" w:rsidRPr="00125638" w:rsidTr="0012563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брожения из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паретически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растянутого кишечника, поступающих в кровь через портальную систему и лимфатические коллекторы. </w:t>
            </w:r>
          </w:p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При деструктивных формах острого панкреатита эндогенная интоксикация связана еще и с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резорбциеи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ферментов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поджелудочнои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железы (амилаза, липаза, трипсин,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эластаза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),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активизациеи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̆ калликреин-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кининовои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системы,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гнойно-некротическим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процессом в ткани железы,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расстройством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системнои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гемодинамики и нарушениями метаболизма. </w:t>
            </w:r>
          </w:p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Выраженные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расстройства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гомеостаза являются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основои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для нарушения функций различных органов и систем. Гиповолемия, артериальная гипотония, токсемия снижают кровоток в легких и нарушают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газообменную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и нега-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зообменную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функции легких. </w:t>
            </w:r>
          </w:p>
        </w:tc>
      </w:tr>
      <w:tr w:rsidR="00125638" w:rsidRPr="00125638" w:rsidTr="00125638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 xml:space="preserve">Развиваются условия для возникновения пневмонии, ателектазов,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паренхиматознои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дыхательнои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недостаточности. Вместе с тем нарушения газообмена усугубляются высоким уровнем стояния купола диафрагмы, снижением ее экскурсии из-за пареза кишечника и высокого внутрибрюшного давления. </w:t>
            </w:r>
          </w:p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Поступление токсических продуктов из кишечника, продуктов гниения и гидролиза белка, бактериальных токсинов, биологически активных веществ при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и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органнои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гипоциркуляции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приводят к резкому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снижению</w:t>
            </w:r>
            <w:r w:rsidRPr="00125638">
              <w:rPr>
                <w:rFonts w:ascii="Times New Roman,BoldItalic" w:eastAsia="Times New Roman" w:hAnsi="Times New Roman,BoldItalic" w:cs="Times New Roman"/>
                <w:kern w:val="0"/>
                <w:lang w:eastAsia="ru-RU"/>
                <w14:ligatures w14:val="none"/>
              </w:rPr>
              <w:t>многoгранных</w:t>
            </w:r>
            <w:proofErr w:type="spellEnd"/>
            <w:r w:rsidRPr="00125638">
              <w:rPr>
                <w:rFonts w:ascii="Times New Roman,BoldItalic" w:eastAsia="Times New Roman" w:hAnsi="Times New Roman,BoldItalic" w:cs="Times New Roman"/>
                <w:kern w:val="0"/>
                <w:lang w:eastAsia="ru-RU"/>
                <w14:ligatures w14:val="none"/>
              </w:rPr>
              <w:t xml:space="preserve"> функций печени</w:t>
            </w: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, нарушают ее способность к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биотрансформации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лекарственных препаратов и средств, используемых при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анесгсмии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и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шпен-сивнои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терапии [Рябов Г.А. и др., 1983). </w:t>
            </w:r>
          </w:p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Общая дегидратация, гиповолемия, токсемия и циркуляция продуктов распада гемоглобина в сочетании с резким нарушением органного кровотока приводят к поражению нефронов, нарушению функции почек, синдрому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острои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почечнои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недостаточности. Эти же причины создают основу для развития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функциональнои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</w:t>
            </w:r>
          </w:p>
        </w:tc>
      </w:tr>
      <w:tr w:rsidR="00125638" w:rsidRPr="00125638" w:rsidTr="0012563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недостаточности надпочечников, снижению продукции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кортикосте-роидных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гормонов. </w:t>
            </w:r>
          </w:p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Гиповолемия,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расстройства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электролитного баланса, бактериальная токсемия, нарушения метаболизма вызывают сердечную недостаточность токсико-септического генеза. Таким образом, практическому анестезиологу следует знать, что при острых неотложных заболеваниях органов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брюшнои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полости местные патологические процессы при прогрессирующем их развитии неизбежно приводят к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неспецифическои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реакции организма,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затрагивающеи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функцию всех органов и систем. В своем развитии от начальных форм заболевания до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терминальнои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стадии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патологическии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процесс носит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фазовыи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характер и при неблагоприятном течении переходит от обратимых функциональных нарушений к необратимым функциональным и морфологическим изменениям. </w:t>
            </w:r>
          </w:p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,Bold" w:eastAsia="Times New Roman" w:hAnsi="Times New Roman,Bold" w:cs="Times New Roman"/>
                <w:kern w:val="0"/>
                <w:lang w:eastAsia="ru-RU"/>
                <w14:ligatures w14:val="none"/>
              </w:rPr>
              <w:t xml:space="preserve">Задачи анестезиологического обеспечения </w:t>
            </w:r>
          </w:p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В связи с изложенным задачами анестезиологического обеспечения являются: </w:t>
            </w:r>
          </w:p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1) проведение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целенаправленнои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пред- и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интраоперационнои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коррекции гиповолемии, токсемии и метаболизма, а также нарушенных функций жизненно важных органов и систем с учетом основных патофизиологических сдвигов в организме, вызванных основным заболеванием; </w:t>
            </w:r>
          </w:p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2) выбор оптимальных методов и средств анестезии, обеспечивающих надежную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антиноцицептивную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защиту и возможность управления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функциеи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основных систем жизнеобеспечения; </w:t>
            </w:r>
          </w:p>
        </w:tc>
      </w:tr>
      <w:tr w:rsidR="00125638" w:rsidRPr="00125638" w:rsidTr="0012563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3) предупреждение развития аспирационного синдрома и других потенциально возможных осложнений, связанных с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техникои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анестезии, общим состоянием больного и характером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предстоящеи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операции. </w:t>
            </w:r>
          </w:p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,Bold" w:eastAsia="Times New Roman" w:hAnsi="Times New Roman,Bold" w:cs="Times New Roman"/>
                <w:kern w:val="0"/>
                <w:lang w:eastAsia="ru-RU"/>
                <w14:ligatures w14:val="none"/>
              </w:rPr>
              <w:t xml:space="preserve">Подготовка к операции </w:t>
            </w:r>
          </w:p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Непосредственное участие анестезиолога в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предоперационнои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подготовке больных в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неотложнои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хирургии и решении тактических задач становится ясным обычно после проведения хирургом определенного комплекса клинических, инструментальных, рентгенологических и лабораторных исследований, установления диагноза и показаний к оперативному вмешательству. Однако это не исключает определенных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действии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анестезиолога в проведении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срочнои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корригирующеи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терапии и в периоде обследования </w:t>
            </w:r>
          </w:p>
        </w:tc>
      </w:tr>
    </w:tbl>
    <w:p w:rsidR="00125638" w:rsidRPr="00125638" w:rsidRDefault="00125638" w:rsidP="00125638">
      <w:pPr>
        <w:rPr>
          <w:rFonts w:ascii="Times New Roman" w:eastAsia="Times New Roman" w:hAnsi="Times New Roman" w:cs="Times New Roman"/>
          <w:vanish/>
          <w:kern w:val="0"/>
          <w:lang w:eastAsia="ru-RU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125638" w:rsidRPr="00125638" w:rsidTr="00125638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 xml:space="preserve">больного. Программа подготовки к операции и анестезии при тяжелых формах заболевания может включать следующие мероприятия: </w:t>
            </w:r>
          </w:p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1. Необходимо катетеризировать центральную (подключичную, бедренную) вену и наладить систему для проведения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корригирующеи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инфузионнои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терапии. Одновременно с этим измерить ЦВД и взять кровь для исследования (группа крови, резус-фактор, содержание гемоглобина, гематокрит, количество эритроцитов, уровень общего белка, глюкозы крови, билирубина, электролитов, мочевины, креатинина, коагулограмма и др.). </w:t>
            </w:r>
          </w:p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2. Следует катетеризировать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мочевои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пузырь и оставить катетер для измерения почасового диуреза в процессе проведения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инфузионнои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терапии. Произвести лабораторные исследования мочи. </w:t>
            </w:r>
          </w:p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3. При наличии условий надо подключить к больному мониторную систему для </w:t>
            </w:r>
          </w:p>
        </w:tc>
      </w:tr>
      <w:tr w:rsidR="00125638" w:rsidRPr="00125638" w:rsidTr="0012563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динамического наблюдения за ЭКГ,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частотои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пульса, артериальным давлением, показателями дыхания,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температурнои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реакциеи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̆. При необходимости нужно получить исходные параметры дыхания и кровообращения: ОЦК,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минутныи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объем кровообращения по данным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интегральнои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реовазографии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, Р</w:t>
            </w:r>
            <w:r w:rsidRPr="00125638">
              <w:rPr>
                <w:rFonts w:ascii="Times New Roman" w:eastAsia="Times New Roman" w:hAnsi="Times New Roman" w:cs="Times New Roman"/>
                <w:kern w:val="0"/>
                <w:position w:val="-2"/>
                <w:sz w:val="16"/>
                <w:szCs w:val="16"/>
                <w:lang w:eastAsia="ru-RU"/>
                <w14:ligatures w14:val="none"/>
              </w:rPr>
              <w:t>0</w:t>
            </w: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„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Рсо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&gt;,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минутныи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объем дыхания, показатели КОС. </w:t>
            </w:r>
          </w:p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4. Инфузионную терапию целесообразно начинать с 5--10% раствора глюкозы с инсулином (1 ЕД на 4 г глюкозы) или изотонического раствора натрия хлорида со 100 мл 20% раствора альбумина, протеина или плазмы на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каждыи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литр низкомолекулярных растворов для повышения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водоудерживающеи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способности крови. Компонентами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инфузионнои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терапии на этом этапе могут быть раствор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Рингера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, гемодез,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лактосол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, реополиглюкин, раствор натрия гидрокарбоната. При наличии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артериальнои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̆ гипотонии темп введения жидкости (под постоянным контролем ЦВД) должен составлять не менее 70--80 мл/(кг-ч) [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Шанин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Ю.Н., 1982]. Практически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больнои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с выраженным дефицитом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воды (до 10%) уже в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первыи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час должен получить от 2,5 до 5 л жидкости.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Общии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период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предоперационнои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подготовки не должен превышать 1,5--2 ч. Клиническими признаками адекватности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проводимои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инфузионнои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терапии могут служить: артериальное давление, пульс, ЦВД, наполнение периферических вен, потепление кожи, исчезновение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акроцианоза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, восстановление диуреза, некоторое улучшение состояния больного. По мере необходимости в этом периоде больному вводят гормональные (преднизолон в дозе 60--90 мг) и антигистаминные (супрастин в дозе 30 мг, димедрол в дозе 30 мг) препараты, строфантин (0,25 мл 0,05% раствора) или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коргликон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(1 мл 0,06% раствора),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панангин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(20-- 40 мл), витамины С и В</w:t>
            </w:r>
            <w:r w:rsidRPr="00125638">
              <w:rPr>
                <w:rFonts w:ascii="Times New Roman" w:eastAsia="Times New Roman" w:hAnsi="Times New Roman" w:cs="Times New Roman"/>
                <w:kern w:val="0"/>
                <w:position w:val="-2"/>
                <w:sz w:val="16"/>
                <w:szCs w:val="16"/>
                <w:lang w:eastAsia="ru-RU"/>
                <w14:ligatures w14:val="none"/>
              </w:rPr>
              <w:t>1</w:t>
            </w: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,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кокарбоксилазу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(100 мг), наркотические анальгетики (фентанил в дозе 100 мкг). При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стойкои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артериальнои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гипотензии необходимо капельное введение 0,05% раствора допамина со скоростью 10--15 капель в минуту. </w:t>
            </w:r>
          </w:p>
        </w:tc>
      </w:tr>
      <w:tr w:rsidR="00125638" w:rsidRPr="00125638" w:rsidTr="0012563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5. По мере проведения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инфузионнои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терапии производят подготовку желудочно- кишечного тракта. Необходимо ввести зонд в желудок и опорожнить его. Зонд целесообразно оставить в целях декомпрессии желудочно-кишечного тракта и дренирования желудка до начала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вводнои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анестезии. За 3--4 мин до индукции его следует удалить. Опорожнение желудка с помощью зонда считается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обязательнои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мерои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профилактики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регургитации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и развития аспирационного синдрома у больных с полным желудком.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Спорнои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остается тактика в отношении больных с желудочным кровотечением и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перфоративнои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язвои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̆, когда возникает опасность усиления кровотечения или истечения желудочного содержимого в брюшную полость. В таком случае вопрос решается в зависимости от того, можно ли предупредить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регургитацию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и аспирацию при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вводнои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анестезии. Если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такои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гарантии нет и опасность появления аспирационного синдрома </w:t>
            </w:r>
          </w:p>
        </w:tc>
      </w:tr>
      <w:tr w:rsidR="00125638" w:rsidRPr="00125638" w:rsidTr="00125638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 xml:space="preserve">остается, то и у таких больных целесообразность опорожнения желудка становится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очевиднои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̆. </w:t>
            </w:r>
          </w:p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6. Для снятия болевого синдрома целесообразно проводить ингаляцию смеси закиси азота и кислорода (1:1) в сочетании с наркотическими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анальге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-тиками (100 мкг фентанила, 10-- 20 мг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промедола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) и седативными средствами (10 мг диазепама). По достижении аналгезии допустимо (в случае необходимости) проведение дополнительных несложных диагностических манипуляций (пальпация живота, пальцевое исследование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прямои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кишки, влагалища, подготовка операционного поля, бритье). В этом же периоде следует произвести пункцию и катетеризацию эпидурального пространства (в положении больного на боку) и ввести 80--100 мг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тримекаина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или лидокаина в виде 2% раствора. </w:t>
            </w:r>
          </w:p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7. С самого начала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предоперационнои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подготовки следует завести анестезиологическую карту, где регистрируются основные этапы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корригирующеи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терапии и показатели </w:t>
            </w:r>
          </w:p>
        </w:tc>
      </w:tr>
      <w:tr w:rsidR="00125638" w:rsidRPr="00125638" w:rsidTr="0012563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функции дыхания и кровообращения, диуреза, объема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вводимои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жидкости. В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начальнои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стадии заболеваний (реактивная фаза перитонита, начальная стадия деструктивных форм панкреатита,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острои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кишечнои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непроходимости) общие принципы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предоперационнои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подготовки остаются такими же. Отличие может состоять лишь в объеме и темпе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инфузионнои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терапии, для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которои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может быть выбрана периферическая вена. </w:t>
            </w:r>
          </w:p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Премедикация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проводится за 10--15 мин до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вводнои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анестезии и не должна быть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глубокои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̆. Она может быть ограничена лишь внутривенным введением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холинолитиков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(0,8--1 мл 0,1% раствора атропина) и антигистаминных препаратов. Вводить наркотические анальгетики (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промедол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,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омноион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или морфин) в этом периоде нецелесообразно, поскольку они, во-первых, оказывают спазмолитическое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действие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(на фоне гиповолемии может развиться значительная гипотония), во-вторых, могут вызвать рвоту и угнетение дыхания, что нежелательно в этом периоде. Введение фентанила может обусловить появление спазма и ригидности мышц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груднои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клетки и ухудшить условия газообмена. Проведение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минимальнои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премедикации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позволяет избежать нежелательных осложнений в этом периоде и точнее оценить степень сохранения компенсаторных сосудистых реакций организма. </w:t>
            </w:r>
          </w:p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,Bold" w:eastAsia="Times New Roman" w:hAnsi="Times New Roman,Bold" w:cs="Times New Roman"/>
                <w:kern w:val="0"/>
                <w:lang w:eastAsia="ru-RU"/>
                <w14:ligatures w14:val="none"/>
              </w:rPr>
              <w:t xml:space="preserve">Методика анестезии </w:t>
            </w:r>
          </w:p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Способы и средства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вводнои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анестезии следует выбирать с учетом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исходнои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гиповолемии и нарушений гомеостаза, возможности широкого выбора анестезиологических средств,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надежнои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профилактики рвоты и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регургитации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, а также уровня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профессиональнои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подготовки анестезиолога. Из анестезиологических средств предпочтение следует отдавать кетамину в дозе 2 мг/кг в сочетании с диазепамом (5--10 мг) и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масочнои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ингаляции смеси закиси азота с кислородом (1:1). Преимущества кетамина </w:t>
            </w:r>
          </w:p>
        </w:tc>
      </w:tr>
      <w:tr w:rsidR="00125638" w:rsidRPr="00125638" w:rsidTr="0012563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состоят в быстром наступлении наркотического эффекта, стимуляции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сердечнои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деятельности и сохранении рефлексов с верхних дыхательных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путеи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̆. Через 2--3 мин после введения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расчетнои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̆ дозы кетамина производят «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прекураризацию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»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пипекуронием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(1 мг) или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тубокурарином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(3--4 мг) с целью предотвращения повышения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внут-рижелудочного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давления. Через 3--4 мин после введения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тубокурарина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или пи-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пекурония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вводят миорелаксант деполяризующего типа (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дитилин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) в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обычнои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дозе (1,5--2 мг/кг). При введении миорелаксанта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головнои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конец операционного стола должен быть приподнят так, чтобы по горизонтали уровень щитовидного хряща шеи был выше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эпигастральнои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области. </w:t>
            </w:r>
          </w:p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В этом периоде не следует проводить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форсированнои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масочнои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вспомогательнои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вентиляции легких из-за возможности попадания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газонаркотическои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смеси в желудок. С </w:t>
            </w:r>
          </w:p>
        </w:tc>
      </w:tr>
    </w:tbl>
    <w:p w:rsidR="00125638" w:rsidRPr="00125638" w:rsidRDefault="00125638" w:rsidP="00125638">
      <w:pPr>
        <w:rPr>
          <w:rFonts w:ascii="Times New Roman" w:eastAsia="Times New Roman" w:hAnsi="Times New Roman" w:cs="Times New Roman"/>
          <w:vanish/>
          <w:kern w:val="0"/>
          <w:lang w:eastAsia="ru-RU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125638" w:rsidRPr="00125638" w:rsidTr="00125638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 xml:space="preserve">момента введения миорелаксанта должен использоваться прием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Селлика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(прижатие щитовидного хряща гортани к телам верхних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шейных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позвонков, приводящее к сдавлению пищевода в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этои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области и предупреждающее развитие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регургитации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и аспирации). Не следует доверять выполнение приема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Селлика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лицу, не имеющему практических навыков. Нельзя также допускать смены рук при выполнении этого приема. Интубация трахеи производится после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прямои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ларингоскопии и орошения области голосовых связок 2% раствором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тримекаина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из пульверизатора. Перед закреплением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эндотрахеальнои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трубки в желудок снова вводят зонд и оставляют его там до конца операции. </w:t>
            </w:r>
          </w:p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Вводная анестезия может быть осуществлена и препаратами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барбитуровои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̆ кислоты (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гексенал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,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тиопентал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-натрий). Более. предпочтительна фракционная методика введения препарата в дозе 4--6 мг/кг на фоне более высокого темпа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инфузионнои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терапии. Введение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дозы 400--500 мг может вызвать артериальную гипотензию у лиц с </w:t>
            </w:r>
          </w:p>
        </w:tc>
      </w:tr>
      <w:tr w:rsidR="00125638" w:rsidRPr="00125638" w:rsidTr="0012563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некорригированнои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гиповолемиеи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̆, поскольку вследствие снижения тонуса вен возникает «децентрализация» кровообращения. Артериальная гипотензия в этом случае является своеобразным диагностическим ориентиром в отношении наличия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исходнои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гиповолемии, которая под контролем ЦВД требует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быстрои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коррекции увеличением объема инфузии. </w:t>
            </w:r>
          </w:p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Для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вводнои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анестезии могут быть использованы также стероидные </w:t>
            </w:r>
            <w:proofErr w:type="spellStart"/>
            <w:proofErr w:type="gram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анесте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-тики</w:t>
            </w:r>
            <w:proofErr w:type="gram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(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предион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12--15 мг/кг,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альтезин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0,1 мг/кг). Оба препарата нетоксичны, обеспечивают быстрое введение в анестезию, незначительно снижают артериальное давление. Реже с целью индукции применяют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пропанидид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из-за его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ги-потензивного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и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гистаминоподобного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эффекта. </w:t>
            </w:r>
          </w:p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Вводная анестезия (как и основная) у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детеи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и взрослых может быть выполнена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ингаляциеи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смеси закиси азота и кислорода (2:1) с фторотаном (0,8-1,5 </w:t>
            </w:r>
            <w:proofErr w:type="gram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об.%</w:t>
            </w:r>
            <w:proofErr w:type="gram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) и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масочнои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компенсациеи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самостоятельного дыхания. По достижении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хирургическои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стадии можно произвести интубацию трахеи. Если она оканчивается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неудачеи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̆, то ограничиваются проведением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масочнои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анестезии. Естественно, в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этм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случае масочная анестезия будет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вынужденнои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мерои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̆. </w:t>
            </w:r>
          </w:p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Вводную анестезию у /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имеи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можно осуществлять внутримышечным введением кетамина в дозе 6 мг/кг. По достижении наркотического состояния вводят релаксант, больного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интубируют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и переводят на ИВЛ. Поддержание анестезии осуществляют смесью закиси азота с кислородом и фракционным введением (кетамина) или фентанила. </w:t>
            </w:r>
          </w:p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Поддержание анестезии целесообразно осуществлять смесью закиси азота с кислородом (2:1) и фракционным введением кетамина (по 50 мг) через 20--30 мин или </w:t>
            </w:r>
          </w:p>
        </w:tc>
      </w:tr>
      <w:tr w:rsidR="00125638" w:rsidRPr="00125638" w:rsidTr="0012563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фентанила по 100 мкг. Можно использовать эпидуральную анестезию или аналгезию. Релаксация мышц достигается миорелаксантами деполяризующего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действия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, если предполагаемая продолжительность операции не более 1,5 ч. При более длительном вмешательстве целесообразно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перейти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на миорелаксанты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недеполяризующего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действия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</w:p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Обеспечение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надежнои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антиноцицептивнои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защиты достигается </w:t>
            </w:r>
            <w:proofErr w:type="gram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сочетан-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ным</w:t>
            </w:r>
            <w:proofErr w:type="spellEnd"/>
            <w:proofErr w:type="gram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применением различных вариантов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анестезии с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местнои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инфильт-рационнои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анестезиеи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рефлексогенных зон или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эпидуральнои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аналгезиеи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как компонентом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анестезии. При этом сокращается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общии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расход фармакологических средств, облегчается управляемость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анестезиеи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̆, создаются условия для благоприятного течения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ближайшего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посленаркозного периода. </w:t>
            </w:r>
          </w:p>
        </w:tc>
      </w:tr>
      <w:tr w:rsidR="00125638" w:rsidRPr="00125638" w:rsidTr="00125638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 xml:space="preserve">Необходимо поддерживать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адекватныи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газообмен, подобрать оптимальные параметры ИВЛ для уменьшения отрицательных влияний ИВЛ на кровообращение. Следует отдавать предпочтение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ручнои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ИВЛ, при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которои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анестезиолог быстрее улавливает признаки «борьбы больного с аппаратом». Целесообразно проводить ИВЛ в режиме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легкои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гипервентиляции при ДО, равном 8--10 мл/кг, и объеме вентиляции, превышающем должную величину не более чем на 30%, под контролем КОС и газов крови. </w:t>
            </w:r>
          </w:p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Во время анестезии должна быть продолжена инфузионная терапия, направленная на коррекцию гиповолемии, внеклеточных и клеточных дефицитов,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гипокалиемии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,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гипохлоремии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, метаболического ацидоза и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гипопротеинемии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В экстренных условиях должен осуществляться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обязательныи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динамическии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контроль за адекватностью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инфузионнои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терапии на основании клинических и лабораторных данных (артериальное давление, пульс, ЦВД,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минутныи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диурез, изменение окраски кожных покровов, </w:t>
            </w:r>
          </w:p>
        </w:tc>
      </w:tr>
      <w:tr w:rsidR="00125638" w:rsidRPr="00125638" w:rsidTr="0012563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исчезновение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акроцианоза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, потепление кожных покровов, наполнение поверхностных подкожных вен, содержание гемоглобина, гематокрит, количество эритроцитов, концентрация электролитов в плазме). Дополнительная ценная информация может быть получена при контроле за ОЦК, КОС, белковыми фракциями, давлением в полостях сердца, состоянием водных секторов и др. Вопрос о гемотрансфузии следует решать с учетом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конкретнои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обстановки. Медикаментозная терапия зависит от показаний, но, как правило, включает применение сердечных гликозидов,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глюкокортикои-дов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,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кокарбоксилазы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(100 мг), витаминов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bi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(50--100 мг) и С (100 мг),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панан-гина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(20 мл). В конце операции после коррекции гиповолемии для улучшения почечного кровотока показано введение лазикса (40--80 мг), эуфиллина (10 мл 2,4% раствора), глюкозы (500 мл 10 -20% раствора), инсулина (12 25 ЕД).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Продожается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терапия, направленная на снижение степени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эндогеннои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интоксикации: введение гемодеза, белковых препаратов, ингибиторов протеаз (контри-кал в дозе 1 000000 ЕД). </w:t>
            </w:r>
          </w:p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Из состояния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анестезии больного следует выводить после окончания операции и наложения швов на рану. К этому периоду необходимо восстановить спонтанное дыхание, сознание,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мышечныи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тонус и поддерживать стабильные показатели гемодинамики. При недостаточном восстановлении мышечного тонуса и дыхания целесообразно продолжать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аналгеиио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путем ингаляции смеси закиси азота с кислородом (1: 1), проводить вспомогательную вентиляцию легких до полного восстановления мышечного тонуса. Успешному его восстановлению способствуют улучшение периферического кровотока и проведение общего массажа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скелетнои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мускулатуры. </w:t>
            </w:r>
          </w:p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При наличии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стойкои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мышечнои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релаксации к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декураризации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следует прибегать только после появления признаков самостоятельного дыхания. Нередко избирается доза антихолинэстеразных препаратов, недостаточная для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полнои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декураризации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, и временное </w:t>
            </w:r>
          </w:p>
        </w:tc>
      </w:tr>
      <w:tr w:rsidR="00125638" w:rsidRPr="00125638" w:rsidTr="0012563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иллюзорное восстановление самостоятельного дыхания ошибочно расценивается как полное и постоянное. Необходимо динамическое наблюдение за больным после введения антихолинэстеразных препаратов не менее 30 мин. </w:t>
            </w:r>
          </w:p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Не всегда рационально решается вопрос о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продленнои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ИВЛ после операции. Нередко продленную ИВЛ применяют без достаточных оснований даже в той стадии патологического процесса, в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которои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функции внешнего дыхания и кровообращения достаточно компенсированы. Целесообразность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продленнои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ИВЛ не вызывает сомнений при запущенных формах хирургических заболеваний (токсическая и терминальная стадии перитонита, деструктивные формы острого панкреатита и др.), при которых необходимо продолжать корригирующую терапию нарушений функции дыхания, кровообращения, </w:t>
            </w:r>
          </w:p>
        </w:tc>
      </w:tr>
    </w:tbl>
    <w:p w:rsidR="00125638" w:rsidRPr="00125638" w:rsidRDefault="00125638" w:rsidP="00125638">
      <w:pPr>
        <w:rPr>
          <w:rFonts w:ascii="Times New Roman" w:eastAsia="Times New Roman" w:hAnsi="Times New Roman" w:cs="Times New Roman"/>
          <w:vanish/>
          <w:kern w:val="0"/>
          <w:lang w:eastAsia="ru-RU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125638" w:rsidRPr="00125638" w:rsidTr="00125638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 xml:space="preserve">метаболизма. С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этои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целью больных следует переводить в отделение реанимации и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интенсивнои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терапии. </w:t>
            </w:r>
          </w:p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Следует подчеркнуть, что какие бы варианты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анестезии ни были применены у больных в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экстреннои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хирургии, они могут быть адекватными лишь при сочетанном применении с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местнои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или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эпидуральнои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анестезиеи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̆. Наиболее предпочтительным вариантом является эпидуральная анестезия в комплексе с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̆, потому что, во-первых, обеспечивает более полную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антиноцицептивную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защиту, во-вторых, обеспечивает непрерывное обезболивание в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ближайшем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послеоперационном периоде и дает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лечебныи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эффект в связи с симпатолитическим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действием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, улучшая условия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интестинального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кровообращения и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восстановли-вая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моторную функцию кишечника. </w:t>
            </w:r>
          </w:p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Если нет технических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возможностеи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для проведения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эпидуральнои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анестезии, то в комплексе с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анестезиеи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в периоде ревизии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брюшнои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полости следует применять </w:t>
            </w:r>
          </w:p>
        </w:tc>
      </w:tr>
      <w:tr w:rsidR="00125638" w:rsidRPr="00125638" w:rsidTr="0012563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местную инфильтрационную анестезию путем блокады корня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брыжейки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тонкои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̆,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поперечнои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ободочнои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кишки, зоны солнечного сплетения или других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областеи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̆. </w:t>
            </w:r>
          </w:p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Сочетанное применение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̆,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проводниковои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или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местнои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инфильтрационнои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анестезии позволяет избегать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чрезмернои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фармакологическои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нагрузки на больного, у которого процессы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биотрансформации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препаратов ослаблены под влиянием основного патологического процесса, снижения функции печени и почек, нарушения кровообращения и метаболизма. </w:t>
            </w:r>
          </w:p>
        </w:tc>
      </w:tr>
    </w:tbl>
    <w:p w:rsidR="00125638" w:rsidRPr="00125638" w:rsidRDefault="00125638" w:rsidP="00125638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12563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begin"/>
      </w:r>
      <w:r w:rsidRPr="0012563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instrText xml:space="preserve"> INCLUDEPICTURE "/Users/sevindzodzagverdieva/Library/Group Containers/UBF8T346G9.ms/WebArchiveCopyPasteTempFiles/com.microsoft.Word/page11image143391552" \* MERGEFORMATINET </w:instrText>
      </w:r>
      <w:r w:rsidRPr="0012563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separate"/>
      </w:r>
      <w:r w:rsidRPr="00125638">
        <w:rPr>
          <w:rFonts w:ascii="Times New Roman" w:eastAsia="Times New Roman" w:hAnsi="Times New Roman" w:cs="Times New Roman"/>
          <w:noProof/>
          <w:kern w:val="0"/>
          <w:lang w:eastAsia="ru-RU"/>
          <w14:ligatures w14:val="none"/>
        </w:rPr>
        <w:drawing>
          <wp:inline distT="0" distB="0" distL="0" distR="0">
            <wp:extent cx="5940425" cy="164465"/>
            <wp:effectExtent l="0" t="0" r="3175" b="635"/>
            <wp:docPr id="67304340" name="Рисунок 1" descr="page11image143391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1image1433915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63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end"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125638" w:rsidRPr="00125638" w:rsidTr="00125638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Список литературы </w:t>
            </w:r>
          </w:p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,Italic" w:eastAsia="Times New Roman" w:hAnsi="Times New Roman,Italic" w:cs="Times New Roman"/>
                <w:kern w:val="0"/>
                <w:lang w:eastAsia="ru-RU"/>
                <w14:ligatures w14:val="none"/>
              </w:rPr>
              <w:t>1. Лужников Е.А.</w:t>
            </w: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, </w:t>
            </w:r>
            <w:proofErr w:type="spellStart"/>
            <w:r w:rsidRPr="00125638">
              <w:rPr>
                <w:rFonts w:ascii="Times New Roman,Italic" w:eastAsia="Times New Roman" w:hAnsi="Times New Roman,Italic" w:cs="Times New Roman"/>
                <w:kern w:val="0"/>
                <w:lang w:eastAsia="ru-RU"/>
                <w14:ligatures w14:val="none"/>
              </w:rPr>
              <w:t>Шиманко</w:t>
            </w:r>
            <w:proofErr w:type="spellEnd"/>
            <w:r w:rsidRPr="00125638">
              <w:rPr>
                <w:rFonts w:ascii="Times New Roman,Italic" w:eastAsia="Times New Roman" w:hAnsi="Times New Roman,Italic" w:cs="Times New Roman"/>
                <w:kern w:val="0"/>
                <w:lang w:eastAsia="ru-RU"/>
                <w14:ligatures w14:val="none"/>
              </w:rPr>
              <w:t xml:space="preserve"> Н.И., Костомарова Л.Г. </w:t>
            </w: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Сорбционная детоксикация в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реанимационнои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практике //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Анест</w:t>
            </w:r>
            <w:proofErr w:type="spellEnd"/>
            <w:proofErr w:type="gram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  <w:proofErr w:type="gram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и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реаниматол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1980 No b С 57--61</w:t>
            </w: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</w:r>
            <w:r w:rsidRPr="00125638">
              <w:rPr>
                <w:rFonts w:ascii="Times New Roman,Italic" w:eastAsia="Times New Roman" w:hAnsi="Times New Roman,Italic" w:cs="Times New Roman"/>
                <w:kern w:val="0"/>
                <w:lang w:eastAsia="ru-RU"/>
                <w14:ligatures w14:val="none"/>
              </w:rPr>
              <w:t xml:space="preserve">2. Малышев В.Д. </w:t>
            </w: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Интенсивная терапия острых водно-электролитных нарушений М Медицина, 1985 </w:t>
            </w:r>
          </w:p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,Italic" w:eastAsia="Times New Roman" w:hAnsi="Times New Roman,Italic" w:cs="Times New Roman"/>
                <w:kern w:val="0"/>
                <w:lang w:eastAsia="ru-RU"/>
                <w14:ligatures w14:val="none"/>
              </w:rPr>
              <w:t xml:space="preserve">3. Осложнения </w:t>
            </w: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при анестезии Пер. с англ. /Под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ред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Ф.К.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Оркина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и Л.А. Купермана М. - Медицина, 1985 Т 2</w:t>
            </w: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</w:r>
            <w:r w:rsidRPr="00125638">
              <w:rPr>
                <w:rFonts w:ascii="Times New Roman,Italic" w:eastAsia="Times New Roman" w:hAnsi="Times New Roman,Italic" w:cs="Times New Roman"/>
                <w:kern w:val="0"/>
                <w:lang w:eastAsia="ru-RU"/>
                <w14:ligatures w14:val="none"/>
              </w:rPr>
              <w:t xml:space="preserve">4. </w:t>
            </w:r>
            <w:proofErr w:type="spellStart"/>
            <w:r w:rsidRPr="00125638">
              <w:rPr>
                <w:rFonts w:ascii="Times New Roman,Italic" w:eastAsia="Times New Roman" w:hAnsi="Times New Roman,Italic" w:cs="Times New Roman"/>
                <w:kern w:val="0"/>
                <w:lang w:eastAsia="ru-RU"/>
                <w14:ligatures w14:val="none"/>
              </w:rPr>
              <w:t>Рчбов</w:t>
            </w:r>
            <w:proofErr w:type="spellEnd"/>
            <w:r w:rsidRPr="00125638">
              <w:rPr>
                <w:rFonts w:ascii="Times New Roman,Italic" w:eastAsia="Times New Roman" w:hAnsi="Times New Roman,Italic" w:cs="Times New Roman"/>
                <w:kern w:val="0"/>
                <w:lang w:eastAsia="ru-RU"/>
                <w14:ligatures w14:val="none"/>
              </w:rPr>
              <w:t xml:space="preserve"> Г.А., Семенов В.Н., Терентьева Л.М. </w:t>
            </w: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Экстренная анестезиология М Медицина 1981 </w:t>
            </w:r>
          </w:p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,Italic" w:eastAsia="Times New Roman" w:hAnsi="Times New Roman,Italic" w:cs="Times New Roman"/>
                <w:kern w:val="0"/>
                <w:lang w:eastAsia="ru-RU"/>
                <w14:ligatures w14:val="none"/>
              </w:rPr>
              <w:t xml:space="preserve">5. Савельев В.С., Абакумов М.М., Бакулева Л.П. </w:t>
            </w: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Руководство по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неотложнои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хирургии органов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брюшнои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̆ полости. - М.- Медицина, 1986.</w:t>
            </w: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</w:r>
            <w:r w:rsidRPr="00125638">
              <w:rPr>
                <w:rFonts w:ascii="Times New Roman,Italic" w:eastAsia="Times New Roman" w:hAnsi="Times New Roman,Italic" w:cs="Times New Roman"/>
                <w:kern w:val="0"/>
                <w:lang w:eastAsia="ru-RU"/>
                <w14:ligatures w14:val="none"/>
              </w:rPr>
              <w:t xml:space="preserve">6. Лужников Е.А., </w:t>
            </w:r>
            <w:proofErr w:type="spellStart"/>
            <w:r w:rsidRPr="00125638">
              <w:rPr>
                <w:rFonts w:ascii="Times New Roman,Italic" w:eastAsia="Times New Roman" w:hAnsi="Times New Roman,Italic" w:cs="Times New Roman"/>
                <w:kern w:val="0"/>
                <w:lang w:eastAsia="ru-RU"/>
                <w14:ligatures w14:val="none"/>
              </w:rPr>
              <w:t>Шиманко</w:t>
            </w:r>
            <w:proofErr w:type="spellEnd"/>
            <w:r w:rsidRPr="00125638">
              <w:rPr>
                <w:rFonts w:ascii="Times New Roman,Italic" w:eastAsia="Times New Roman" w:hAnsi="Times New Roman,Italic" w:cs="Times New Roman"/>
                <w:kern w:val="0"/>
                <w:lang w:eastAsia="ru-RU"/>
                <w14:ligatures w14:val="none"/>
              </w:rPr>
              <w:t xml:space="preserve"> Н.И., Костомарова Л.Г. </w:t>
            </w: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Сорбционная детоксикация в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реанимационнои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̆ практике // </w:t>
            </w:r>
            <w:proofErr w:type="spell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Анест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и </w:t>
            </w:r>
            <w:proofErr w:type="spellStart"/>
            <w:proofErr w:type="gram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реаниматол</w:t>
            </w:r>
            <w:proofErr w:type="spell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.--</w:t>
            </w:r>
            <w:proofErr w:type="gram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1980.-- No 6.-- С. 57--61. </w:t>
            </w:r>
            <w:r w:rsidRPr="00125638">
              <w:rPr>
                <w:rFonts w:ascii="Times New Roman,Italic" w:eastAsia="Times New Roman" w:hAnsi="Times New Roman,Italic" w:cs="Times New Roman"/>
                <w:kern w:val="0"/>
                <w:lang w:eastAsia="ru-RU"/>
                <w14:ligatures w14:val="none"/>
              </w:rPr>
              <w:t xml:space="preserve">Малышев </w:t>
            </w:r>
          </w:p>
        </w:tc>
      </w:tr>
      <w:tr w:rsidR="00125638" w:rsidRPr="00125638" w:rsidTr="0012563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25638" w:rsidRPr="00125638" w:rsidRDefault="00125638" w:rsidP="00125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5638">
              <w:rPr>
                <w:rFonts w:ascii="Times New Roman,Italic" w:eastAsia="Times New Roman" w:hAnsi="Times New Roman,Italic" w:cs="Times New Roman"/>
                <w:kern w:val="0"/>
                <w:lang w:eastAsia="ru-RU"/>
                <w14:ligatures w14:val="none"/>
              </w:rPr>
              <w:t xml:space="preserve">В.Д. </w:t>
            </w:r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Интенсивная терапия острых водно-электролитных </w:t>
            </w:r>
            <w:proofErr w:type="gramStart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нарушений.--</w:t>
            </w:r>
            <w:proofErr w:type="gramEnd"/>
            <w:r w:rsidRPr="0012563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М.: Медицина, 1985. </w:t>
            </w:r>
          </w:p>
        </w:tc>
      </w:tr>
    </w:tbl>
    <w:p w:rsidR="00125638" w:rsidRDefault="00125638"/>
    <w:sectPr w:rsidR="00125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 New Roman,Italic">
    <w:altName w:val="Times New Roman"/>
    <w:panose1 w:val="00000500000000090000"/>
    <w:charset w:val="00"/>
    <w:family w:val="roman"/>
    <w:notTrueType/>
    <w:pitch w:val="default"/>
  </w:font>
  <w:font w:name="Times New Roman,BoldItalic">
    <w:altName w:val="Times New Roman"/>
    <w:panose1 w:val="0000080000000009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E1D5A"/>
    <w:multiLevelType w:val="multilevel"/>
    <w:tmpl w:val="9E9EA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5173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38"/>
    <w:rsid w:val="0012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F21F91"/>
  <w15:chartTrackingRefBased/>
  <w15:docId w15:val="{0C7A47A5-C0A5-3645-A229-960AE23B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63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2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5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5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7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1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5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3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2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4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9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4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5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0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9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6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1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5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4612</Words>
  <Characters>26290</Characters>
  <Application>Microsoft Office Word</Application>
  <DocSecurity>0</DocSecurity>
  <Lines>219</Lines>
  <Paragraphs>61</Paragraphs>
  <ScaleCrop>false</ScaleCrop>
  <Company/>
  <LinksUpToDate>false</LinksUpToDate>
  <CharactersWithSpaces>30841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sevinj5@mail.ru</dc:creator>
  <cp:keywords/>
  <dc:description/>
  <cp:lastModifiedBy>sevinj5@mail.ru</cp:lastModifiedBy>
  <cp:revision>1</cp:revision>
  <dcterms:created xsi:type="dcterms:W3CDTF">2024-06-23T08:14:00Z</dcterms:created>
  <dcterms:modified xsi:type="dcterms:W3CDTF">2024-06-23T08:18:00Z</dcterms:modified>
</cp:coreProperties>
</file>