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8C" w:rsidRPr="00CA7C8C" w:rsidRDefault="00CA7C8C" w:rsidP="00CA7C8C">
      <w:pPr>
        <w:pStyle w:val="10"/>
        <w:spacing w:line="360" w:lineRule="auto"/>
        <w:rPr>
          <w:b w:val="0"/>
          <w:sz w:val="28"/>
          <w:szCs w:val="28"/>
        </w:rPr>
      </w:pPr>
      <w:r w:rsidRPr="00CA7C8C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CA7C8C">
        <w:rPr>
          <w:b w:val="0"/>
          <w:sz w:val="28"/>
          <w:szCs w:val="28"/>
        </w:rPr>
        <w:t>В.Ф.Войно-Ясенецкого</w:t>
      </w:r>
      <w:proofErr w:type="spellEnd"/>
      <w:r w:rsidRPr="00CA7C8C">
        <w:rPr>
          <w:b w:val="0"/>
          <w:sz w:val="28"/>
          <w:szCs w:val="28"/>
        </w:rPr>
        <w:t xml:space="preserve">" </w:t>
      </w:r>
    </w:p>
    <w:p w:rsidR="00CA7C8C" w:rsidRPr="00CA7C8C" w:rsidRDefault="00CA7C8C" w:rsidP="00CA7C8C">
      <w:pPr>
        <w:pStyle w:val="10"/>
        <w:spacing w:line="360" w:lineRule="auto"/>
        <w:rPr>
          <w:b w:val="0"/>
          <w:sz w:val="28"/>
          <w:szCs w:val="28"/>
        </w:rPr>
      </w:pPr>
      <w:r w:rsidRPr="00CA7C8C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CA7C8C" w:rsidRPr="00CA7C8C" w:rsidRDefault="00CA7C8C" w:rsidP="00CA7C8C">
      <w:pPr>
        <w:pStyle w:val="10"/>
        <w:spacing w:line="360" w:lineRule="auto"/>
        <w:rPr>
          <w:b w:val="0"/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  <w:r w:rsidRPr="00CA7C8C">
        <w:rPr>
          <w:b w:val="0"/>
          <w:sz w:val="28"/>
          <w:szCs w:val="28"/>
        </w:rPr>
        <w:t xml:space="preserve">Кафедра </w:t>
      </w:r>
      <w:proofErr w:type="spellStart"/>
      <w:r w:rsidRPr="00CA7C8C">
        <w:rPr>
          <w:b w:val="0"/>
          <w:sz w:val="28"/>
          <w:szCs w:val="28"/>
        </w:rPr>
        <w:t>перинатологии</w:t>
      </w:r>
      <w:proofErr w:type="spellEnd"/>
      <w:r w:rsidRPr="00CA7C8C">
        <w:rPr>
          <w:b w:val="0"/>
          <w:sz w:val="28"/>
          <w:szCs w:val="28"/>
        </w:rPr>
        <w:t>, акушерства и гинекологии лечебного факультета</w:t>
      </w: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CA7C8C">
        <w:rPr>
          <w:sz w:val="28"/>
          <w:szCs w:val="28"/>
        </w:rPr>
        <w:t xml:space="preserve">Зав. кафедрой: д.м.н., профессор </w:t>
      </w:r>
      <w:proofErr w:type="spellStart"/>
      <w:r w:rsidRPr="00CA7C8C">
        <w:rPr>
          <w:sz w:val="28"/>
          <w:szCs w:val="28"/>
        </w:rPr>
        <w:t>Цхай</w:t>
      </w:r>
      <w:proofErr w:type="spellEnd"/>
      <w:r w:rsidRPr="00CA7C8C">
        <w:rPr>
          <w:sz w:val="28"/>
          <w:szCs w:val="28"/>
        </w:rPr>
        <w:t xml:space="preserve"> В.Б.</w:t>
      </w:r>
    </w:p>
    <w:p w:rsidR="00CA7C8C" w:rsidRPr="00CA7C8C" w:rsidRDefault="00CA7C8C" w:rsidP="00CA7C8C">
      <w:pPr>
        <w:pStyle w:val="10"/>
        <w:spacing w:line="360" w:lineRule="auto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  <w:r w:rsidRPr="00CA7C8C">
        <w:rPr>
          <w:sz w:val="28"/>
          <w:szCs w:val="28"/>
        </w:rPr>
        <w:t>Реферат</w:t>
      </w: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  <w:r w:rsidRPr="00CA7C8C">
        <w:rPr>
          <w:sz w:val="28"/>
          <w:szCs w:val="28"/>
        </w:rPr>
        <w:t>«</w:t>
      </w:r>
      <w:r w:rsidR="00D71B74">
        <w:rPr>
          <w:sz w:val="28"/>
          <w:szCs w:val="28"/>
        </w:rPr>
        <w:t>Дистрофические заболевания вульвы и влагалища</w:t>
      </w:r>
      <w:r w:rsidRPr="00CA7C8C">
        <w:rPr>
          <w:sz w:val="28"/>
          <w:szCs w:val="28"/>
        </w:rPr>
        <w:t>»</w:t>
      </w: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0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jc w:val="right"/>
        <w:rPr>
          <w:sz w:val="28"/>
          <w:szCs w:val="28"/>
        </w:rPr>
      </w:pPr>
      <w:r w:rsidRPr="00CA7C8C">
        <w:rPr>
          <w:sz w:val="28"/>
          <w:szCs w:val="28"/>
        </w:rPr>
        <w:t>Выполнил:</w:t>
      </w:r>
    </w:p>
    <w:p w:rsidR="00CA7C8C" w:rsidRPr="00CA7C8C" w:rsidRDefault="00CA7C8C" w:rsidP="00CA7C8C">
      <w:pPr>
        <w:pStyle w:val="1"/>
        <w:spacing w:line="360" w:lineRule="auto"/>
        <w:jc w:val="right"/>
        <w:rPr>
          <w:sz w:val="28"/>
          <w:szCs w:val="28"/>
        </w:rPr>
      </w:pPr>
      <w:r w:rsidRPr="00CA7C8C">
        <w:rPr>
          <w:sz w:val="28"/>
          <w:szCs w:val="28"/>
        </w:rPr>
        <w:t>Ординатор 2-го года обучения Докторова О.И.</w:t>
      </w:r>
    </w:p>
    <w:p w:rsidR="00CA7C8C" w:rsidRPr="00CA7C8C" w:rsidRDefault="00CA7C8C" w:rsidP="00CA7C8C">
      <w:pPr>
        <w:pStyle w:val="1"/>
        <w:spacing w:line="360" w:lineRule="auto"/>
        <w:jc w:val="right"/>
        <w:rPr>
          <w:sz w:val="28"/>
          <w:szCs w:val="28"/>
        </w:rPr>
      </w:pPr>
      <w:r w:rsidRPr="00CA7C8C">
        <w:rPr>
          <w:sz w:val="28"/>
          <w:szCs w:val="28"/>
        </w:rPr>
        <w:t>Проверил: асс. Коновалов В.Н.</w:t>
      </w: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Pr="00CA7C8C" w:rsidRDefault="00CA7C8C" w:rsidP="00CA7C8C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A7C8C" w:rsidRDefault="00CA7C8C" w:rsidP="00CA7C8C">
      <w:pPr>
        <w:pStyle w:val="1"/>
        <w:spacing w:line="360" w:lineRule="auto"/>
        <w:jc w:val="center"/>
        <w:rPr>
          <w:sz w:val="28"/>
          <w:szCs w:val="28"/>
        </w:rPr>
      </w:pPr>
      <w:r w:rsidRPr="00CA7C8C">
        <w:rPr>
          <w:sz w:val="28"/>
          <w:szCs w:val="28"/>
        </w:rPr>
        <w:t>Красноярск 2024г</w:t>
      </w:r>
    </w:p>
    <w:p w:rsidR="00D71B74" w:rsidRPr="00CA7C8C" w:rsidRDefault="00D71B74" w:rsidP="00CA7C8C">
      <w:pPr>
        <w:pStyle w:val="1"/>
        <w:spacing w:line="360" w:lineRule="auto"/>
        <w:jc w:val="center"/>
        <w:rPr>
          <w:sz w:val="28"/>
          <w:szCs w:val="28"/>
        </w:rPr>
      </w:pPr>
    </w:p>
    <w:p w:rsidR="004223BC" w:rsidRPr="00CA7C8C" w:rsidRDefault="00CA7C8C">
      <w:pPr>
        <w:rPr>
          <w:rFonts w:ascii="Times New Roman" w:hAnsi="Times New Roman" w:cs="Times New Roman"/>
          <w:b/>
          <w:sz w:val="28"/>
          <w:szCs w:val="28"/>
        </w:rPr>
      </w:pPr>
      <w:r w:rsidRPr="00CA7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Классификация заболеваний вульвы. 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Патогенез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Склероатрофический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лишай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Плоскоклеточная гиперплазия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Заключение</w:t>
      </w: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Особую группу в структуре гинекологической патологии занимают неопухолевые поражения вульвы, именовавшиеся ранее хроническими дистрофическими заболеваниями (ДЗВ). Долгое время их относили к предраковым процессам, в настоящее время эти поражения считаются доброкачественными. Однако следует учитывать, что риск их малигнизации колеблется от 10 до 35%. Ранее подобные изменения классифицировали как «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» и «лейкоплакия», позже их выделили в группу «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вульварной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дистрофии», нозологическими формами которой являются склеротический лишай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lichen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sclerosus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) и плоскоклеточная гиперплазия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squamous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hyperplasia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). В структуре общей гинекологической патологии дистрофические заболевания вульвы занимают от 0,6 до 9%. ДЗВ чаще всего встречаются в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пременопаузе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постменопаузе. При этом все чаще в литературе появляются упоминания о пациентках, находящихся в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пубертатном, репродуктивном возрасте. Такие симптомы, как болезненность, зуд,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, дизурия, могут привести пациенток к неврозам и депрессивным состояниям, вегетососудистым и неврологическим нарушениям.</w:t>
      </w: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</w:p>
    <w:p w:rsidR="00D71B74" w:rsidRPr="00CA7C8C" w:rsidRDefault="00D71B74">
      <w:pPr>
        <w:rPr>
          <w:rFonts w:ascii="Times New Roman" w:hAnsi="Times New Roman" w:cs="Times New Roman"/>
          <w:sz w:val="28"/>
          <w:szCs w:val="28"/>
        </w:rPr>
      </w:pPr>
    </w:p>
    <w:p w:rsidR="00CA7C8C" w:rsidRPr="00D71B74" w:rsidRDefault="00CA7C8C">
      <w:pPr>
        <w:rPr>
          <w:rFonts w:ascii="Times New Roman" w:hAnsi="Times New Roman" w:cs="Times New Roman"/>
          <w:b/>
          <w:sz w:val="28"/>
          <w:szCs w:val="28"/>
        </w:rPr>
      </w:pPr>
      <w:r w:rsidRPr="00D71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Классификация заболеваний вульвы. </w:t>
      </w:r>
    </w:p>
    <w:p w:rsid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Классификация Международного общества по изучению болезней вульвы и влагалища (ISSVD) и Международного общества по гинекологической патологии (ISGP): </w:t>
      </w:r>
    </w:p>
    <w:p w:rsidR="00CA7C8C" w:rsidRPr="00CA7C8C" w:rsidRDefault="00CA7C8C" w:rsidP="00CA7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Доброкачественные поражения вульвы.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– Склеротический лишай.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– Плоскоклеточная гиперплазия (ранее известная ка</w:t>
      </w:r>
      <w:r>
        <w:rPr>
          <w:rFonts w:ascii="Times New Roman" w:hAnsi="Times New Roman" w:cs="Times New Roman"/>
          <w:sz w:val="28"/>
          <w:szCs w:val="28"/>
        </w:rPr>
        <w:t>к гиперпластическая дистрофия).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Другие дерматозы.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Вульварная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неоплазия (VIN). </w:t>
      </w:r>
    </w:p>
    <w:p w:rsidR="00CA7C8C" w:rsidRDefault="00CA7C8C" w:rsidP="00CA7C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Плоскоклеточная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вульварная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неоплазия. </w:t>
      </w:r>
    </w:p>
    <w:p w:rsidR="00CA7C8C" w:rsidRP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VIN 1 – соответствует легкой дисплазии вульвы.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VIN 2 – умеренно выраженной дисплазии вульвы.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VIN 3 – тяжелой дисплазии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C8C" w:rsidRPr="00CA7C8C" w:rsidRDefault="00CA7C8C" w:rsidP="00CA7C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Неплоскоклеточная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вульварная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неоплазия.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Болезнь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Меланома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C8C" w:rsidRPr="00CA7C8C" w:rsidRDefault="00CA7C8C" w:rsidP="00CA7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Инвазивный рак. </w:t>
      </w:r>
    </w:p>
    <w:p w:rsidR="00CA7C8C" w:rsidRDefault="00CA7C8C" w:rsidP="00CA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Фоновые процессы.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Склеротический лишай;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– Гиперпластическая дистрофия: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а) без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б) с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Смешанная дистрофия (сочетание гиперпластической дистрофии со склеротическим лишаем);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Кондиломы;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Дисплазии: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Слабая;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– Умеренная;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Тяжелая. 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Преинвазивная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карцинома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Развивается на фоне дистрофии, болезни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эритроплакии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Кейра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IV.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Микроинвазивный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рак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( инвазия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до 5 мм). 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вульвы: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преинвазивная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форма;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 – инвазивная форма. 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Инвазивный рак: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Плоскоклеточный(</w:t>
      </w:r>
      <w:proofErr w:type="spellStart"/>
      <w:proofErr w:type="gramEnd"/>
      <w:r w:rsidRPr="00CA7C8C">
        <w:rPr>
          <w:rFonts w:ascii="Times New Roman" w:hAnsi="Times New Roman" w:cs="Times New Roman"/>
          <w:sz w:val="28"/>
          <w:szCs w:val="28"/>
        </w:rPr>
        <w:t>ороговевающий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неороговевающий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);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Базальноклеточный;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Низкодифференцированный. </w:t>
      </w:r>
    </w:p>
    <w:p w:rsidR="00CA7C8C" w:rsidRPr="00CA7C8C" w:rsidRDefault="00CA7C8C" w:rsidP="00CA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Неэпителиальные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злокачественные опухоли: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Злокачественная меланома;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– Саркома. </w:t>
      </w:r>
      <w:bookmarkStart w:id="0" w:name="_GoBack"/>
      <w:bookmarkEnd w:id="0"/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Несмотря на то, что фоновые и предраковые заболевания вульвы известны врачам гинекологам давно, этиология и патогенез дистрофических заболеваний вульвы изучены недостаточно полно. В настоящее время имеется несколько теорий, которые пытаются объяснить причины возникновения дистрофических заболеваний вульвы.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хорошо изучены и обоснованы гормональная,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вирусно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– инфекционная (роль ВПЧ и ВПГ) и нейроэндокринная теории.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Orlandi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Costa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S. еще в 1989 году показали, что у 62 % больных раком вульвы имеется анамнестическая связь с вирусной патологией половых путей. В зарубежных исследованиях выявленная частота поражения вирусом папилломы человека 16,18 типа при VIN 3 и раке вульвы колеблется в зависимости от применяемой тест – системы от 50 до 70% случаев. У более молодых женщин инфекция обычно носит временный характер. Многочисленные исследования показали, что у женщин с наличием ДНК ВПЧ (даже при нормальной цитологии) в течение нескольких лет может развиться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карцинома, а у женщин с отсутствием ДНК ВПЧ неоплазия развивается лишь в 1–3% наблюдений. При морфологическом </w:t>
      </w: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исследовании у ВПЧ – положительных пациенток чаще присутствовал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койлоцитоз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на фоне атипических клеток (94%). Однако временные рамки канцерогенного действия на фоне вирусного поражения на данный момент достоверно не определены. Поэтому роль ВПЧ в развитии рака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вульвыв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настоящее время рассматривается как одна из теорий. Кроме того, имеются научные сообщения о частом выявлении вируса простого герпеса (ВПГ) 2-го типа в злокачественных опухолях вульвы. Но роль ВПГ в процессах формирования неоплазии окончательно не определена. Антитела к вирусу простого герпеса 2 серотипа еще в исследованиях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Бохмана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Я.В. при раке вульвы выделялись в сыворотке крови больных в 80% случаев. Вирус простого герпеса обладает одинаково высоким тропизмом к эпителиальным и к нервным клеткам. Длительное вирусное изменение периферических ганглиев и разрушение вирусными частицами нервных стволов может привести к снижению кровоснабжения и трофики тканей, в частности нейродистрофическим изменениям вульвы. Отечественная школа предложила нейроэндокринную теорию развития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рака вульвы. Концепцию данной теории составляют изменения всех уровней нервной системы, особенно гипоталамических центров, что впоследствии может приводить к нарушениям трофики тканей вульвы. По мнению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Штемберга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М.И, важное значение в этиологии и патогенезе данного заболевания имеют изменения функции щитовидной железы и коры надпочечников, нарушение гормонального равновесия в сторону снижения эстрогенных гормонов. На фоне нарушений выброса гормонов гипофиза изменяется функция периферических нейроэндокринных желез, происходит снижение выработки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повышение выделения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Можно предположить, что данный гормональный дисбаланс в свою очередь приводит к функциональной недостаточности рецепторного аппарата вульвы.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К факторам риска развития неопухолевых заболеваний вульвы относят: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1. Постменопаузальный возраст.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2. Хроническую ВПЧ-инфекцию или ВПЧ-носительство более 10 лет, а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такжехронические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воспалительные процессы внутренних половых органов.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3. Наличие дисплазии шейки матки (СIN).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4. Укороченный репродуктивный период (позднее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ранняя менопауза).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Гипоэстрогению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6. Диабет, ожирение.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7. Несоблюдение личной гигиены.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12CD3">
        <w:rPr>
          <w:rFonts w:ascii="Times New Roman" w:hAnsi="Times New Roman" w:cs="Times New Roman"/>
          <w:b/>
          <w:sz w:val="28"/>
          <w:szCs w:val="28"/>
        </w:rPr>
        <w:t>Склероатрофический</w:t>
      </w:r>
      <w:proofErr w:type="spellEnd"/>
      <w:r w:rsidRPr="00B12CD3">
        <w:rPr>
          <w:rFonts w:ascii="Times New Roman" w:hAnsi="Times New Roman" w:cs="Times New Roman"/>
          <w:b/>
          <w:sz w:val="28"/>
          <w:szCs w:val="28"/>
        </w:rPr>
        <w:t xml:space="preserve"> лишай.</w:t>
      </w:r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EA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Склероатрофический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лишай (склеротический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лихен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 представляет собой выраженную дистрофию кожи и слизистых оболочек вульвы, на фоне которой могут возникнуть предраковые и раковые процессы. Частота заболевания составляет 1 на 300 – 1000 женщин. Встречается в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пери- и постменопаузальном возрасте.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возникает атрофия и гиперкератоз многослойного плоского</w:t>
      </w:r>
      <w:r w:rsidR="00B12CD3"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эпителия, разрастание грубой соединительной ткани, приводящие к деформации и уменьшению наружных гениталий, нарушению их функции. В процессе развития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выделяют три стадии. На первой стадии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отмечаются отек и покраснение половых органов, вызванные нарушением микроциркуляции и гипоксией тканей. Во второй стадии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наблюдается нарушение пигментации, сухость, шероховатость, неэластичность кожи и слизистой, появление на них белесых тонких чешуек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лихенификации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); уплощение малых и больших половых губ. Третья стадия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характеризуется полной атрофией и развитием рубцового склероза наружных гениталий. Ригидные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склерозированные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ткани вульвы сморщиваются, приводя к резкому уменьшению объема малых и больших половых губ, клитора, сужению влагалища, наружного отверстия уретры и анального отверстия.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 стадии склероза создает трудности и вызывает боль при половом акте, а иногда мочеиспускании и дефекации. Возникновение глубоких, плохо заживающих трещин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легко может осложниться присоединением инфекции. В сочетании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</w:t>
      </w:r>
      <w:r w:rsidR="00B12CD3"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увеличивается опасность злокачественной трансформации. </w:t>
      </w:r>
    </w:p>
    <w:p w:rsidR="00FB5BEA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FB5BEA">
        <w:rPr>
          <w:rFonts w:ascii="Times New Roman" w:hAnsi="Times New Roman" w:cs="Times New Roman"/>
          <w:i/>
          <w:sz w:val="28"/>
          <w:szCs w:val="28"/>
        </w:rPr>
        <w:t>Клиническая картина.</w:t>
      </w:r>
      <w:r w:rsidRPr="00CA7C8C">
        <w:rPr>
          <w:rFonts w:ascii="Times New Roman" w:hAnsi="Times New Roman" w:cs="Times New Roman"/>
          <w:sz w:val="28"/>
          <w:szCs w:val="28"/>
        </w:rPr>
        <w:t xml:space="preserve"> На начальном этапе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проявляется парестезиями (ощущением легкого покалывания) в области наружных половых органов или симптомами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вульводинии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(жжением, чувством сухости, стягивания), что может не привлекать к себе должного внимания пациентки. Ведущим симптомом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является нестерпимый приступообразный зуд вульвы, обостряющийся в ночное время, после горячих ванн и физической нагрузки. Причиной зуда служат изменения в рецепторах вульвы, вызывающие нарушения в проведении нервных импульсов. Упорный зуд вульвы, продолжаясь в течение длительного времени, приводит к нарушению сна и работоспособности, истощению нервной системы с развитием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- эмоциональных и сосудистых расстройств. Пациенток с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также беспокоит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– боли при половом акте, мешающие интимной жизни; иногда дизурия и </w:t>
      </w: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дефекации.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отмечаются расчесы и ссадины, множественные трещины, субэпителиальные кровоизлияния, воспаления. В начальном периоде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большие и малые половые губы выглядят гиперемированными и отечными. Затем кожа и слизистые покровы становятся сухими и шероховатыми, с белесо - серым оттенком, приобретают сморщенный вид, на них пропадают волосы. Постепенно клитор и малые половые губы перестают определяться, большие половые губы приобретают вид уплощенных валиков; резко уменьшается (иногда до полной облитерации) просвет влагалища, мочеиспускательного канала. </w:t>
      </w:r>
    </w:p>
    <w:p w:rsidR="00FB5BEA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включает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лабораторное и инструментальное обследование.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обнаруживается у пациентки обычно уже при гинекологическом осмотре на кресле. Один из основных методов диагностики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-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вульвоскопия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), позволяющая увидеть патологические изменения слизистой и кожи.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 стадии полной атрофии и склероза не требует дифференциальной диагностики, но на ранних стадиях его необходимо отличать от нейродермита, красного плоского лишая, лейкоплакии, дисплазии,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вульвита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вагинита, сахарного диабета, имеющих схожую генитальную симптоматику.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рекомендуется лабораторное исследование на наличие ВПЧ методом ПЦР с типированием вируса, определение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сахара крови. Для обнаружения пораженных вирусом эпителиальных клеток и наличия атрофии или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необходимо цитологическое исследование мазков и отпечатков со слизистой вульвы. Чтобы исключить возможную малигнизацию,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вульвыпроводят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биопсию тканей вульвы с гистологическим изучением материала. Патоморфологическая картина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характеризуется депигментацией, гиперкератозом эпителия, склерозом и атрофией дермы и соединительной ткани, полной или частичной потерей эластических волокон, гомогенизацией коллагена, воспалительными инфильтратами в тканях. При исследовании биоптата – эпидермис нормальный, сосочковый слой сглажен, поверхностные слои кожи отечны, наблюдается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гиалинизация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в глубоких слоях кожи, как и при гиперпластической </w:t>
      </w:r>
      <w:proofErr w:type="spellStart"/>
      <w:proofErr w:type="gramStart"/>
      <w:r w:rsidRPr="00CA7C8C">
        <w:rPr>
          <w:rFonts w:ascii="Times New Roman" w:hAnsi="Times New Roman" w:cs="Times New Roman"/>
          <w:sz w:val="28"/>
          <w:szCs w:val="28"/>
        </w:rPr>
        <w:t>дистрофии,наблюдается</w:t>
      </w:r>
      <w:proofErr w:type="spellEnd"/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хроническое воспаление. Отмечается отсутствие подкожной жировой клетчатки.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FB5BEA">
        <w:rPr>
          <w:rFonts w:ascii="Times New Roman" w:hAnsi="Times New Roman" w:cs="Times New Roman"/>
          <w:i/>
          <w:sz w:val="28"/>
          <w:szCs w:val="28"/>
        </w:rPr>
        <w:t>Лечение.</w:t>
      </w:r>
      <w:r w:rsidRPr="00CA7C8C">
        <w:rPr>
          <w:rFonts w:ascii="Times New Roman" w:hAnsi="Times New Roman" w:cs="Times New Roman"/>
          <w:sz w:val="28"/>
          <w:szCs w:val="28"/>
        </w:rPr>
        <w:t xml:space="preserve"> Целесообразно назначение антигистаминных средств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хлоропирамин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мебгидролин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клемастин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), а также седативных препаратов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хлорпромазин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). Местное лечение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включает гормональные мази, содержащие эстрогены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эстриол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дипропионат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), прогестерон, андрогены, кортикостероиды. Молодым пациенткам эстрогены не показаны, им во второй фазе менструального </w:t>
      </w: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цикла рекомендуют крем с прогестероном; пациенткам пожилого возраста – назначают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эстриол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перорально или синестрол в/м, а затем гестагены –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оксипрогестерона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капронат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в/м или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норэтистерон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перорально. Более выраженное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противозудное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действие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оказывают мази с андрогенами. Достаточно широко в лечении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применяют кортикостероидные мази с гидрокортизоном, преднизолоном,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бетаметазоном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оказывающие сильное противовоспалительное, десенсибилизирующее и стабилизирующее действие. При присоединении микробной инфекции показаны антибактериальные мази. В лечении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используют локальную</w:t>
      </w:r>
      <w:r w:rsidR="00FB5BEA"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лазеротерапию, рефлексотерапию,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бальнеопроцедуры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рентгенотерапию (лучи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Букки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), фотодинамическую терапию. Обязательны витаминотерапия (витамины А, Е, С, группы В, РР), прием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иммунокорректоров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биостимуляторов. При неэффективности консервативной терапии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применяют инвазивные методы лечения: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денервацию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вульвы, лазерную абляцию вульвы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криодеструкцию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пораженных тканей, при подозрении на малигнизацию - поверхностное хирургическое иссечение кожи вульвы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вульвэктомию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B12CD3">
        <w:rPr>
          <w:rFonts w:ascii="Times New Roman" w:hAnsi="Times New Roman" w:cs="Times New Roman"/>
          <w:b/>
          <w:sz w:val="28"/>
          <w:szCs w:val="28"/>
        </w:rPr>
        <w:t>Плоскоклеточная гиперплазия.</w:t>
      </w:r>
      <w:r w:rsidRPr="00CA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D3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Плоскоклеточная гиперплазия (лейкоплакия, гиперпластическая дистрофия) представляет собой неспецифическую гиперплазию эпителия, возникающую в эпидермисе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рассматривающуюся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 качестве неадекватной пролиферативной реакции эпителия вульвы на широкий круг раздражающих факторов. По степени выраженности гиперкератоза выделяют три формы лейкоплакии вульвы: плоскую (простую), гипертрофическую и бородавчатую. Плоская лейкоплакия вульвы характеризуется появлением на поверхности вульвы плоских гладких белесоватых пятен без видимых явлений воспаления, которые после снятия их тампоном появляются вновь. Плоская лейкоплакия может наблюдаться на ограниченных участках, а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генерализованном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процессе – на обширной поверхности вульвы. При гипертрофической лейкоплакии вульвы очаги поражения представлены сухими выпуклыми бляшками серовато-белого цвета, которые невозможно удалить со слизистой вульвы.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Лейкоплакические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бляшки иногда могут сливаться между собой. Бородавчатая лейкоплакия вульвы обусловлена значительным разрастанием и ороговением ограниченных очагов поражения, напоминающих бородавки; нередко осложняется образованием трещин, эрозий и развитием воспаления. Бородавчатая лейкоплакия вульвы считается предраковым состоянием. Клиническая картина. Лейкоплакия вульвы может протекать бессимптомно, не вызывая у пациентки неприятных ощущений. Проявления лейкоплакии вульвы чаще всего </w:t>
      </w:r>
      <w:r w:rsidRPr="00CA7C8C">
        <w:rPr>
          <w:rFonts w:ascii="Times New Roman" w:hAnsi="Times New Roman" w:cs="Times New Roman"/>
          <w:sz w:val="28"/>
          <w:szCs w:val="28"/>
        </w:rPr>
        <w:lastRenderedPageBreak/>
        <w:t>наблюдаются в области клитора</w:t>
      </w:r>
      <w:r w:rsidR="00B12CD3"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и малых половых губ.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При лейкоплакии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вульвы на слизистой оболочке начинают появляться небольшие, иногда множественные белесые пятнышки. Вследствие дальнейшего ороговения поверхность очагов лейкоплакии приобретает серовато – белый и перламутровый оттенок, эпителиальные бляшки утолщаются и начинают слегка выступать над поверхностью слизистой. Медленно увеличиваясь в размерах, бляшки могут сливаться и распространяться на значительную поверхность вульвы. Очаги лейкоплакии вульвы очень стойкие, не исчезают при их обработке. При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склерозировании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инфицировании тканей вульвы возникает постоянный сильный зуд и жжение, которые усиливаются ночью, после мочеиспускания, при движении и половом акте; появляются парестезии (онемение, покалывание). Бородавчатая форма лейкоплакии вульвы с плотными ороговевшими разрастаниями осложняется появлением болезненных и плохо заживающих хронических трещин, эрозий и язв, к которым присоединяется микробная ин</w:t>
      </w:r>
      <w:r w:rsidR="00B12CD3">
        <w:rPr>
          <w:rFonts w:ascii="Times New Roman" w:hAnsi="Times New Roman" w:cs="Times New Roman"/>
          <w:sz w:val="28"/>
          <w:szCs w:val="28"/>
        </w:rPr>
        <w:t xml:space="preserve">фекция. Развитие воспаления </w:t>
      </w:r>
      <w:proofErr w:type="gramStart"/>
      <w:r w:rsidR="00B12CD3">
        <w:rPr>
          <w:rFonts w:ascii="Times New Roman" w:hAnsi="Times New Roman" w:cs="Times New Roman"/>
          <w:sz w:val="28"/>
          <w:szCs w:val="28"/>
        </w:rPr>
        <w:t xml:space="preserve">при </w:t>
      </w:r>
      <w:r w:rsidRPr="00CA7C8C">
        <w:rPr>
          <w:rFonts w:ascii="Times New Roman" w:hAnsi="Times New Roman" w:cs="Times New Roman"/>
          <w:sz w:val="28"/>
          <w:szCs w:val="28"/>
        </w:rPr>
        <w:t>лейкоплакии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вульвы сопровождается отеком и гиперемией. Болезненность во время полового акта мешает интимной жизни пациентки, приводит к развитию психоневрологической симптоматики. Диагностика лейкоплакии вульвы основывается на жалобах пациентки, результатах гинекологического обследования, инструментального и лабораторного исследований. При гинекологическом осмотре можно обнаружить характерные белесые очаги на слизистой. Обязательно выполняется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вульвоскопия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), которая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при лейкоплакии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выявляет беловато – серый или желтоватый цвет слизистой, малопрозрачную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ороговевающую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бугристую поверхность, отсутствие или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невыраженность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сосудистого рисунка. При проведении пробы Шиллера с раствором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очаги лейкоплакии вульвы не окрашиваются и становятся хорошо заметны невооруженным глазом. Также выполняется микроскопическое исследование мазка на микрофлору и на онкоцитологические изменения слизистой вульвы. С участков, подозрительных на наличие лейкоплакии вульвы, производится прицельная биопсия с последующим гистологическим исследованием материала, показывающим характер изменений в клетках и тканях слизистой. Микроскопически в дерме имеет место наличие хронического воспалительного клеточного инфильтрата, удлинение и уплощение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эпидермальных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сосочков, а также признаки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акантоза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гиперкератоза; нередко отмечается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Лечение. При лечении больных с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вульвы в первую очередь необходимо исключить раздражающие факторы, восстановить барьерную функцию эпидермиса, провести противовоспалительную терапию.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При лейкоплакии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вульвы противопоказаны горячие ванны и длительная инсоляция. Назначается местное противовоспалительное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противозудное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лечение с </w:t>
      </w:r>
      <w:r w:rsidRPr="00CA7C8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мазей, кремов, вагинальных шариков с гормонами, антисептиками. В гормональной терапии применяют преднизолон, эстрогены в сочетании с андрогенами, эстроген -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препараты,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неконъюгированные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эстрогены и производные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(циклически или в режиме контрацепции 2 – 3 месячными курсами). Возможен прием витаминов и микроэлементов, антигистаминных препаратов, при упорном зуде – проведение новокаиновых блокад. Для восстановления барьерной функции эпидермиса применяют ванны. Рекомендуются нейтральные заменители мыла. После их тщательного смывания водой наносят мазь, удерживающую влагу, с включением лекарственного средства. Современные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ультрафонофорез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лекарственных средств, оксигенотерапия с модуляцией ритмов головного мозга)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при лейкоплакии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вульвы оказывают противовоспалительное, десенсибилизирующее действие, нормализуют обменные процессы, гормональный и психоэмоциональный фон, укрепляют иммунную систему. Коррекция психоэмоционального состояния с применением седативных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методик является важным элементом лечения лейкоплакии вульвы. При отсутствии эффекта от консервативного лечения лейкоплакии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вульвысовременная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гинекология применяет хирургическое иссечение единичных очагов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лейкокератоза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скальпелем,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радионожом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а также удаление их с помощью лазера и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криодеструкции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C8C" w:rsidRDefault="00CA7C8C" w:rsidP="00CA7C8C">
      <w:pPr>
        <w:ind w:left="360"/>
        <w:rPr>
          <w:rFonts w:ascii="Times New Roman" w:hAnsi="Times New Roman" w:cs="Times New Roman"/>
          <w:sz w:val="28"/>
          <w:szCs w:val="28"/>
        </w:rPr>
      </w:pPr>
      <w:r w:rsidRPr="00B12CD3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CA7C8C">
        <w:rPr>
          <w:rFonts w:ascii="Times New Roman" w:hAnsi="Times New Roman" w:cs="Times New Roman"/>
          <w:sz w:val="28"/>
          <w:szCs w:val="28"/>
        </w:rPr>
        <w:t xml:space="preserve"> Хронические дистрофические заболевания вульвы – большая группа болезней, включающая несколько нозологических форм. Известны нейрогенная, эндокринная, инфекционная, наследственная, аутоиммунная теории патогенеза ДЗВ. Наиболее часто данная патология связана с выраженной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гипоэстрогенией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 менопаузальный период. При этом отмечен рост числа пациенток с ДЗВ позднего репродуктивного периода. ДЗВ следует рассматривать в качестве индикаторов риска развития рака вульвы. Ряд авторов отмечают увеличение количества ДЗВ, на фоне которых в 9 – 49% случаев возникает рак. Таким образом, эффективное лечение ДЗВ — путь к профилактике рака вульвы, составляющего 3 – 10% в структуре злокачественных образований женской половой сферы.</w:t>
      </w: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 w:rsidP="00CA7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2CD3" w:rsidRDefault="00B12CD3">
      <w:pPr>
        <w:rPr>
          <w:rFonts w:ascii="Times New Roman" w:hAnsi="Times New Roman" w:cs="Times New Roman"/>
          <w:sz w:val="28"/>
          <w:szCs w:val="28"/>
        </w:rPr>
      </w:pPr>
    </w:p>
    <w:p w:rsidR="00B12CD3" w:rsidRPr="00B12CD3" w:rsidRDefault="00CA7C8C">
      <w:pPr>
        <w:rPr>
          <w:rFonts w:ascii="Times New Roman" w:hAnsi="Times New Roman" w:cs="Times New Roman"/>
          <w:b/>
          <w:sz w:val="28"/>
          <w:szCs w:val="28"/>
        </w:rPr>
      </w:pPr>
      <w:r w:rsidRPr="00B12CD3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12CD3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1. Гинекология: национальное руководство / под ред. Г.М. Савельевой, Г.Т. Сухих, В.Н. Серова, В.Е. Радзинского., И. Б. Манухина – 2-е изд.,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A7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и доп. - М.: ГЭОТАР – Медиа. – 2017 г. – С. 524 – 533. </w:t>
      </w:r>
    </w:p>
    <w:p w:rsidR="00B12CD3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2. Гинекология. Учебник / под ред. Савельевой Г. М., Бреусенко В. Г. – 4-е изд.,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. и доп. - М.: ГЭОТАР –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Медиа.–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2020 г. – С. 207 – 210. </w:t>
      </w:r>
    </w:p>
    <w:p w:rsidR="00B12CD3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3. Добрынина М. Л., Смирнова Н. А. «Факторы риска развития дистрофических заболеваний вульвы». – Вестник Ивановской медицинской академии. – 2019 г. – №1. – С. 57 – 58. </w:t>
      </w:r>
    </w:p>
    <w:p w:rsidR="00B12CD3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4. Солопова А.Г.,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Целовальникова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Москвичёва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Блбулян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Т.А., Шкода А.С.,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А.Д. «Фоновые и предраковые процессы вульвы и влагалища: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, диагностика и лечение.». – Акушерство, гинекология и репродукция. – 2018 г. – 12 (4). – С. 52 – 61. </w:t>
      </w:r>
    </w:p>
    <w:p w:rsidR="00CA7C8C" w:rsidRPr="00CA7C8C" w:rsidRDefault="00CA7C8C">
      <w:pPr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5. Бабаева Н. А.,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Ашрафян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Л. А., Антонова И. Б.,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Алешикова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О. И., Ивашина С. В., Баранов И. И. «Современный взгляд на этиологию и патогенез предраковых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заболеванийи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рака вульвы». – Акушерство и гинекология: Новости. Мнения. 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Обучения.–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 xml:space="preserve"> 2019 г. – 7 (1). – С. 31 – 38.</w:t>
      </w:r>
    </w:p>
    <w:sectPr w:rsidR="00CA7C8C" w:rsidRPr="00CA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69B"/>
    <w:multiLevelType w:val="hybridMultilevel"/>
    <w:tmpl w:val="C5F6E5E4"/>
    <w:lvl w:ilvl="0" w:tplc="38A8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04E"/>
    <w:multiLevelType w:val="hybridMultilevel"/>
    <w:tmpl w:val="1388B9CA"/>
    <w:lvl w:ilvl="0" w:tplc="029EC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8FB"/>
    <w:multiLevelType w:val="hybridMultilevel"/>
    <w:tmpl w:val="DE6C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21"/>
    <w:rsid w:val="004223BC"/>
    <w:rsid w:val="00834CE2"/>
    <w:rsid w:val="00B12CD3"/>
    <w:rsid w:val="00CA7C8C"/>
    <w:rsid w:val="00D01A5C"/>
    <w:rsid w:val="00D71B74"/>
    <w:rsid w:val="00EB6F21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9642"/>
  <w15:chartTrackingRefBased/>
  <w15:docId w15:val="{A012A2BD-8725-4B3E-A32C-7FD1F70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1"/>
    <w:rsid w:val="00CA7C8C"/>
    <w:pPr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C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Докторова</dc:creator>
  <cp:keywords/>
  <dc:description/>
  <cp:lastModifiedBy>Ольга Докторова</cp:lastModifiedBy>
  <cp:revision>3</cp:revision>
  <dcterms:created xsi:type="dcterms:W3CDTF">2024-05-19T10:35:00Z</dcterms:created>
  <dcterms:modified xsi:type="dcterms:W3CDTF">2024-05-19T11:12:00Z</dcterms:modified>
</cp:coreProperties>
</file>