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параметрий справа. При обследовании живот умеренно болезненный в нижних отделах больше справа, симптомов раздражения брюшины нет.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Вопрос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1: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Вопрос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2: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Укажите наиболее информативный метод оценки глубины инвазии и перехода опухоли на параметрий и смежные органы?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Вопрос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3: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 какой группе заболеваний нужно отнести эрозию шейки матки?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Вопрос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4: </w:t>
      </w:r>
      <w:r>
        <w:rPr>
          <w:rFonts w:hint="default" w:ascii="Times New Roman" w:hAnsi="Times New Roman" w:cs="Times New Roman"/>
          <w:sz w:val="24"/>
          <w:szCs w:val="24"/>
        </w:rPr>
        <w:t>Назовите стандарт цервикального скрининга шейки матки на поликлиническом уровне?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Вопрос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5: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Какие варианты комбинированного лечения возможны в данном случае при подтверждении распространения опухоли на параметрий?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IIb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МРТ органов малого таза с внутривенным контрастированием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color w:val="212529"/>
          <w:sz w:val="24"/>
          <w:szCs w:val="24"/>
        </w:rPr>
        <w:t>интраоперационный</w:t>
      </w:r>
      <w:r>
        <w:rPr>
          <w:rFonts w:hint="default" w:ascii="Times New Roman" w:hAnsi="Times New Roman" w:cs="Times New Roman"/>
          <w:color w:val="212529"/>
          <w:sz w:val="24"/>
          <w:szCs w:val="24"/>
          <w:lang w:val="ru-RU"/>
        </w:rPr>
        <w:t xml:space="preserve"> метод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фоновым процессам, которые составляют 80-85% патологических изменений на шейке матки.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Мазок для цитологического исследования следует брать с поверхности экзоцервикса, с помощью шпателя из эндоцервикса — с помощью щетки эндобранша. Допустимо два образца (с экзоцервикса и эндоцервикса) наносить на одно стекло. Материал тонким слоем наносят на специально обработанное обезжиренное стекло с последующей фиксацией. Для классификации как «удовлетворительный» образец должен содержать как минимум 8000 —12 000 хорошо визуализируемых плоских клеток в традиционном мазке и 5000 плоских клеток в жидкостном образце.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Операция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Вертгейма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(расширенная экстирпация матки с придатками)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, постлучевая и х</w:t>
      </w:r>
      <w:r>
        <w:rPr>
          <w:rFonts w:hint="default" w:ascii="Times New Roman" w:hAnsi="Times New Roman" w:cs="Times New Roman"/>
          <w:sz w:val="24"/>
          <w:szCs w:val="24"/>
        </w:rPr>
        <w:t>имиотерапия.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425F8E"/>
    <w:multiLevelType w:val="multilevel"/>
    <w:tmpl w:val="77425F8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E6EE5"/>
    <w:rsid w:val="33601700"/>
    <w:rsid w:val="79C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2024-01-31T10:47:00Z</dcterms:created>
  <dc:creator>User</dc:creator>
  <cp:lastModifiedBy>User</cp:lastModifiedBy>
  <dcterms:modified xsi:type="dcterms:W3CDTF">2024-01-31T11:44:23Z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