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48" w:rsidRP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 xml:space="preserve">ФГБОУ ВО "Красноярский государственный </w:t>
      </w:r>
      <w:r w:rsidRPr="007C5548">
        <w:rPr>
          <w:rFonts w:eastAsia="Calibri"/>
          <w:i w:val="0"/>
          <w:sz w:val="28"/>
          <w:szCs w:val="28"/>
        </w:rPr>
        <w:t>университет</w:t>
      </w:r>
    </w:p>
    <w:p w:rsidR="007C5548" w:rsidRP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 xml:space="preserve">имени профессора </w:t>
      </w:r>
      <w:proofErr w:type="spellStart"/>
      <w:r w:rsidRPr="007C5548">
        <w:rPr>
          <w:rFonts w:eastAsia="Calibri"/>
          <w:i w:val="0"/>
          <w:sz w:val="28"/>
          <w:szCs w:val="28"/>
        </w:rPr>
        <w:t>В.Ф.Войно-Ясенецкого</w:t>
      </w:r>
      <w:proofErr w:type="spellEnd"/>
      <w:r w:rsidRPr="007C5548">
        <w:rPr>
          <w:rFonts w:eastAsia="Calibri"/>
          <w:i w:val="0"/>
          <w:sz w:val="28"/>
          <w:szCs w:val="28"/>
        </w:rPr>
        <w:t>" Министерства</w:t>
      </w:r>
    </w:p>
    <w:p w:rsidR="007C5548" w:rsidRP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>здравоохранения Российской Федерации</w:t>
      </w:r>
    </w:p>
    <w:p w:rsidR="007C5548" w:rsidRP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</w:p>
    <w:p w:rsidR="007C5548" w:rsidRP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</w:p>
    <w:p w:rsid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>Кафедра анестезиологии и реаниматологии</w:t>
      </w:r>
    </w:p>
    <w:p w:rsidR="007C5548" w:rsidRPr="007C5548" w:rsidRDefault="007C5548" w:rsidP="007C5548">
      <w:pPr>
        <w:spacing w:after="241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</w:p>
    <w:p w:rsidR="00AD7C6F" w:rsidRPr="007C5548" w:rsidRDefault="007C5548" w:rsidP="007C5548">
      <w:pPr>
        <w:spacing w:after="241" w:line="259" w:lineRule="auto"/>
        <w:ind w:left="0" w:right="0" w:firstLine="0"/>
        <w:jc w:val="right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 xml:space="preserve">ИПО </w:t>
      </w:r>
      <w:proofErr w:type="gramStart"/>
      <w:r w:rsidRPr="007C5548">
        <w:rPr>
          <w:rFonts w:eastAsia="Calibri"/>
          <w:i w:val="0"/>
          <w:sz w:val="28"/>
          <w:szCs w:val="28"/>
        </w:rPr>
        <w:t>Зав .кафедрой</w:t>
      </w:r>
      <w:proofErr w:type="gramEnd"/>
      <w:r w:rsidRPr="007C5548">
        <w:rPr>
          <w:rFonts w:eastAsia="Calibri"/>
          <w:i w:val="0"/>
          <w:sz w:val="28"/>
          <w:szCs w:val="28"/>
        </w:rPr>
        <w:t xml:space="preserve">: ДМН, профессор </w:t>
      </w:r>
      <w:proofErr w:type="spellStart"/>
      <w:r w:rsidRPr="007C5548">
        <w:rPr>
          <w:rFonts w:eastAsia="Calibri"/>
          <w:i w:val="0"/>
          <w:sz w:val="28"/>
          <w:szCs w:val="28"/>
        </w:rPr>
        <w:t>Грицан</w:t>
      </w:r>
      <w:proofErr w:type="spellEnd"/>
      <w:r w:rsidRPr="007C5548">
        <w:rPr>
          <w:rFonts w:eastAsia="Calibri"/>
          <w:i w:val="0"/>
          <w:sz w:val="28"/>
          <w:szCs w:val="28"/>
        </w:rPr>
        <w:t xml:space="preserve"> А. И.</w:t>
      </w:r>
      <w:r w:rsidRPr="007C5548">
        <w:rPr>
          <w:rFonts w:eastAsia="Calibri"/>
          <w:i w:val="0"/>
          <w:sz w:val="28"/>
          <w:szCs w:val="28"/>
        </w:rPr>
        <w:cr/>
      </w:r>
    </w:p>
    <w:p w:rsidR="00AD7C6F" w:rsidRPr="007C5548" w:rsidRDefault="0062523A">
      <w:pPr>
        <w:spacing w:after="241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AD7C6F" w:rsidP="007C5548">
      <w:pPr>
        <w:spacing w:after="238" w:line="259" w:lineRule="auto"/>
        <w:ind w:left="0" w:right="0" w:firstLine="0"/>
        <w:jc w:val="center"/>
        <w:rPr>
          <w:sz w:val="28"/>
          <w:szCs w:val="28"/>
        </w:rPr>
      </w:pPr>
    </w:p>
    <w:p w:rsidR="00AD7C6F" w:rsidRPr="007C5548" w:rsidRDefault="0062523A" w:rsidP="007C5548">
      <w:pPr>
        <w:spacing w:after="196" w:line="277" w:lineRule="auto"/>
        <w:ind w:left="0" w:right="0" w:firstLine="0"/>
        <w:jc w:val="center"/>
        <w:rPr>
          <w:sz w:val="28"/>
          <w:szCs w:val="28"/>
        </w:rPr>
      </w:pPr>
      <w:proofErr w:type="spellStart"/>
      <w:r w:rsidRPr="007C5548">
        <w:rPr>
          <w:rFonts w:eastAsia="Calibri"/>
          <w:i w:val="0"/>
          <w:sz w:val="28"/>
          <w:szCs w:val="28"/>
        </w:rPr>
        <w:t>Периоперационное</w:t>
      </w:r>
      <w:proofErr w:type="spellEnd"/>
      <w:r w:rsidRPr="007C5548">
        <w:rPr>
          <w:rFonts w:eastAsia="Calibri"/>
          <w:i w:val="0"/>
          <w:sz w:val="28"/>
          <w:szCs w:val="28"/>
        </w:rPr>
        <w:t xml:space="preserve"> ведение пациентов с сопутствующим </w:t>
      </w:r>
      <w:proofErr w:type="spellStart"/>
      <w:r w:rsidRPr="007C5548">
        <w:rPr>
          <w:rFonts w:eastAsia="Calibri"/>
          <w:i w:val="0"/>
          <w:sz w:val="28"/>
          <w:szCs w:val="28"/>
        </w:rPr>
        <w:t>морбидным</w:t>
      </w:r>
      <w:proofErr w:type="spellEnd"/>
      <w:r w:rsidRPr="007C5548">
        <w:rPr>
          <w:rFonts w:eastAsia="Calibri"/>
          <w:i w:val="0"/>
          <w:sz w:val="28"/>
          <w:szCs w:val="28"/>
        </w:rPr>
        <w:t xml:space="preserve"> ожирением.</w:t>
      </w:r>
    </w:p>
    <w:p w:rsidR="00AD7C6F" w:rsidRPr="007C5548" w:rsidRDefault="00AD7C6F" w:rsidP="007C5548">
      <w:pPr>
        <w:spacing w:after="241" w:line="259" w:lineRule="auto"/>
        <w:ind w:left="0" w:right="0" w:firstLine="0"/>
        <w:jc w:val="center"/>
        <w:rPr>
          <w:sz w:val="28"/>
          <w:szCs w:val="28"/>
        </w:rPr>
      </w:pPr>
    </w:p>
    <w:p w:rsidR="00AD7C6F" w:rsidRPr="007C5548" w:rsidRDefault="0062523A">
      <w:pPr>
        <w:spacing w:after="241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>
      <w:pPr>
        <w:spacing w:after="90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7C5548" w:rsidRPr="007C5548" w:rsidRDefault="007C5548">
      <w:pPr>
        <w:spacing w:after="230" w:line="259" w:lineRule="auto"/>
        <w:ind w:left="0" w:right="5" w:firstLine="0"/>
        <w:jc w:val="right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>Выполнила ординатор 1 года</w:t>
      </w:r>
    </w:p>
    <w:p w:rsidR="00AD7C6F" w:rsidRPr="007C5548" w:rsidRDefault="007C5548">
      <w:pPr>
        <w:spacing w:after="230" w:line="259" w:lineRule="auto"/>
        <w:ind w:left="0" w:right="5" w:firstLine="0"/>
        <w:jc w:val="right"/>
        <w:rPr>
          <w:sz w:val="28"/>
          <w:szCs w:val="28"/>
        </w:rPr>
      </w:pPr>
      <w:proofErr w:type="spellStart"/>
      <w:r w:rsidRPr="007C5548">
        <w:rPr>
          <w:rFonts w:eastAsia="Calibri"/>
          <w:i w:val="0"/>
          <w:sz w:val="28"/>
          <w:szCs w:val="28"/>
        </w:rPr>
        <w:t>Роот</w:t>
      </w:r>
      <w:proofErr w:type="spellEnd"/>
      <w:r w:rsidRPr="007C5548">
        <w:rPr>
          <w:rFonts w:eastAsia="Calibri"/>
          <w:i w:val="0"/>
          <w:sz w:val="28"/>
          <w:szCs w:val="28"/>
        </w:rPr>
        <w:t xml:space="preserve"> В.А.</w:t>
      </w:r>
    </w:p>
    <w:p w:rsidR="00AD7C6F" w:rsidRPr="007C5548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62523A" w:rsidP="007C5548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AD7C6F" w:rsidRPr="007C5548" w:rsidRDefault="007C5548" w:rsidP="007C5548">
      <w:pPr>
        <w:spacing w:after="227" w:line="259" w:lineRule="auto"/>
        <w:ind w:left="0" w:right="0" w:firstLine="0"/>
        <w:jc w:val="center"/>
        <w:rPr>
          <w:rFonts w:eastAsia="Calibri"/>
          <w:i w:val="0"/>
          <w:sz w:val="28"/>
          <w:szCs w:val="28"/>
        </w:rPr>
      </w:pPr>
      <w:r w:rsidRPr="007C5548">
        <w:rPr>
          <w:rFonts w:eastAsia="Calibri"/>
          <w:i w:val="0"/>
          <w:sz w:val="28"/>
          <w:szCs w:val="28"/>
        </w:rPr>
        <w:t>Красноярск 2021</w:t>
      </w:r>
      <w:r w:rsidR="0062523A" w:rsidRPr="007C5548">
        <w:rPr>
          <w:rFonts w:eastAsia="Calibri"/>
          <w:b/>
          <w:i w:val="0"/>
          <w:sz w:val="28"/>
          <w:szCs w:val="28"/>
        </w:rPr>
        <w:t xml:space="preserve"> </w:t>
      </w:r>
    </w:p>
    <w:p w:rsidR="00F815A6" w:rsidRDefault="00F815A6" w:rsidP="00F815A6">
      <w:pPr>
        <w:spacing w:after="250" w:line="259" w:lineRule="auto"/>
        <w:ind w:right="0"/>
        <w:jc w:val="left"/>
        <w:rPr>
          <w:rFonts w:eastAsia="Calibri"/>
          <w:i w:val="0"/>
          <w:sz w:val="28"/>
          <w:szCs w:val="28"/>
        </w:rPr>
      </w:pPr>
      <w:r>
        <w:rPr>
          <w:rFonts w:eastAsia="Calibri"/>
          <w:i w:val="0"/>
          <w:sz w:val="28"/>
          <w:szCs w:val="28"/>
        </w:rPr>
        <w:lastRenderedPageBreak/>
        <w:t>Содержание: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rFonts w:eastAsia="Calibri"/>
          <w:i w:val="0"/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Ключевые слова 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Список сокращений </w:t>
      </w:r>
      <w:r w:rsidRPr="00F815A6">
        <w:rPr>
          <w:rFonts w:eastAsia="Calibri"/>
          <w:i w:val="0"/>
          <w:sz w:val="28"/>
          <w:szCs w:val="28"/>
        </w:rPr>
        <w:tab/>
        <w:t xml:space="preserve">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Термины и определения </w:t>
      </w:r>
      <w:r w:rsidRPr="00F815A6">
        <w:rPr>
          <w:rFonts w:eastAsia="Calibri"/>
          <w:i w:val="0"/>
          <w:sz w:val="28"/>
          <w:szCs w:val="28"/>
        </w:rPr>
        <w:tab/>
        <w:t xml:space="preserve">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Краткая информация 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Предоперационная оценка 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proofErr w:type="spellStart"/>
      <w:r w:rsidRPr="00F815A6">
        <w:rPr>
          <w:rFonts w:eastAsia="Calibri"/>
          <w:i w:val="0"/>
          <w:sz w:val="28"/>
          <w:szCs w:val="28"/>
        </w:rPr>
        <w:t>Интраоперационное</w:t>
      </w:r>
      <w:proofErr w:type="spellEnd"/>
      <w:r w:rsidRPr="00F815A6">
        <w:rPr>
          <w:rFonts w:eastAsia="Calibri"/>
          <w:i w:val="0"/>
          <w:sz w:val="28"/>
          <w:szCs w:val="28"/>
        </w:rPr>
        <w:t xml:space="preserve"> ведение </w:t>
      </w:r>
      <w:r w:rsidRPr="00F815A6">
        <w:rPr>
          <w:rFonts w:eastAsia="Calibri"/>
          <w:i w:val="0"/>
          <w:sz w:val="28"/>
          <w:szCs w:val="28"/>
        </w:rPr>
        <w:tab/>
        <w:t xml:space="preserve">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Ведение в послеоперационный период                                                           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Критерии оценки качества медицинской помощи </w:t>
      </w:r>
      <w:r w:rsidRPr="00F815A6">
        <w:rPr>
          <w:rFonts w:eastAsia="Calibri"/>
          <w:i w:val="0"/>
          <w:sz w:val="28"/>
          <w:szCs w:val="28"/>
        </w:rPr>
        <w:tab/>
        <w:t xml:space="preserve"> </w:t>
      </w:r>
    </w:p>
    <w:p w:rsidR="00AD7C6F" w:rsidRPr="00F815A6" w:rsidRDefault="0062523A" w:rsidP="00F815A6">
      <w:pPr>
        <w:spacing w:after="250" w:line="259" w:lineRule="auto"/>
        <w:ind w:left="0" w:right="0" w:firstLine="0"/>
        <w:jc w:val="left"/>
        <w:rPr>
          <w:sz w:val="28"/>
          <w:szCs w:val="28"/>
        </w:rPr>
      </w:pPr>
      <w:bookmarkStart w:id="0" w:name="_GoBack"/>
      <w:bookmarkEnd w:id="0"/>
      <w:r w:rsidRPr="00F815A6">
        <w:rPr>
          <w:rFonts w:eastAsia="Calibri"/>
          <w:i w:val="0"/>
          <w:sz w:val="28"/>
          <w:szCs w:val="28"/>
        </w:rPr>
        <w:t xml:space="preserve">Список литературы </w:t>
      </w:r>
      <w:r w:rsidRPr="00F815A6">
        <w:rPr>
          <w:rFonts w:eastAsia="Calibri"/>
          <w:i w:val="0"/>
          <w:sz w:val="28"/>
          <w:szCs w:val="28"/>
        </w:rPr>
        <w:tab/>
        <w:t xml:space="preserve"> </w:t>
      </w:r>
    </w:p>
    <w:p w:rsidR="00AD7C6F" w:rsidRPr="00F815A6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28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3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227" w:line="259" w:lineRule="auto"/>
        <w:ind w:left="0" w:right="0" w:firstLine="0"/>
        <w:jc w:val="left"/>
        <w:rPr>
          <w:rFonts w:eastAsia="Calibri"/>
          <w:i w:val="0"/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62523A" w:rsidRPr="00F815A6" w:rsidRDefault="0062523A">
      <w:pPr>
        <w:spacing w:after="227" w:line="259" w:lineRule="auto"/>
        <w:ind w:left="0" w:right="0" w:firstLine="0"/>
        <w:jc w:val="left"/>
        <w:rPr>
          <w:rFonts w:eastAsia="Calibri"/>
          <w:i w:val="0"/>
          <w:sz w:val="28"/>
          <w:szCs w:val="28"/>
        </w:rPr>
      </w:pPr>
    </w:p>
    <w:p w:rsidR="0062523A" w:rsidRPr="00F815A6" w:rsidRDefault="0062523A">
      <w:pPr>
        <w:spacing w:after="227" w:line="259" w:lineRule="auto"/>
        <w:ind w:left="0" w:right="0" w:firstLine="0"/>
        <w:jc w:val="left"/>
        <w:rPr>
          <w:sz w:val="28"/>
          <w:szCs w:val="28"/>
        </w:rPr>
      </w:pPr>
    </w:p>
    <w:p w:rsidR="00AD7C6F" w:rsidRPr="00F815A6" w:rsidRDefault="0062523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pStyle w:val="1"/>
        <w:spacing w:after="380"/>
        <w:rPr>
          <w:b w:val="0"/>
          <w:szCs w:val="28"/>
        </w:rPr>
      </w:pPr>
      <w:r w:rsidRPr="00F815A6">
        <w:rPr>
          <w:b w:val="0"/>
          <w:szCs w:val="28"/>
        </w:rPr>
        <w:lastRenderedPageBreak/>
        <w:t xml:space="preserve">Термины и определения </w:t>
      </w:r>
    </w:p>
    <w:p w:rsidR="00AD7C6F" w:rsidRPr="00F815A6" w:rsidRDefault="0062523A">
      <w:pPr>
        <w:ind w:left="4" w:right="6" w:firstLine="708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Ожирение - хроническое обменное заболевание, возникающее в любом возрасте, проявляющееся избыточным увеличением массы тела преимущественно за счёт чрезмерного накопления жировой ткани, сопровождающееся увеличением случаев общей заболеваемости и смертности. </w:t>
      </w:r>
    </w:p>
    <w:p w:rsidR="00AD7C6F" w:rsidRPr="00F815A6" w:rsidRDefault="0062523A">
      <w:pPr>
        <w:ind w:left="4" w:right="6" w:firstLine="708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</w:rPr>
        <w:t>Обструктивное</w:t>
      </w:r>
      <w:proofErr w:type="spellEnd"/>
      <w:r w:rsidRPr="00F815A6">
        <w:rPr>
          <w:i w:val="0"/>
          <w:sz w:val="28"/>
          <w:szCs w:val="28"/>
        </w:rPr>
        <w:t xml:space="preserve"> сонное апноэ — разновидность апноэ, для которого характерно прекращение лёгочной вентиляции во время сна более чем на 10 секунд. Чаще оно длится 20-30 секунд, хотя в тяжёлых случаях может достигать 2-3 минут и занимать до 60 % общего времени ночного сна. При регулярных апноэ (обычно не менее 10-15 в течение часа) возникает синдром апноэ во сне с нарушением структуры сна и дневной сонливостью, ухудшением памяти и интеллекта, жалобами на снижение работоспособности и постоянную усталость. Различают </w:t>
      </w:r>
      <w:proofErr w:type="spellStart"/>
      <w:r w:rsidRPr="00F815A6">
        <w:rPr>
          <w:i w:val="0"/>
          <w:sz w:val="28"/>
          <w:szCs w:val="28"/>
        </w:rPr>
        <w:t>обструктивное</w:t>
      </w:r>
      <w:proofErr w:type="spellEnd"/>
      <w:r w:rsidRPr="00F815A6">
        <w:rPr>
          <w:i w:val="0"/>
          <w:sz w:val="28"/>
          <w:szCs w:val="28"/>
        </w:rPr>
        <w:t xml:space="preserve"> и центральное апноэ во сне, а также их смешанные формы. </w:t>
      </w:r>
    </w:p>
    <w:p w:rsidR="00AD7C6F" w:rsidRPr="00F815A6" w:rsidRDefault="0062523A">
      <w:pPr>
        <w:ind w:left="4" w:right="6" w:firstLine="708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Синдром </w:t>
      </w:r>
      <w:proofErr w:type="spellStart"/>
      <w:r w:rsidRPr="00F815A6">
        <w:rPr>
          <w:i w:val="0"/>
          <w:sz w:val="28"/>
          <w:szCs w:val="28"/>
        </w:rPr>
        <w:t>гиповентиляции</w:t>
      </w:r>
      <w:proofErr w:type="spellEnd"/>
      <w:r w:rsidRPr="00F815A6">
        <w:rPr>
          <w:i w:val="0"/>
          <w:sz w:val="28"/>
          <w:szCs w:val="28"/>
        </w:rPr>
        <w:t xml:space="preserve"> - патологическое состояние, при котором у больного с ожирением (индекс массы </w:t>
      </w:r>
      <w:proofErr w:type="gramStart"/>
      <w:r w:rsidRPr="00F815A6">
        <w:rPr>
          <w:i w:val="0"/>
          <w:sz w:val="28"/>
          <w:szCs w:val="28"/>
        </w:rPr>
        <w:t>тела &gt;</w:t>
      </w:r>
      <w:proofErr w:type="gramEnd"/>
      <w:r w:rsidRPr="00F815A6">
        <w:rPr>
          <w:i w:val="0"/>
          <w:sz w:val="28"/>
          <w:szCs w:val="28"/>
        </w:rPr>
        <w:t xml:space="preserve"> 30 кг/м2) развивается хроническая альвеолярная </w:t>
      </w:r>
      <w:proofErr w:type="spellStart"/>
      <w:r w:rsidRPr="00F815A6">
        <w:rPr>
          <w:i w:val="0"/>
          <w:sz w:val="28"/>
          <w:szCs w:val="28"/>
        </w:rPr>
        <w:t>гиповентиляция</w:t>
      </w:r>
      <w:proofErr w:type="spellEnd"/>
      <w:r w:rsidRPr="00F815A6">
        <w:rPr>
          <w:i w:val="0"/>
          <w:sz w:val="28"/>
          <w:szCs w:val="28"/>
        </w:rPr>
        <w:t xml:space="preserve"> – </w:t>
      </w:r>
      <w:proofErr w:type="spellStart"/>
      <w:r w:rsidRPr="00F815A6">
        <w:rPr>
          <w:i w:val="0"/>
          <w:sz w:val="28"/>
          <w:szCs w:val="28"/>
        </w:rPr>
        <w:t>гиперкапническая</w:t>
      </w:r>
      <w:proofErr w:type="spellEnd"/>
      <w:r w:rsidRPr="00F815A6">
        <w:rPr>
          <w:i w:val="0"/>
          <w:sz w:val="28"/>
          <w:szCs w:val="28"/>
        </w:rPr>
        <w:t xml:space="preserve"> дыхательная недостаточность, которую нельзя объяснить никакими другими причинами, кроме значительного избытка веса. </w:t>
      </w:r>
    </w:p>
    <w:p w:rsidR="00AD7C6F" w:rsidRPr="00F815A6" w:rsidRDefault="0062523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 </w:t>
      </w:r>
      <w:r w:rsidRPr="00F815A6">
        <w:rPr>
          <w:i w:val="0"/>
          <w:sz w:val="28"/>
          <w:szCs w:val="28"/>
        </w:rPr>
        <w:tab/>
        <w:t xml:space="preserve"> </w:t>
      </w:r>
    </w:p>
    <w:p w:rsidR="00AD7C6F" w:rsidRPr="00F815A6" w:rsidRDefault="0062523A">
      <w:pPr>
        <w:spacing w:after="215" w:line="259" w:lineRule="auto"/>
        <w:ind w:left="708" w:right="0" w:firstLine="0"/>
        <w:jc w:val="left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 </w:t>
      </w:r>
    </w:p>
    <w:p w:rsidR="00AD7C6F" w:rsidRPr="00F815A6" w:rsidRDefault="0062523A">
      <w:pPr>
        <w:pStyle w:val="1"/>
        <w:spacing w:after="330"/>
        <w:ind w:right="3"/>
        <w:rPr>
          <w:b w:val="0"/>
          <w:szCs w:val="28"/>
        </w:rPr>
      </w:pPr>
      <w:r w:rsidRPr="00F815A6">
        <w:rPr>
          <w:b w:val="0"/>
          <w:szCs w:val="28"/>
        </w:rPr>
        <w:t xml:space="preserve">1. Краткая информация </w:t>
      </w:r>
    </w:p>
    <w:p w:rsidR="00AD7C6F" w:rsidRPr="00F815A6" w:rsidRDefault="0062523A">
      <w:pPr>
        <w:spacing w:after="68"/>
        <w:ind w:left="4" w:right="6" w:firstLine="689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По последним оценкам Всемирной организации здравоохранения, &gt;1 млрд человек в мире имеют избыточную массу. В экономически развитых странах доля населения с избыточной массой тела достигает почти 50%, из них 30% страдает ожирением. В России в среднем 30% лиц трудоспособного </w:t>
      </w:r>
      <w:r w:rsidRPr="00F815A6">
        <w:rPr>
          <w:i w:val="0"/>
          <w:sz w:val="28"/>
          <w:szCs w:val="28"/>
        </w:rPr>
        <w:lastRenderedPageBreak/>
        <w:t xml:space="preserve">возраста страдают ожирением и 25% — избыточной массой тела. Несмотря на значительные экономические затраты по профилактике и лечению ожирения, летальность в возрасте 20—35 лет при патологическом ожирении превышает среднестатистическую в 12 раз, в основном от сердечно-сосудистых осложнений [1]. </w:t>
      </w:r>
    </w:p>
    <w:p w:rsidR="00AD7C6F" w:rsidRPr="00F815A6" w:rsidRDefault="0062523A">
      <w:pPr>
        <w:pStyle w:val="1"/>
        <w:spacing w:after="131"/>
        <w:ind w:right="19"/>
        <w:rPr>
          <w:b w:val="0"/>
          <w:szCs w:val="28"/>
        </w:rPr>
      </w:pPr>
      <w:r w:rsidRPr="00F815A6">
        <w:rPr>
          <w:b w:val="0"/>
          <w:szCs w:val="28"/>
        </w:rPr>
        <w:t>2.</w:t>
      </w:r>
      <w:r w:rsidRPr="00F815A6">
        <w:rPr>
          <w:rFonts w:eastAsia="Arial"/>
          <w:b w:val="0"/>
          <w:szCs w:val="28"/>
        </w:rPr>
        <w:t xml:space="preserve"> </w:t>
      </w:r>
      <w:r w:rsidRPr="00F815A6">
        <w:rPr>
          <w:b w:val="0"/>
          <w:szCs w:val="28"/>
        </w:rPr>
        <w:t xml:space="preserve">Предоперационная оценка </w:t>
      </w:r>
    </w:p>
    <w:p w:rsidR="00AD7C6F" w:rsidRPr="00F815A6" w:rsidRDefault="0062523A">
      <w:pPr>
        <w:spacing w:after="160" w:line="259" w:lineRule="auto"/>
        <w:ind w:left="1068" w:right="0" w:firstLine="0"/>
        <w:jc w:val="left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 </w:t>
      </w:r>
    </w:p>
    <w:p w:rsidR="00AD7C6F" w:rsidRPr="00F815A6" w:rsidRDefault="0062523A">
      <w:pPr>
        <w:numPr>
          <w:ilvl w:val="0"/>
          <w:numId w:val="2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Для диагностики ожирения и определения его степени рекомендуется применять индекс массы тела [2-5] </w:t>
      </w:r>
    </w:p>
    <w:p w:rsidR="00AD7C6F" w:rsidRPr="00F815A6" w:rsidRDefault="0062523A">
      <w:pPr>
        <w:spacing w:after="3" w:line="395" w:lineRule="auto"/>
        <w:ind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I (уровень достоверности доказательств – A). </w:t>
      </w:r>
    </w:p>
    <w:p w:rsidR="00AD7C6F" w:rsidRPr="00F815A6" w:rsidRDefault="0062523A">
      <w:pPr>
        <w:ind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диагноз ожирение устанавливается при уровне ИМТ &gt;30 кг/м2, </w:t>
      </w:r>
      <w:proofErr w:type="spellStart"/>
      <w:r w:rsidRPr="00F815A6">
        <w:rPr>
          <w:sz w:val="28"/>
          <w:szCs w:val="28"/>
        </w:rPr>
        <w:t>морбидное</w:t>
      </w:r>
      <w:proofErr w:type="spellEnd"/>
      <w:r w:rsidRPr="00F815A6">
        <w:rPr>
          <w:sz w:val="28"/>
          <w:szCs w:val="28"/>
        </w:rPr>
        <w:t xml:space="preserve"> ожирение &gt;40 кг/м2. С клинической точки зрения особое внимание следует уделять пациентам с абдоминальным типом патологического ожирения (ИМТ &gt;40 кг/м2), что соответствует 3 классу по ASA. </w:t>
      </w:r>
    </w:p>
    <w:p w:rsidR="00AD7C6F" w:rsidRPr="00F815A6" w:rsidRDefault="0062523A">
      <w:pPr>
        <w:numPr>
          <w:ilvl w:val="0"/>
          <w:numId w:val="2"/>
        </w:numPr>
        <w:spacing w:after="123" w:line="259" w:lineRule="auto"/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Рекомендуется определение окружности талии у пациентов с ожирением [6-10]. </w:t>
      </w:r>
    </w:p>
    <w:p w:rsidR="00AD7C6F" w:rsidRPr="00F815A6" w:rsidRDefault="0062523A">
      <w:pPr>
        <w:spacing w:after="3" w:line="395" w:lineRule="auto"/>
        <w:ind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B). </w:t>
      </w:r>
    </w:p>
    <w:p w:rsidR="00AD7C6F" w:rsidRPr="00F815A6" w:rsidRDefault="0062523A">
      <w:pPr>
        <w:ind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абдоминальный тип ожирения связан с большей частотой сопутствующей патологии. Окружность талии более 102 см у мужчин и 88 см у женщин сопровождается увеличением риса метаболических нарушений [11]. </w:t>
      </w:r>
    </w:p>
    <w:p w:rsidR="00AD7C6F" w:rsidRPr="00F815A6" w:rsidRDefault="0062523A">
      <w:pPr>
        <w:numPr>
          <w:ilvl w:val="0"/>
          <w:numId w:val="2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 пациентов с ожирением для скрининга </w:t>
      </w:r>
      <w:proofErr w:type="spellStart"/>
      <w:r w:rsidRPr="00F815A6">
        <w:rPr>
          <w:i w:val="0"/>
          <w:sz w:val="28"/>
          <w:szCs w:val="28"/>
        </w:rPr>
        <w:t>обструктивного</w:t>
      </w:r>
      <w:proofErr w:type="spellEnd"/>
      <w:r w:rsidRPr="00F815A6">
        <w:rPr>
          <w:i w:val="0"/>
          <w:sz w:val="28"/>
          <w:szCs w:val="28"/>
        </w:rPr>
        <w:t xml:space="preserve"> сонного апноэ (ОСА) рекомендуется применение STOP-</w:t>
      </w:r>
      <w:proofErr w:type="spellStart"/>
      <w:r w:rsidRPr="00F815A6">
        <w:rPr>
          <w:i w:val="0"/>
          <w:sz w:val="28"/>
          <w:szCs w:val="28"/>
        </w:rPr>
        <w:t>Bang</w:t>
      </w:r>
      <w:proofErr w:type="spellEnd"/>
      <w:r w:rsidRPr="00F815A6">
        <w:rPr>
          <w:i w:val="0"/>
          <w:sz w:val="28"/>
          <w:szCs w:val="28"/>
        </w:rPr>
        <w:t xml:space="preserve">-анкеты (Приложение Г1) [12-16]. </w:t>
      </w:r>
    </w:p>
    <w:p w:rsidR="00AD7C6F" w:rsidRPr="00F815A6" w:rsidRDefault="0062523A">
      <w:pPr>
        <w:spacing w:after="0" w:line="392" w:lineRule="auto"/>
        <w:ind w:left="708" w:right="0"/>
        <w:jc w:val="left"/>
        <w:rPr>
          <w:sz w:val="28"/>
          <w:szCs w:val="28"/>
        </w:rPr>
      </w:pPr>
      <w:r w:rsidRPr="00F815A6">
        <w:rPr>
          <w:sz w:val="28"/>
          <w:szCs w:val="28"/>
        </w:rPr>
        <w:lastRenderedPageBreak/>
        <w:t xml:space="preserve">Уровень убедительности рекомендаций I (уровень достоверности доказательств – A). </w:t>
      </w:r>
    </w:p>
    <w:p w:rsidR="00AD7C6F" w:rsidRPr="00F815A6" w:rsidRDefault="0062523A">
      <w:pPr>
        <w:spacing w:after="140"/>
        <w:ind w:left="70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Выявление ОСА требует настороженности, так как его наличие определяет повышенную чувствительность к седативным препаратам, высокую частоту трудной масочной вентиляции легких, </w:t>
      </w:r>
      <w:proofErr w:type="spellStart"/>
      <w:r w:rsidRPr="00F815A6">
        <w:rPr>
          <w:sz w:val="28"/>
          <w:szCs w:val="28"/>
        </w:rPr>
        <w:t>гиповентиляции</w:t>
      </w:r>
      <w:proofErr w:type="spellEnd"/>
      <w:r w:rsidRPr="00F815A6">
        <w:rPr>
          <w:sz w:val="28"/>
          <w:szCs w:val="28"/>
        </w:rPr>
        <w:t xml:space="preserve">, гипоксемии и послеоперационных легочных осложнений. Как правило, длительно существующий синдром ОСА вызывает легочную и системную гипертензию, поражение миокарда, </w:t>
      </w:r>
      <w:proofErr w:type="spellStart"/>
      <w:r w:rsidRPr="00F815A6">
        <w:rPr>
          <w:sz w:val="28"/>
          <w:szCs w:val="28"/>
        </w:rPr>
        <w:t>персистирующую</w:t>
      </w:r>
      <w:proofErr w:type="spellEnd"/>
      <w:r w:rsidRPr="00F815A6">
        <w:rPr>
          <w:sz w:val="28"/>
          <w:szCs w:val="28"/>
        </w:rPr>
        <w:t xml:space="preserve"> гиперкапнию, гипоксемию, компенсаторный эритроцитоз. Была доказана взаимосвязь ОСА и нарушений со стороны </w:t>
      </w:r>
      <w:proofErr w:type="spellStart"/>
      <w:r w:rsidRPr="00F815A6">
        <w:rPr>
          <w:sz w:val="28"/>
          <w:szCs w:val="28"/>
        </w:rPr>
        <w:t>сердечнососудистой</w:t>
      </w:r>
      <w:proofErr w:type="spellEnd"/>
      <w:r w:rsidRPr="00F815A6">
        <w:rPr>
          <w:sz w:val="28"/>
          <w:szCs w:val="28"/>
        </w:rPr>
        <w:t xml:space="preserve"> системы в виде фибрилляции предсердий, системной гипертензии, легочной гипертензии, инсультов, заболеваний коронарных артерий, </w:t>
      </w:r>
      <w:proofErr w:type="spellStart"/>
      <w:r w:rsidRPr="00F815A6">
        <w:rPr>
          <w:sz w:val="28"/>
          <w:szCs w:val="28"/>
        </w:rPr>
        <w:t>гиперкоагуляции</w:t>
      </w:r>
      <w:proofErr w:type="spellEnd"/>
      <w:r w:rsidRPr="00F815A6">
        <w:rPr>
          <w:sz w:val="28"/>
          <w:szCs w:val="28"/>
        </w:rPr>
        <w:t xml:space="preserve">, внезапной смерти во время сна [17, 18]. </w:t>
      </w:r>
    </w:p>
    <w:p w:rsidR="00AD7C6F" w:rsidRPr="00F815A6" w:rsidRDefault="0062523A">
      <w:pPr>
        <w:numPr>
          <w:ilvl w:val="0"/>
          <w:numId w:val="2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 пациентов с ожирением рекомендуется диагностика синдрома </w:t>
      </w:r>
      <w:proofErr w:type="spellStart"/>
      <w:r w:rsidRPr="00F815A6">
        <w:rPr>
          <w:i w:val="0"/>
          <w:sz w:val="28"/>
          <w:szCs w:val="28"/>
        </w:rPr>
        <w:t>гиповентиляции</w:t>
      </w:r>
      <w:proofErr w:type="spellEnd"/>
      <w:r w:rsidRPr="00F815A6">
        <w:rPr>
          <w:i w:val="0"/>
          <w:sz w:val="28"/>
          <w:szCs w:val="28"/>
        </w:rPr>
        <w:t xml:space="preserve"> с помощью анализа газов артериальной крови [19-22].</w:t>
      </w:r>
      <w:r w:rsidRPr="00F815A6">
        <w:rPr>
          <w:sz w:val="28"/>
          <w:szCs w:val="28"/>
        </w:rPr>
        <w:t xml:space="preserve">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B).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Синдром </w:t>
      </w:r>
      <w:proofErr w:type="spellStart"/>
      <w:r w:rsidRPr="00F815A6">
        <w:rPr>
          <w:sz w:val="28"/>
          <w:szCs w:val="28"/>
        </w:rPr>
        <w:t>гиповентиляции</w:t>
      </w:r>
      <w:proofErr w:type="spellEnd"/>
      <w:r w:rsidRPr="00F815A6">
        <w:rPr>
          <w:sz w:val="28"/>
          <w:szCs w:val="28"/>
        </w:rPr>
        <w:t xml:space="preserve"> при ожирении характеризуется нарушением контроля дыхания в состоянии бодрствования с увеличением напряжения СО2 в артериальной крови (раСО2 &gt;45 мм </w:t>
      </w:r>
      <w:proofErr w:type="spellStart"/>
      <w:r w:rsidRPr="00F815A6">
        <w:rPr>
          <w:sz w:val="28"/>
          <w:szCs w:val="28"/>
        </w:rPr>
        <w:t>рт.ст</w:t>
      </w:r>
      <w:proofErr w:type="spellEnd"/>
      <w:r w:rsidRPr="00F815A6">
        <w:rPr>
          <w:sz w:val="28"/>
          <w:szCs w:val="28"/>
        </w:rPr>
        <w:t>.) в сочетании с ИМТ &gt;30 кг/м</w:t>
      </w:r>
      <w:r w:rsidRPr="00F815A6">
        <w:rPr>
          <w:sz w:val="28"/>
          <w:szCs w:val="28"/>
          <w:vertAlign w:val="superscript"/>
        </w:rPr>
        <w:t>2</w:t>
      </w:r>
      <w:r w:rsidRPr="00F815A6">
        <w:rPr>
          <w:sz w:val="28"/>
          <w:szCs w:val="28"/>
        </w:rPr>
        <w:t xml:space="preserve"> [23-25]. Респираторный ацидоз изначально ограничивается ночным сном и проходит во время бодрствования [26]. Однако при длительном существовании ОСА возможно развитие центральное апноэ в дневные часы, что отражает прогрессирующую десенсибилизацию дыхательных центров к ночной гиперкапнии.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lastRenderedPageBreak/>
        <w:t xml:space="preserve">Крайняя степень </w:t>
      </w:r>
      <w:proofErr w:type="spellStart"/>
      <w:r w:rsidRPr="00F815A6">
        <w:rPr>
          <w:sz w:val="28"/>
          <w:szCs w:val="28"/>
        </w:rPr>
        <w:t>гиповентиляции</w:t>
      </w:r>
      <w:proofErr w:type="spellEnd"/>
      <w:r w:rsidRPr="00F815A6">
        <w:rPr>
          <w:sz w:val="28"/>
          <w:szCs w:val="28"/>
        </w:rPr>
        <w:t xml:space="preserve"> при МО приводит к синдрому Пиквика [27], который характеризуется: ■ дневной сонливостью; </w:t>
      </w:r>
    </w:p>
    <w:p w:rsidR="00AD7C6F" w:rsidRPr="00F815A6" w:rsidRDefault="0062523A">
      <w:pPr>
        <w:spacing w:after="157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артериальной гипоксемией; </w:t>
      </w:r>
    </w:p>
    <w:p w:rsidR="00AD7C6F" w:rsidRPr="00F815A6" w:rsidRDefault="0062523A">
      <w:pPr>
        <w:spacing w:after="159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полицитемией; </w:t>
      </w:r>
    </w:p>
    <w:p w:rsidR="00AD7C6F" w:rsidRPr="00F815A6" w:rsidRDefault="0062523A">
      <w:pPr>
        <w:spacing w:after="158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гиперкапнией; </w:t>
      </w:r>
    </w:p>
    <w:p w:rsidR="00AD7C6F" w:rsidRPr="00F815A6" w:rsidRDefault="0062523A">
      <w:pPr>
        <w:spacing w:after="160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респираторным ацидозом; </w:t>
      </w:r>
    </w:p>
    <w:p w:rsidR="00AD7C6F" w:rsidRPr="00F815A6" w:rsidRDefault="0062523A">
      <w:pPr>
        <w:spacing w:after="158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легочной гипертензией; </w:t>
      </w:r>
    </w:p>
    <w:p w:rsidR="00AD7C6F" w:rsidRPr="00F815A6" w:rsidRDefault="0062523A">
      <w:pPr>
        <w:spacing w:after="115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правожелудочковой недостаточностью.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Особенности </w:t>
      </w:r>
      <w:proofErr w:type="spellStart"/>
      <w:r w:rsidRPr="00F815A6">
        <w:rPr>
          <w:sz w:val="28"/>
          <w:szCs w:val="28"/>
        </w:rPr>
        <w:t>периоперационного</w:t>
      </w:r>
      <w:proofErr w:type="spellEnd"/>
      <w:r w:rsidRPr="00F815A6">
        <w:rPr>
          <w:sz w:val="28"/>
          <w:szCs w:val="28"/>
        </w:rPr>
        <w:t xml:space="preserve"> периода при ОСА и синдроме </w:t>
      </w:r>
      <w:proofErr w:type="spellStart"/>
      <w:r w:rsidRPr="00F815A6">
        <w:rPr>
          <w:sz w:val="28"/>
          <w:szCs w:val="28"/>
        </w:rPr>
        <w:t>гиповентиляции</w:t>
      </w:r>
      <w:proofErr w:type="spellEnd"/>
      <w:r w:rsidRPr="00F815A6">
        <w:rPr>
          <w:sz w:val="28"/>
          <w:szCs w:val="28"/>
        </w:rPr>
        <w:t xml:space="preserve"> [27]: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повышенная чувствительность к препаратам со снотворным и седативным действием, а также </w:t>
      </w:r>
      <w:proofErr w:type="spellStart"/>
      <w:r w:rsidRPr="00F815A6">
        <w:rPr>
          <w:sz w:val="28"/>
          <w:szCs w:val="28"/>
        </w:rPr>
        <w:t>опиоидам</w:t>
      </w:r>
      <w:proofErr w:type="spellEnd"/>
      <w:r w:rsidRPr="00F815A6">
        <w:rPr>
          <w:sz w:val="28"/>
          <w:szCs w:val="28"/>
        </w:rPr>
        <w:t xml:space="preserve">; </w:t>
      </w:r>
    </w:p>
    <w:p w:rsidR="00AD7C6F" w:rsidRPr="00F815A6" w:rsidRDefault="0062523A">
      <w:pPr>
        <w:spacing w:after="158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вероятность трудной масочной вентиляции и трудной интубации; </w:t>
      </w:r>
    </w:p>
    <w:p w:rsidR="00AD7C6F" w:rsidRPr="00F815A6" w:rsidRDefault="0062523A">
      <w:pPr>
        <w:ind w:left="1128" w:right="1300"/>
        <w:rPr>
          <w:sz w:val="28"/>
          <w:szCs w:val="28"/>
        </w:rPr>
      </w:pPr>
      <w:r w:rsidRPr="00F815A6">
        <w:rPr>
          <w:sz w:val="28"/>
          <w:szCs w:val="28"/>
        </w:rPr>
        <w:t xml:space="preserve">■ возможность быстрой </w:t>
      </w:r>
      <w:proofErr w:type="spellStart"/>
      <w:r w:rsidRPr="00F815A6">
        <w:rPr>
          <w:sz w:val="28"/>
          <w:szCs w:val="28"/>
        </w:rPr>
        <w:t>десатурация</w:t>
      </w:r>
      <w:proofErr w:type="spellEnd"/>
      <w:r w:rsidRPr="00F815A6">
        <w:rPr>
          <w:sz w:val="28"/>
          <w:szCs w:val="28"/>
        </w:rPr>
        <w:t xml:space="preserve"> при индукции анестезии; ■ вероятность гиперкапнии во время анестезии. </w:t>
      </w:r>
    </w:p>
    <w:p w:rsidR="00AD7C6F" w:rsidRPr="00F815A6" w:rsidRDefault="0062523A">
      <w:pPr>
        <w:numPr>
          <w:ilvl w:val="0"/>
          <w:numId w:val="3"/>
        </w:numPr>
        <w:spacing w:after="126" w:line="259" w:lineRule="auto"/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Рекомендуется оценка трудных дыхательных путей [28-31].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I (уровень достоверности доказательств – B). </w:t>
      </w:r>
    </w:p>
    <w:p w:rsidR="00AD7C6F" w:rsidRPr="00F815A6" w:rsidRDefault="0062523A">
      <w:pPr>
        <w:spacing w:after="156"/>
        <w:ind w:left="1128" w:right="10"/>
        <w:rPr>
          <w:sz w:val="28"/>
          <w:szCs w:val="28"/>
        </w:rPr>
      </w:pPr>
      <w:r w:rsidRPr="00F815A6">
        <w:rPr>
          <w:i w:val="0"/>
          <w:sz w:val="28"/>
          <w:szCs w:val="28"/>
        </w:rPr>
        <w:t>Комментарии:</w:t>
      </w:r>
      <w:r w:rsidRPr="00F815A6">
        <w:rPr>
          <w:sz w:val="28"/>
          <w:szCs w:val="28"/>
        </w:rPr>
        <w:t xml:space="preserve"> У всех больных с патологическим ожирением следует оценить вероятность трудностей масочной вентиляции, ларингоскопии и интубации трахеи. Существуют специфичные признаки для этой категории больных: ИМТ &gt;26 кг/м2 [32], подозрение на ОСА (храп), окружность шеи &gt;40 см [33]. Тактика обеспечения проходимости верхних дыхательных путей должна быть продумана заранее с наличием запасного плана действий.</w:t>
      </w:r>
      <w:r w:rsidRPr="00F815A6">
        <w:rPr>
          <w:i w:val="0"/>
          <w:sz w:val="28"/>
          <w:szCs w:val="28"/>
        </w:rPr>
        <w:t xml:space="preserve"> </w:t>
      </w:r>
    </w:p>
    <w:p w:rsidR="00AD7C6F" w:rsidRPr="00F815A6" w:rsidRDefault="0062523A">
      <w:pPr>
        <w:numPr>
          <w:ilvl w:val="0"/>
          <w:numId w:val="3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lastRenderedPageBreak/>
        <w:t xml:space="preserve">Рекомендуется у пациентов с ожирением диагностика хронической сердечной недостаточности [34-36].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C).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Основные признаки сердечной недостаточности (сниженная переносимость физических нагрузок, одышка и отеки) обнаруживают у большинства пациентов с патологическим ожирением [37, 38]. На предоперационном этапе важно провести дифференциальную диагностику каждого из симптомов, исключив или подтвердив наличие сердечной недостаточности. Объективным методом, определяющим степень сердечной недостаточности, считают фракцию выброса левого желудочка, измеренную при эхокардиографии [39]. Однако эта методика оператор-зависимая, что следует учитывать при анализе результатов. Переносимость физических нагрузок — основной анамнестический критерий оценки степени сердечной недостаточности. У большинства пациентов с патологическим ожирением переносимость физических нагрузок снижена и сопровождается одышкой. С учетом повышенной продукции СО2, повышенной работы дыхания, легочной рестрикции, а также поражения коленных суставов вследствие </w:t>
      </w:r>
      <w:proofErr w:type="spellStart"/>
      <w:r w:rsidRPr="00F815A6">
        <w:rPr>
          <w:sz w:val="28"/>
          <w:szCs w:val="28"/>
        </w:rPr>
        <w:t>остеоартроза</w:t>
      </w:r>
      <w:proofErr w:type="spellEnd"/>
      <w:r w:rsidRPr="00F815A6">
        <w:rPr>
          <w:sz w:val="28"/>
          <w:szCs w:val="28"/>
        </w:rPr>
        <w:t xml:space="preserve"> толерантность к нагрузкам либо не определена, либо снижена [40]. Декомпенсация диастолической дисфункции в операционный и послеоперационный период может увеличить риск возникновения, ишемии миокарда, нарушений ритма сердца [41] </w:t>
      </w:r>
    </w:p>
    <w:p w:rsidR="00AD7C6F" w:rsidRPr="00F815A6" w:rsidRDefault="0062523A">
      <w:pPr>
        <w:spacing w:after="112" w:line="259" w:lineRule="auto"/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• Рекомендуется у пациентов с ожирением диагностика сахарного диабета </w:t>
      </w:r>
    </w:p>
    <w:p w:rsidR="00AD7C6F" w:rsidRPr="00F815A6" w:rsidRDefault="0062523A">
      <w:pPr>
        <w:spacing w:after="120" w:line="259" w:lineRule="auto"/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[42-45].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lastRenderedPageBreak/>
        <w:t xml:space="preserve">Уровень убедительности рекомендаций I (уровень достоверности доказательств – B).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>Комментарии:</w:t>
      </w:r>
      <w:r w:rsidRPr="00F815A6">
        <w:rPr>
          <w:rFonts w:eastAsia="Calibri"/>
          <w:sz w:val="28"/>
          <w:szCs w:val="28"/>
        </w:rPr>
        <w:t xml:space="preserve"> </w:t>
      </w:r>
      <w:r w:rsidRPr="00F815A6">
        <w:rPr>
          <w:sz w:val="28"/>
          <w:szCs w:val="28"/>
        </w:rPr>
        <w:t xml:space="preserve">Более чем у 90% пациентов СД 2-го типа сопутствует ожирению [46], а выделяемые жировой тканью цитокины и свободные жирные кислоты нарушают чувствительность к инсулину.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Скрининг пациентов с возможным СД 2-го типа среди больных с </w:t>
      </w:r>
      <w:proofErr w:type="spellStart"/>
      <w:r w:rsidRPr="00F815A6">
        <w:rPr>
          <w:sz w:val="28"/>
          <w:szCs w:val="28"/>
        </w:rPr>
        <w:t>сердечнососудистыми</w:t>
      </w:r>
      <w:proofErr w:type="spellEnd"/>
      <w:r w:rsidRPr="00F815A6">
        <w:rPr>
          <w:sz w:val="28"/>
          <w:szCs w:val="28"/>
        </w:rPr>
        <w:t xml:space="preserve"> заболеваниями следует начинать с определения уровня </w:t>
      </w:r>
      <w:proofErr w:type="spellStart"/>
      <w:r w:rsidRPr="00F815A6">
        <w:rPr>
          <w:sz w:val="28"/>
          <w:szCs w:val="28"/>
        </w:rPr>
        <w:t>гликированного</w:t>
      </w:r>
      <w:proofErr w:type="spellEnd"/>
      <w:r w:rsidRPr="00F815A6">
        <w:rPr>
          <w:sz w:val="28"/>
          <w:szCs w:val="28"/>
        </w:rPr>
        <w:t xml:space="preserve"> гемоглобина и глюкозы плазмы натощак, добавляя тест толерантности к глюкозе при сомнении в диагнозе (IA) [47].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Гипергликемия — независимый фактор риска послеоперационных осложнений. В </w:t>
      </w:r>
      <w:proofErr w:type="spellStart"/>
      <w:r w:rsidRPr="00F815A6">
        <w:rPr>
          <w:sz w:val="28"/>
          <w:szCs w:val="28"/>
        </w:rPr>
        <w:t>периоперационный</w:t>
      </w:r>
      <w:proofErr w:type="spellEnd"/>
      <w:r w:rsidRPr="00F815A6">
        <w:rPr>
          <w:sz w:val="28"/>
          <w:szCs w:val="28"/>
        </w:rPr>
        <w:t xml:space="preserve"> период следует стремиться к </w:t>
      </w:r>
      <w:proofErr w:type="spellStart"/>
      <w:r w:rsidRPr="00F815A6">
        <w:rPr>
          <w:sz w:val="28"/>
          <w:szCs w:val="28"/>
        </w:rPr>
        <w:t>нормогликемии</w:t>
      </w:r>
      <w:proofErr w:type="spellEnd"/>
      <w:r w:rsidRPr="00F815A6">
        <w:rPr>
          <w:sz w:val="28"/>
          <w:szCs w:val="28"/>
        </w:rPr>
        <w:t xml:space="preserve">. Пероральные </w:t>
      </w:r>
      <w:proofErr w:type="spellStart"/>
      <w:r w:rsidRPr="00F815A6">
        <w:rPr>
          <w:sz w:val="28"/>
          <w:szCs w:val="28"/>
        </w:rPr>
        <w:t>сахароснижающие</w:t>
      </w:r>
      <w:proofErr w:type="spellEnd"/>
      <w:r w:rsidRPr="00F815A6">
        <w:rPr>
          <w:sz w:val="28"/>
          <w:szCs w:val="28"/>
        </w:rPr>
        <w:t xml:space="preserve"> препараты отменяют вечером накануне операции в связи с предоперационным голоданием. Следует сокращать дозы инсулина в период голодания и тщательно </w:t>
      </w:r>
      <w:proofErr w:type="spellStart"/>
      <w:r w:rsidRPr="00F815A6">
        <w:rPr>
          <w:sz w:val="28"/>
          <w:szCs w:val="28"/>
        </w:rPr>
        <w:t>мониторировать</w:t>
      </w:r>
      <w:proofErr w:type="spellEnd"/>
      <w:r w:rsidRPr="00F815A6">
        <w:rPr>
          <w:sz w:val="28"/>
          <w:szCs w:val="28"/>
        </w:rPr>
        <w:t xml:space="preserve"> уровень глюкозы. В </w:t>
      </w:r>
      <w:proofErr w:type="spellStart"/>
      <w:r w:rsidRPr="00F815A6">
        <w:rPr>
          <w:sz w:val="28"/>
          <w:szCs w:val="28"/>
        </w:rPr>
        <w:t>периоперационный</w:t>
      </w:r>
      <w:proofErr w:type="spellEnd"/>
      <w:r w:rsidRPr="00F815A6">
        <w:rPr>
          <w:sz w:val="28"/>
          <w:szCs w:val="28"/>
        </w:rPr>
        <w:t xml:space="preserve"> период подкожный путь введения препарата из-за нарушений абсорбции не оправдан. Оптимальный способ — внутривенное титрование простого инсулина [1, 26]. </w:t>
      </w:r>
    </w:p>
    <w:p w:rsidR="00AD7C6F" w:rsidRPr="00F815A6" w:rsidRDefault="0062523A">
      <w:pPr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• У пациентов с ожирением рекомендуется для профилактики аспирации применять метоклопрамид в дозе 10 мг перорально за 1—2 ч до операции или в/в медленно за 40—30 мин и ингибиторы протонной помпы в двойной дозе </w:t>
      </w:r>
    </w:p>
    <w:p w:rsidR="00AD7C6F" w:rsidRPr="00F815A6" w:rsidRDefault="0062523A">
      <w:pPr>
        <w:spacing w:after="115" w:line="259" w:lineRule="auto"/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(например, </w:t>
      </w:r>
      <w:proofErr w:type="spellStart"/>
      <w:r w:rsidRPr="00F815A6">
        <w:rPr>
          <w:i w:val="0"/>
          <w:sz w:val="28"/>
          <w:szCs w:val="28"/>
        </w:rPr>
        <w:t>омепразол</w:t>
      </w:r>
      <w:proofErr w:type="spellEnd"/>
      <w:r w:rsidRPr="00F815A6">
        <w:rPr>
          <w:i w:val="0"/>
          <w:sz w:val="28"/>
          <w:szCs w:val="28"/>
        </w:rPr>
        <w:t xml:space="preserve"> 40 мг) накануне вечером и за 2—4 ч до операции [48, </w:t>
      </w:r>
    </w:p>
    <w:p w:rsidR="00AD7C6F" w:rsidRPr="00F815A6" w:rsidRDefault="0062523A">
      <w:pPr>
        <w:spacing w:after="167" w:line="259" w:lineRule="auto"/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49].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lastRenderedPageBreak/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C).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имеются спорные данные, что у пациентов с ожирением повышен риск аспирации и развития аспирационной пневмонии вследствие повышения внутрибрюшного давления, задержки опорожнения желудка, высокой частоты грыжи пищеводного отверстия диафрагмы и </w:t>
      </w:r>
      <w:proofErr w:type="spellStart"/>
      <w:r w:rsidRPr="00F815A6">
        <w:rPr>
          <w:sz w:val="28"/>
          <w:szCs w:val="28"/>
        </w:rPr>
        <w:t>гастроэзофагеального</w:t>
      </w:r>
      <w:proofErr w:type="spellEnd"/>
      <w:r w:rsidRPr="00F815A6">
        <w:rPr>
          <w:sz w:val="28"/>
          <w:szCs w:val="28"/>
        </w:rPr>
        <w:t xml:space="preserve"> рефлюкса [1, 27]. Ингибиторы протонной помпы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показаны всем пациентам с изжогой, основным симптомом </w:t>
      </w:r>
      <w:proofErr w:type="spellStart"/>
      <w:r w:rsidRPr="00F815A6">
        <w:rPr>
          <w:sz w:val="28"/>
          <w:szCs w:val="28"/>
        </w:rPr>
        <w:t>гастроэзофагеального</w:t>
      </w:r>
      <w:proofErr w:type="spellEnd"/>
      <w:r w:rsidRPr="00F815A6">
        <w:rPr>
          <w:sz w:val="28"/>
          <w:szCs w:val="28"/>
        </w:rPr>
        <w:t xml:space="preserve"> рефлюкса. </w:t>
      </w:r>
    </w:p>
    <w:p w:rsidR="00AD7C6F" w:rsidRPr="00F815A6" w:rsidRDefault="0062523A">
      <w:pPr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• У пациентов с ожирением рекомендуется профилактика тромбоэмболических осложнений [50-53].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I (уровень достоверности доказательств – A).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Риск тромбоза глубоких вен у тучных пациентов, перенесших операцию, примерно вдвое выше, чем у обычных людей. Возрастание риска тромбоэмболий у пациентов с ожирением — последствие полицитемии, увеличения внутрибрюшного давления и иммобилизации, что приводит к венозному застою. </w:t>
      </w:r>
    </w:p>
    <w:p w:rsidR="00AD7C6F" w:rsidRPr="00F815A6" w:rsidRDefault="0062523A">
      <w:pPr>
        <w:spacing w:after="308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Предоперационное выявление тромбоза глубоких вен нижних конечностей — ранняя профилактика венозных тромбоэмболических осложнений: ранняя активизация, компрессионный трикотаж, низкомолекулярные гепарины. При выявлении </w:t>
      </w:r>
      <w:proofErr w:type="spellStart"/>
      <w:r w:rsidRPr="00F815A6">
        <w:rPr>
          <w:sz w:val="28"/>
          <w:szCs w:val="28"/>
        </w:rPr>
        <w:t>гиперкоагуляции</w:t>
      </w:r>
      <w:proofErr w:type="spellEnd"/>
      <w:r w:rsidRPr="00F815A6">
        <w:rPr>
          <w:sz w:val="28"/>
          <w:szCs w:val="28"/>
        </w:rPr>
        <w:t xml:space="preserve"> профилактику венозных тромбоэмболических осложнений следует начинать до операции. При увеличении уровня D-</w:t>
      </w:r>
      <w:proofErr w:type="spellStart"/>
      <w:r w:rsidRPr="00F815A6">
        <w:rPr>
          <w:sz w:val="28"/>
          <w:szCs w:val="28"/>
        </w:rPr>
        <w:t>димера</w:t>
      </w:r>
      <w:proofErr w:type="spellEnd"/>
      <w:r w:rsidRPr="00F815A6">
        <w:rPr>
          <w:sz w:val="28"/>
          <w:szCs w:val="28"/>
        </w:rPr>
        <w:t xml:space="preserve">, даже при отсутствии данных, свидетельствующих о наличии тромбоза глубоких вен нижних </w:t>
      </w:r>
      <w:r w:rsidRPr="00F815A6">
        <w:rPr>
          <w:sz w:val="28"/>
          <w:szCs w:val="28"/>
        </w:rPr>
        <w:lastRenderedPageBreak/>
        <w:t xml:space="preserve">конечностей, следует рассмотреть возможность назначения «лечебных» доз низкомолекулярных гепаринов. </w:t>
      </w:r>
    </w:p>
    <w:p w:rsidR="00AD7C6F" w:rsidRPr="00F815A6" w:rsidRDefault="0062523A">
      <w:pPr>
        <w:pStyle w:val="1"/>
        <w:spacing w:after="396"/>
        <w:rPr>
          <w:b w:val="0"/>
          <w:szCs w:val="28"/>
        </w:rPr>
      </w:pPr>
      <w:r w:rsidRPr="00F815A6">
        <w:rPr>
          <w:b w:val="0"/>
          <w:szCs w:val="28"/>
        </w:rPr>
        <w:t xml:space="preserve">3. </w:t>
      </w:r>
      <w:proofErr w:type="spellStart"/>
      <w:r w:rsidRPr="00F815A6">
        <w:rPr>
          <w:b w:val="0"/>
          <w:szCs w:val="28"/>
        </w:rPr>
        <w:t>Интраоперационное</w:t>
      </w:r>
      <w:proofErr w:type="spellEnd"/>
      <w:r w:rsidRPr="00F815A6">
        <w:rPr>
          <w:b w:val="0"/>
          <w:szCs w:val="28"/>
        </w:rPr>
        <w:t xml:space="preserve"> ведение  </w:t>
      </w:r>
    </w:p>
    <w:p w:rsidR="00AD7C6F" w:rsidRPr="00F815A6" w:rsidRDefault="0062523A">
      <w:pPr>
        <w:numPr>
          <w:ilvl w:val="0"/>
          <w:numId w:val="4"/>
        </w:numPr>
        <w:ind w:right="6" w:hanging="425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Перед </w:t>
      </w:r>
      <w:proofErr w:type="gramStart"/>
      <w:r w:rsidRPr="00F815A6">
        <w:rPr>
          <w:i w:val="0"/>
          <w:sz w:val="28"/>
          <w:szCs w:val="28"/>
        </w:rPr>
        <w:t>индукцией  рекомендуется</w:t>
      </w:r>
      <w:proofErr w:type="gramEnd"/>
      <w:r w:rsidRPr="00F815A6">
        <w:rPr>
          <w:i w:val="0"/>
          <w:sz w:val="28"/>
          <w:szCs w:val="28"/>
        </w:rPr>
        <w:t xml:space="preserve"> укладывать пациента в положение на спине с поднятым головным концом или обратном положении </w:t>
      </w:r>
      <w:proofErr w:type="spellStart"/>
      <w:r w:rsidRPr="00F815A6">
        <w:rPr>
          <w:i w:val="0"/>
          <w:sz w:val="28"/>
          <w:szCs w:val="28"/>
        </w:rPr>
        <w:t>Тренделенбурга</w:t>
      </w:r>
      <w:proofErr w:type="spellEnd"/>
      <w:r w:rsidRPr="00F815A6">
        <w:rPr>
          <w:i w:val="0"/>
          <w:sz w:val="28"/>
          <w:szCs w:val="28"/>
        </w:rPr>
        <w:t xml:space="preserve">  для увеличения ФОЕ и улучшения </w:t>
      </w:r>
      <w:proofErr w:type="spellStart"/>
      <w:r w:rsidRPr="00F815A6">
        <w:rPr>
          <w:i w:val="0"/>
          <w:sz w:val="28"/>
          <w:szCs w:val="28"/>
        </w:rPr>
        <w:t>оксигенации</w:t>
      </w:r>
      <w:proofErr w:type="spellEnd"/>
      <w:r w:rsidRPr="00F815A6">
        <w:rPr>
          <w:i w:val="0"/>
          <w:sz w:val="28"/>
          <w:szCs w:val="28"/>
        </w:rPr>
        <w:t xml:space="preserve"> [54-57].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I (уровень достоверности доказательств – A).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Необходимо уложить пациента таким образом, чтобы мысленно провести горизонтальную линию, соединяющую грудину и ухо пациента (так называемая позиция для ларингоскопии с поднятым головным концом — HELP-позиция), чего обычно достигают подкладыванием под спину и плечи больного подушек, одеял и полотенец. Такое положение улучшает условия интубации трахеи, упрощает масочную вентиляцию и ларингоскопию  </w:t>
      </w:r>
    </w:p>
    <w:p w:rsidR="00AD7C6F" w:rsidRPr="00F815A6" w:rsidRDefault="0062523A">
      <w:pPr>
        <w:spacing w:after="180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[58]. </w:t>
      </w:r>
    </w:p>
    <w:p w:rsidR="00AD7C6F" w:rsidRPr="00F815A6" w:rsidRDefault="0062523A">
      <w:pPr>
        <w:numPr>
          <w:ilvl w:val="0"/>
          <w:numId w:val="4"/>
        </w:numPr>
        <w:ind w:right="6" w:hanging="425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Для анестезии у пациентов с ожирением рекомендуется </w:t>
      </w:r>
      <w:proofErr w:type="spellStart"/>
      <w:r w:rsidRPr="00F815A6">
        <w:rPr>
          <w:i w:val="0"/>
          <w:sz w:val="28"/>
          <w:szCs w:val="28"/>
        </w:rPr>
        <w:t>пропофол</w:t>
      </w:r>
      <w:proofErr w:type="spellEnd"/>
      <w:r w:rsidRPr="00F815A6">
        <w:rPr>
          <w:i w:val="0"/>
          <w:sz w:val="28"/>
          <w:szCs w:val="28"/>
        </w:rPr>
        <w:t xml:space="preserve"> или современные ингаляционные анестетики – </w:t>
      </w:r>
      <w:proofErr w:type="spellStart"/>
      <w:r w:rsidRPr="00F815A6">
        <w:rPr>
          <w:i w:val="0"/>
          <w:sz w:val="28"/>
          <w:szCs w:val="28"/>
        </w:rPr>
        <w:t>севофлуран</w:t>
      </w:r>
      <w:proofErr w:type="spellEnd"/>
      <w:r w:rsidRPr="00F815A6">
        <w:rPr>
          <w:i w:val="0"/>
          <w:sz w:val="28"/>
          <w:szCs w:val="28"/>
        </w:rPr>
        <w:t xml:space="preserve"> и </w:t>
      </w:r>
      <w:proofErr w:type="spellStart"/>
      <w:r w:rsidRPr="00F815A6">
        <w:rPr>
          <w:i w:val="0"/>
          <w:sz w:val="28"/>
          <w:szCs w:val="28"/>
        </w:rPr>
        <w:t>десфлуран</w:t>
      </w:r>
      <w:proofErr w:type="spellEnd"/>
      <w:r w:rsidRPr="00F815A6">
        <w:rPr>
          <w:i w:val="0"/>
          <w:sz w:val="28"/>
          <w:szCs w:val="28"/>
        </w:rPr>
        <w:t xml:space="preserve"> [59-64].  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C).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>Комментарии:</w:t>
      </w:r>
      <w:r w:rsidRPr="00F815A6">
        <w:rPr>
          <w:rFonts w:eastAsia="Calibri"/>
          <w:sz w:val="28"/>
          <w:szCs w:val="28"/>
        </w:rPr>
        <w:t xml:space="preserve"> </w:t>
      </w:r>
      <w:r w:rsidRPr="00F815A6">
        <w:rPr>
          <w:sz w:val="28"/>
          <w:szCs w:val="28"/>
        </w:rPr>
        <w:t xml:space="preserve">у пациентов с ожирением для быстрого восстановления (т.е. почти всегда) следует использовать анестетики с низкой растворимостью в крови и низкой </w:t>
      </w:r>
      <w:proofErr w:type="spellStart"/>
      <w:r w:rsidRPr="00F815A6">
        <w:rPr>
          <w:sz w:val="28"/>
          <w:szCs w:val="28"/>
        </w:rPr>
        <w:t>липофильностью</w:t>
      </w:r>
      <w:proofErr w:type="spellEnd"/>
      <w:r w:rsidRPr="00F815A6">
        <w:rPr>
          <w:sz w:val="28"/>
          <w:szCs w:val="28"/>
        </w:rPr>
        <w:t xml:space="preserve"> [1, 41]. На этапе пробуждения применение анестетиков с высокой </w:t>
      </w:r>
      <w:proofErr w:type="spellStart"/>
      <w:r w:rsidRPr="00F815A6">
        <w:rPr>
          <w:sz w:val="28"/>
          <w:szCs w:val="28"/>
        </w:rPr>
        <w:t>липофильностью</w:t>
      </w:r>
      <w:proofErr w:type="spellEnd"/>
      <w:r w:rsidRPr="00F815A6">
        <w:rPr>
          <w:sz w:val="28"/>
          <w:szCs w:val="28"/>
        </w:rPr>
        <w:t xml:space="preserve"> у тучных пациентов приводит к замедленному пробуждению [65]. </w:t>
      </w:r>
      <w:proofErr w:type="spellStart"/>
      <w:r w:rsidRPr="00F815A6">
        <w:rPr>
          <w:sz w:val="28"/>
          <w:szCs w:val="28"/>
        </w:rPr>
        <w:t>Десфлуран</w:t>
      </w:r>
      <w:proofErr w:type="spellEnd"/>
      <w:r w:rsidRPr="00F815A6">
        <w:rPr>
          <w:sz w:val="28"/>
          <w:szCs w:val="28"/>
        </w:rPr>
        <w:t xml:space="preserve"> и </w:t>
      </w:r>
      <w:proofErr w:type="spellStart"/>
      <w:r w:rsidRPr="00F815A6">
        <w:rPr>
          <w:sz w:val="28"/>
          <w:szCs w:val="28"/>
        </w:rPr>
        <w:lastRenderedPageBreak/>
        <w:t>севофлуран</w:t>
      </w:r>
      <w:proofErr w:type="spellEnd"/>
      <w:r w:rsidRPr="00F815A6">
        <w:rPr>
          <w:sz w:val="28"/>
          <w:szCs w:val="28"/>
        </w:rPr>
        <w:t xml:space="preserve"> — препараты выбора у пациентов с ожирением. </w:t>
      </w:r>
      <w:proofErr w:type="spellStart"/>
      <w:r w:rsidRPr="00F815A6">
        <w:rPr>
          <w:sz w:val="28"/>
          <w:szCs w:val="28"/>
        </w:rPr>
        <w:t>Десфлуран</w:t>
      </w:r>
      <w:proofErr w:type="spellEnd"/>
      <w:r w:rsidRPr="00F815A6">
        <w:rPr>
          <w:sz w:val="28"/>
          <w:szCs w:val="28"/>
        </w:rPr>
        <w:t xml:space="preserve"> приобрел популярность в </w:t>
      </w:r>
      <w:proofErr w:type="spellStart"/>
      <w:r w:rsidRPr="00F815A6">
        <w:rPr>
          <w:sz w:val="28"/>
          <w:szCs w:val="28"/>
        </w:rPr>
        <w:t>бариатрической</w:t>
      </w:r>
      <w:proofErr w:type="spellEnd"/>
      <w:r w:rsidRPr="00F815A6">
        <w:rPr>
          <w:sz w:val="28"/>
          <w:szCs w:val="28"/>
        </w:rPr>
        <w:t xml:space="preserve"> хирургии в связи с особо благоприятным профилем пробуждения. Анестезия </w:t>
      </w:r>
      <w:proofErr w:type="spellStart"/>
      <w:r w:rsidRPr="00F815A6">
        <w:rPr>
          <w:sz w:val="28"/>
          <w:szCs w:val="28"/>
        </w:rPr>
        <w:t>десфлураном</w:t>
      </w:r>
      <w:proofErr w:type="spellEnd"/>
      <w:r w:rsidRPr="00F815A6">
        <w:rPr>
          <w:sz w:val="28"/>
          <w:szCs w:val="28"/>
        </w:rPr>
        <w:t xml:space="preserve"> может оказаться более предпочтительной по сравнению с наркозом </w:t>
      </w:r>
      <w:proofErr w:type="spellStart"/>
      <w:r w:rsidRPr="00F815A6">
        <w:rPr>
          <w:sz w:val="28"/>
          <w:szCs w:val="28"/>
        </w:rPr>
        <w:t>севофлураном</w:t>
      </w:r>
      <w:proofErr w:type="spellEnd"/>
      <w:r w:rsidRPr="00F815A6">
        <w:rPr>
          <w:sz w:val="28"/>
          <w:szCs w:val="28"/>
        </w:rPr>
        <w:t xml:space="preserve">, поскольку </w:t>
      </w:r>
      <w:proofErr w:type="spellStart"/>
      <w:r w:rsidRPr="00F815A6">
        <w:rPr>
          <w:sz w:val="28"/>
          <w:szCs w:val="28"/>
        </w:rPr>
        <w:t>десфлуран</w:t>
      </w:r>
      <w:proofErr w:type="spellEnd"/>
      <w:r w:rsidRPr="00F815A6">
        <w:rPr>
          <w:sz w:val="28"/>
          <w:szCs w:val="28"/>
        </w:rPr>
        <w:t xml:space="preserve"> практически не </w:t>
      </w:r>
      <w:proofErr w:type="spellStart"/>
      <w:r w:rsidRPr="00F815A6">
        <w:rPr>
          <w:sz w:val="28"/>
          <w:szCs w:val="28"/>
        </w:rPr>
        <w:t>кумулирует</w:t>
      </w:r>
      <w:proofErr w:type="spellEnd"/>
      <w:r w:rsidRPr="00F815A6">
        <w:rPr>
          <w:sz w:val="28"/>
          <w:szCs w:val="28"/>
        </w:rPr>
        <w:t xml:space="preserve"> независимо от продолжительности наркоза [66]. В современной анестезиологической практике </w:t>
      </w:r>
      <w:proofErr w:type="spellStart"/>
      <w:r w:rsidRPr="00F815A6">
        <w:rPr>
          <w:sz w:val="28"/>
          <w:szCs w:val="28"/>
        </w:rPr>
        <w:t>пропофол</w:t>
      </w:r>
      <w:proofErr w:type="spellEnd"/>
      <w:r w:rsidRPr="00F815A6">
        <w:rPr>
          <w:sz w:val="28"/>
          <w:szCs w:val="28"/>
        </w:rPr>
        <w:t xml:space="preserve"> стал препаратом выбора для вводного наркоза у пациентов с ожирением [41]. Оптимальное дозирование должно происходить методом титрования. Следует помнить, что у пациентов с ОСА применение </w:t>
      </w:r>
      <w:proofErr w:type="spellStart"/>
      <w:r w:rsidRPr="00F815A6">
        <w:rPr>
          <w:sz w:val="28"/>
          <w:szCs w:val="28"/>
        </w:rPr>
        <w:t>пропофола</w:t>
      </w:r>
      <w:proofErr w:type="spellEnd"/>
      <w:r w:rsidRPr="00F815A6">
        <w:rPr>
          <w:sz w:val="28"/>
          <w:szCs w:val="28"/>
        </w:rPr>
        <w:t xml:space="preserve"> и </w:t>
      </w:r>
      <w:proofErr w:type="spellStart"/>
      <w:r w:rsidRPr="00F815A6">
        <w:rPr>
          <w:sz w:val="28"/>
          <w:szCs w:val="28"/>
        </w:rPr>
        <w:t>бензодиазепинов</w:t>
      </w:r>
      <w:proofErr w:type="spellEnd"/>
      <w:r w:rsidRPr="00F815A6">
        <w:rPr>
          <w:sz w:val="28"/>
          <w:szCs w:val="28"/>
        </w:rPr>
        <w:t xml:space="preserve"> для </w:t>
      </w:r>
      <w:proofErr w:type="spellStart"/>
      <w:r w:rsidRPr="00F815A6">
        <w:rPr>
          <w:sz w:val="28"/>
          <w:szCs w:val="28"/>
        </w:rPr>
        <w:t>седации</w:t>
      </w:r>
      <w:proofErr w:type="spellEnd"/>
      <w:r w:rsidRPr="00F815A6">
        <w:rPr>
          <w:sz w:val="28"/>
          <w:szCs w:val="28"/>
        </w:rPr>
        <w:t xml:space="preserve"> связано с риском гипоксемии. </w:t>
      </w:r>
    </w:p>
    <w:p w:rsidR="00AD7C6F" w:rsidRPr="00F815A6" w:rsidRDefault="0062523A">
      <w:pPr>
        <w:numPr>
          <w:ilvl w:val="0"/>
          <w:numId w:val="4"/>
        </w:numPr>
        <w:spacing w:after="3" w:line="395" w:lineRule="auto"/>
        <w:ind w:right="6" w:hanging="425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Рекомендуется производить коррекцию дозы препаратов для анестезии </w:t>
      </w:r>
      <w:r w:rsidRPr="00F815A6">
        <w:rPr>
          <w:sz w:val="28"/>
          <w:szCs w:val="28"/>
        </w:rPr>
        <w:t>[67-69]</w:t>
      </w:r>
      <w:r w:rsidRPr="00F815A6">
        <w:rPr>
          <w:i w:val="0"/>
          <w:sz w:val="28"/>
          <w:szCs w:val="28"/>
        </w:rPr>
        <w:t xml:space="preserve">.  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C).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Комментарий: у пациентов с ожирением используют тощий вес тела и идеальный вес тела (приложение Г3). Метод расчёта зависит от препарата (приложение Г4)  </w:t>
      </w:r>
    </w:p>
    <w:p w:rsidR="00AD7C6F" w:rsidRPr="00F815A6" w:rsidRDefault="0062523A">
      <w:pPr>
        <w:ind w:left="1133" w:right="6" w:hanging="281"/>
        <w:rPr>
          <w:sz w:val="28"/>
          <w:szCs w:val="28"/>
        </w:rPr>
      </w:pPr>
      <w:r w:rsidRPr="00F815A6">
        <w:rPr>
          <w:sz w:val="28"/>
          <w:szCs w:val="28"/>
        </w:rPr>
        <w:t xml:space="preserve">• </w:t>
      </w:r>
      <w:r w:rsidRPr="00F815A6">
        <w:rPr>
          <w:i w:val="0"/>
          <w:sz w:val="28"/>
          <w:szCs w:val="28"/>
        </w:rPr>
        <w:t xml:space="preserve">Рекомендуется </w:t>
      </w:r>
      <w:proofErr w:type="gramStart"/>
      <w:r w:rsidRPr="00F815A6">
        <w:rPr>
          <w:i w:val="0"/>
          <w:sz w:val="28"/>
          <w:szCs w:val="28"/>
        </w:rPr>
        <w:t>во время</w:t>
      </w:r>
      <w:proofErr w:type="gram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преоксигенации</w:t>
      </w:r>
      <w:proofErr w:type="spellEnd"/>
      <w:r w:rsidRPr="00F815A6">
        <w:rPr>
          <w:i w:val="0"/>
          <w:sz w:val="28"/>
          <w:szCs w:val="28"/>
        </w:rPr>
        <w:t xml:space="preserve"> и индукции анестезии использовать постоянное положительное давление в дыхательных путях и фракцию вдыхаемого кислорода не более 80% [70-73]. Решающим ориентиром служит SpO2≥95%. У пациентов с «трудными» дыхательными путями FiO</w:t>
      </w:r>
      <w:r w:rsidRPr="00F815A6">
        <w:rPr>
          <w:i w:val="0"/>
          <w:sz w:val="28"/>
          <w:szCs w:val="28"/>
          <w:vertAlign w:val="subscript"/>
        </w:rPr>
        <w:t>2</w:t>
      </w:r>
      <w:r w:rsidRPr="00F815A6">
        <w:rPr>
          <w:i w:val="0"/>
          <w:sz w:val="28"/>
          <w:szCs w:val="28"/>
        </w:rPr>
        <w:t xml:space="preserve"> должно быть 100% 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I (уровень достоверности доказательств – B). </w:t>
      </w:r>
    </w:p>
    <w:p w:rsidR="00AD7C6F" w:rsidRPr="00F815A6" w:rsidRDefault="0062523A">
      <w:pPr>
        <w:numPr>
          <w:ilvl w:val="0"/>
          <w:numId w:val="5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 пациентов с ожирением рекомендуется применение малых дыхательных объемов (менее 10 мл/кг ДМТ) и положительного </w:t>
      </w:r>
      <w:r w:rsidRPr="00F815A6">
        <w:rPr>
          <w:i w:val="0"/>
          <w:sz w:val="28"/>
          <w:szCs w:val="28"/>
        </w:rPr>
        <w:lastRenderedPageBreak/>
        <w:t xml:space="preserve">конечно-экспираторного давления не менее 10 см </w:t>
      </w:r>
      <w:proofErr w:type="spellStart"/>
      <w:r w:rsidRPr="00F815A6">
        <w:rPr>
          <w:i w:val="0"/>
          <w:sz w:val="28"/>
          <w:szCs w:val="28"/>
        </w:rPr>
        <w:t>вод.ст</w:t>
      </w:r>
      <w:proofErr w:type="spellEnd"/>
      <w:r w:rsidRPr="00F815A6">
        <w:rPr>
          <w:i w:val="0"/>
          <w:sz w:val="28"/>
          <w:szCs w:val="28"/>
        </w:rPr>
        <w:t xml:space="preserve">. во время искусственной вентиляции легких [74-79].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C). </w:t>
      </w:r>
    </w:p>
    <w:p w:rsidR="00AD7C6F" w:rsidRPr="00F815A6" w:rsidRDefault="0062523A">
      <w:pPr>
        <w:numPr>
          <w:ilvl w:val="0"/>
          <w:numId w:val="5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 пациентов с ожирением рекомендуется применение маневра раскрытия альвеол методом пошагового увеличения конечно-экспираторного давления </w:t>
      </w:r>
    </w:p>
    <w:p w:rsidR="00AD7C6F" w:rsidRPr="00F815A6" w:rsidRDefault="0062523A">
      <w:pPr>
        <w:spacing w:after="166" w:line="259" w:lineRule="auto"/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[80-82].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IIb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C). </w:t>
      </w:r>
    </w:p>
    <w:p w:rsidR="00AD7C6F" w:rsidRPr="00F815A6" w:rsidRDefault="0062523A">
      <w:pPr>
        <w:numPr>
          <w:ilvl w:val="0"/>
          <w:numId w:val="5"/>
        </w:numPr>
        <w:spacing w:line="259" w:lineRule="auto"/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Рекомендовано применение регионарных и </w:t>
      </w:r>
      <w:proofErr w:type="spellStart"/>
      <w:r w:rsidRPr="00F815A6">
        <w:rPr>
          <w:i w:val="0"/>
          <w:sz w:val="28"/>
          <w:szCs w:val="28"/>
        </w:rPr>
        <w:t>нейроаксиальных</w:t>
      </w:r>
      <w:proofErr w:type="spellEnd"/>
      <w:r w:rsidRPr="00F815A6">
        <w:rPr>
          <w:i w:val="0"/>
          <w:sz w:val="28"/>
          <w:szCs w:val="28"/>
        </w:rPr>
        <w:t xml:space="preserve"> блокад [83-88].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I (уровень достоверности доказательств – B). </w:t>
      </w:r>
    </w:p>
    <w:p w:rsidR="00AD7C6F" w:rsidRPr="00F815A6" w:rsidRDefault="0062523A">
      <w:pPr>
        <w:spacing w:after="193" w:line="259" w:lineRule="auto"/>
        <w:ind w:left="1133" w:right="0" w:firstLine="0"/>
        <w:jc w:val="left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 </w:t>
      </w:r>
    </w:p>
    <w:p w:rsidR="00AD7C6F" w:rsidRPr="00F815A6" w:rsidRDefault="0062523A">
      <w:pPr>
        <w:pStyle w:val="1"/>
        <w:spacing w:after="90"/>
        <w:ind w:left="2718"/>
        <w:jc w:val="left"/>
        <w:rPr>
          <w:b w:val="0"/>
          <w:szCs w:val="28"/>
        </w:rPr>
      </w:pPr>
      <w:r w:rsidRPr="00F815A6">
        <w:rPr>
          <w:b w:val="0"/>
          <w:szCs w:val="28"/>
        </w:rPr>
        <w:t xml:space="preserve">3 Ведение в послеоперационный период </w:t>
      </w:r>
    </w:p>
    <w:p w:rsidR="00AD7C6F" w:rsidRPr="00F815A6" w:rsidRDefault="0062523A">
      <w:pPr>
        <w:spacing w:after="180" w:line="259" w:lineRule="auto"/>
        <w:ind w:left="1133" w:right="0" w:firstLine="0"/>
        <w:jc w:val="left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 </w:t>
      </w:r>
    </w:p>
    <w:p w:rsidR="00AD7C6F" w:rsidRPr="00F815A6" w:rsidRDefault="0062523A">
      <w:pPr>
        <w:ind w:left="1133" w:right="6" w:hanging="360"/>
        <w:rPr>
          <w:sz w:val="28"/>
          <w:szCs w:val="28"/>
        </w:rPr>
      </w:pPr>
      <w:r w:rsidRPr="00F815A6">
        <w:rPr>
          <w:rFonts w:eastAsia="Segoe UI Symbol"/>
          <w:i w:val="0"/>
          <w:sz w:val="28"/>
          <w:szCs w:val="28"/>
        </w:rPr>
        <w:t></w:t>
      </w:r>
      <w:r w:rsidRPr="00F815A6">
        <w:rPr>
          <w:rFonts w:eastAsia="Arial"/>
          <w:i w:val="0"/>
          <w:sz w:val="28"/>
          <w:szCs w:val="28"/>
        </w:rPr>
        <w:t xml:space="preserve"> </w:t>
      </w:r>
      <w:r w:rsidRPr="00F815A6">
        <w:rPr>
          <w:i w:val="0"/>
          <w:sz w:val="28"/>
          <w:szCs w:val="28"/>
        </w:rPr>
        <w:t xml:space="preserve">При наличии остаточной нейромышечной блокады рекомендовано использование </w:t>
      </w:r>
      <w:proofErr w:type="spellStart"/>
      <w:r w:rsidRPr="00F815A6">
        <w:rPr>
          <w:i w:val="0"/>
          <w:sz w:val="28"/>
          <w:szCs w:val="28"/>
        </w:rPr>
        <w:t>декураризации</w:t>
      </w:r>
      <w:proofErr w:type="spellEnd"/>
      <w:r w:rsidRPr="00F815A6">
        <w:rPr>
          <w:i w:val="0"/>
          <w:sz w:val="28"/>
          <w:szCs w:val="28"/>
        </w:rPr>
        <w:t xml:space="preserve"> под объективным контролем нервно-мышечной передачи с целевым значением TOF </w:t>
      </w:r>
      <w:r w:rsidRPr="00F815A6">
        <w:rPr>
          <w:sz w:val="28"/>
          <w:szCs w:val="28"/>
        </w:rPr>
        <w:t>&gt;0,9 (90%)</w:t>
      </w:r>
      <w:r w:rsidRPr="00F815A6">
        <w:rPr>
          <w:i w:val="0"/>
          <w:sz w:val="28"/>
          <w:szCs w:val="28"/>
        </w:rPr>
        <w:t xml:space="preserve"> [89-94].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B).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>Комментарии:</w:t>
      </w:r>
      <w:r w:rsidRPr="00F815A6">
        <w:rPr>
          <w:rFonts w:eastAsia="Calibri"/>
          <w:i w:val="0"/>
          <w:sz w:val="28"/>
          <w:szCs w:val="28"/>
        </w:rPr>
        <w:t xml:space="preserve"> </w:t>
      </w:r>
      <w:r w:rsidRPr="00F815A6">
        <w:rPr>
          <w:sz w:val="28"/>
          <w:szCs w:val="28"/>
        </w:rPr>
        <w:t xml:space="preserve">спонтанное восстановление НМП происходит медленно и непредсказуемо, зависит от типа анестезии, сопутствующей терапии и индивидуальных особенностей пациента.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Клинические признаки восстановления НМП ненадежны, особенно </w:t>
      </w:r>
      <w:proofErr w:type="spellStart"/>
      <w:r w:rsidRPr="00F815A6">
        <w:rPr>
          <w:sz w:val="28"/>
          <w:szCs w:val="28"/>
        </w:rPr>
        <w:t>малоинформативны</w:t>
      </w:r>
      <w:proofErr w:type="spellEnd"/>
      <w:r w:rsidRPr="00F815A6">
        <w:rPr>
          <w:sz w:val="28"/>
          <w:szCs w:val="28"/>
        </w:rPr>
        <w:t xml:space="preserve"> показатели спирометрии. Единственный </w:t>
      </w:r>
      <w:r w:rsidRPr="00F815A6">
        <w:rPr>
          <w:sz w:val="28"/>
          <w:szCs w:val="28"/>
        </w:rPr>
        <w:lastRenderedPageBreak/>
        <w:t xml:space="preserve">метод объективной оценки состояния НМП, пригодный для рутинной анестезиологической практики, в особенности для принятия решения о </w:t>
      </w:r>
      <w:proofErr w:type="spellStart"/>
      <w:r w:rsidRPr="00F815A6">
        <w:rPr>
          <w:sz w:val="28"/>
          <w:szCs w:val="28"/>
        </w:rPr>
        <w:t>экстубации</w:t>
      </w:r>
      <w:proofErr w:type="spellEnd"/>
      <w:r w:rsidRPr="00F815A6">
        <w:rPr>
          <w:sz w:val="28"/>
          <w:szCs w:val="28"/>
        </w:rPr>
        <w:t xml:space="preserve">, — это мониторинг ответа на TOF-стимуляцию.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Ингибиторы </w:t>
      </w:r>
      <w:proofErr w:type="spellStart"/>
      <w:r w:rsidRPr="00F815A6">
        <w:rPr>
          <w:sz w:val="28"/>
          <w:szCs w:val="28"/>
        </w:rPr>
        <w:t>холинэстеразы</w:t>
      </w:r>
      <w:proofErr w:type="spellEnd"/>
      <w:r w:rsidRPr="00F815A6">
        <w:rPr>
          <w:sz w:val="28"/>
          <w:szCs w:val="28"/>
        </w:rPr>
        <w:t xml:space="preserve"> остаются основным средством устранения остаточного НМБ, но их эффективность ограничена целым рядом условий, а действие проявляется медленно. При глубокой </w:t>
      </w:r>
      <w:proofErr w:type="spellStart"/>
      <w:r w:rsidRPr="00F815A6">
        <w:rPr>
          <w:sz w:val="28"/>
          <w:szCs w:val="28"/>
        </w:rPr>
        <w:t>миоплегии</w:t>
      </w:r>
      <w:proofErr w:type="spellEnd"/>
      <w:r w:rsidRPr="00F815A6">
        <w:rPr>
          <w:sz w:val="28"/>
          <w:szCs w:val="28"/>
        </w:rPr>
        <w:t xml:space="preserve"> ингибиторы </w:t>
      </w:r>
      <w:proofErr w:type="spellStart"/>
      <w:r w:rsidRPr="00F815A6">
        <w:rPr>
          <w:sz w:val="28"/>
          <w:szCs w:val="28"/>
        </w:rPr>
        <w:t>холинэстеразы</w:t>
      </w:r>
      <w:proofErr w:type="spellEnd"/>
      <w:r w:rsidRPr="00F815A6">
        <w:rPr>
          <w:sz w:val="28"/>
          <w:szCs w:val="28"/>
        </w:rPr>
        <w:t xml:space="preserve"> в принципе не способны восстанавливать НМП. Кроме того, они обладают множеством побочных свойств, а при передозировке способны сами вызывать дыхательную недостаточность из-за избыточного холиномиметического действия на нервно-мышечные синапсы.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proofErr w:type="spellStart"/>
      <w:r w:rsidRPr="00F815A6">
        <w:rPr>
          <w:sz w:val="28"/>
          <w:szCs w:val="28"/>
        </w:rPr>
        <w:t>Сугаммадекс</w:t>
      </w:r>
      <w:proofErr w:type="spellEnd"/>
      <w:r w:rsidRPr="00F815A6">
        <w:rPr>
          <w:sz w:val="28"/>
          <w:szCs w:val="28"/>
        </w:rPr>
        <w:t xml:space="preserve"> способен в течение 1—4 мин полностью прекращать даже глубокий НМБ, вызванный </w:t>
      </w:r>
      <w:proofErr w:type="spellStart"/>
      <w:r w:rsidRPr="00F815A6">
        <w:rPr>
          <w:sz w:val="28"/>
          <w:szCs w:val="28"/>
        </w:rPr>
        <w:t>аминостероидными</w:t>
      </w:r>
      <w:proofErr w:type="spellEnd"/>
      <w:r w:rsidRPr="00F815A6">
        <w:rPr>
          <w:sz w:val="28"/>
          <w:szCs w:val="28"/>
        </w:rPr>
        <w:t xml:space="preserve"> </w:t>
      </w:r>
      <w:proofErr w:type="spellStart"/>
      <w:r w:rsidRPr="00F815A6">
        <w:rPr>
          <w:sz w:val="28"/>
          <w:szCs w:val="28"/>
        </w:rPr>
        <w:t>миорелаксантами</w:t>
      </w:r>
      <w:proofErr w:type="spellEnd"/>
      <w:r w:rsidRPr="00F815A6">
        <w:rPr>
          <w:sz w:val="28"/>
          <w:szCs w:val="28"/>
        </w:rPr>
        <w:t xml:space="preserve"> — </w:t>
      </w:r>
      <w:proofErr w:type="spellStart"/>
      <w:r w:rsidRPr="00F815A6">
        <w:rPr>
          <w:sz w:val="28"/>
          <w:szCs w:val="28"/>
        </w:rPr>
        <w:t>рокурониембромида</w:t>
      </w:r>
      <w:proofErr w:type="spellEnd"/>
      <w:r w:rsidRPr="00F815A6">
        <w:rPr>
          <w:sz w:val="28"/>
          <w:szCs w:val="28"/>
        </w:rPr>
        <w:t xml:space="preserve"> и </w:t>
      </w:r>
      <w:proofErr w:type="spellStart"/>
      <w:r w:rsidRPr="00F815A6">
        <w:rPr>
          <w:sz w:val="28"/>
          <w:szCs w:val="28"/>
        </w:rPr>
        <w:t>векуронием</w:t>
      </w:r>
      <w:proofErr w:type="spellEnd"/>
      <w:r w:rsidRPr="00F815A6">
        <w:rPr>
          <w:sz w:val="28"/>
          <w:szCs w:val="28"/>
        </w:rPr>
        <w:t xml:space="preserve">.  </w:t>
      </w:r>
    </w:p>
    <w:p w:rsidR="00AD7C6F" w:rsidRPr="00F815A6" w:rsidRDefault="0062523A">
      <w:pPr>
        <w:spacing w:after="180" w:line="259" w:lineRule="auto"/>
        <w:ind w:left="1133" w:right="0" w:firstLine="0"/>
        <w:jc w:val="left"/>
        <w:rPr>
          <w:sz w:val="28"/>
          <w:szCs w:val="28"/>
        </w:rPr>
      </w:pPr>
      <w:r w:rsidRPr="00F815A6">
        <w:rPr>
          <w:sz w:val="28"/>
          <w:szCs w:val="28"/>
        </w:rPr>
        <w:t xml:space="preserve"> </w:t>
      </w:r>
    </w:p>
    <w:p w:rsidR="00AD7C6F" w:rsidRPr="00F815A6" w:rsidRDefault="0062523A">
      <w:pPr>
        <w:numPr>
          <w:ilvl w:val="0"/>
          <w:numId w:val="6"/>
        </w:numPr>
        <w:ind w:right="6" w:hanging="360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</w:rPr>
        <w:t>Экстубацию</w:t>
      </w:r>
      <w:proofErr w:type="spellEnd"/>
      <w:r w:rsidRPr="00F815A6">
        <w:rPr>
          <w:i w:val="0"/>
          <w:sz w:val="28"/>
          <w:szCs w:val="28"/>
        </w:rPr>
        <w:t xml:space="preserve"> пациентов с ожирением следует проводить после восстановления нервно-мышечной передачи в положении сидя или полусидя, сопровождая послеоперационный период методами профилактики послеоперационных легочных осложнений [95-100].  </w:t>
      </w:r>
    </w:p>
    <w:p w:rsidR="00AD7C6F" w:rsidRPr="00F815A6" w:rsidRDefault="0062523A">
      <w:pPr>
        <w:tabs>
          <w:tab w:val="center" w:pos="1598"/>
          <w:tab w:val="center" w:pos="3198"/>
          <w:tab w:val="center" w:pos="5113"/>
          <w:tab w:val="center" w:pos="6220"/>
          <w:tab w:val="center" w:pos="7023"/>
          <w:tab w:val="right" w:pos="9359"/>
        </w:tabs>
        <w:spacing w:after="164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ab/>
      </w:r>
      <w:r w:rsidRPr="00F815A6">
        <w:rPr>
          <w:i w:val="0"/>
          <w:sz w:val="28"/>
          <w:szCs w:val="28"/>
        </w:rPr>
        <w:t xml:space="preserve">Уровень </w:t>
      </w:r>
      <w:r w:rsidRPr="00F815A6">
        <w:rPr>
          <w:i w:val="0"/>
          <w:sz w:val="28"/>
          <w:szCs w:val="28"/>
        </w:rPr>
        <w:tab/>
        <w:t xml:space="preserve">убедительности </w:t>
      </w:r>
      <w:r w:rsidRPr="00F815A6">
        <w:rPr>
          <w:i w:val="0"/>
          <w:sz w:val="28"/>
          <w:szCs w:val="28"/>
        </w:rPr>
        <w:tab/>
        <w:t xml:space="preserve">рекомендаций </w:t>
      </w:r>
      <w:r w:rsidRPr="00F815A6">
        <w:rPr>
          <w:i w:val="0"/>
          <w:sz w:val="28"/>
          <w:szCs w:val="28"/>
        </w:rPr>
        <w:tab/>
        <w:t xml:space="preserve">I </w:t>
      </w:r>
      <w:r w:rsidRPr="00F815A6">
        <w:rPr>
          <w:i w:val="0"/>
          <w:sz w:val="28"/>
          <w:szCs w:val="28"/>
        </w:rPr>
        <w:tab/>
        <w:t xml:space="preserve">(уровень </w:t>
      </w:r>
      <w:r w:rsidRPr="00F815A6">
        <w:rPr>
          <w:i w:val="0"/>
          <w:sz w:val="28"/>
          <w:szCs w:val="28"/>
        </w:rPr>
        <w:tab/>
        <w:t xml:space="preserve">достоверности </w:t>
      </w:r>
    </w:p>
    <w:p w:rsidR="00AD7C6F" w:rsidRPr="00F815A6" w:rsidRDefault="0062523A">
      <w:pPr>
        <w:spacing w:after="3" w:line="259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доказательств – B) </w:t>
      </w:r>
    </w:p>
    <w:p w:rsidR="00AD7C6F" w:rsidRPr="00F815A6" w:rsidRDefault="0062523A">
      <w:pPr>
        <w:numPr>
          <w:ilvl w:val="0"/>
          <w:numId w:val="6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Рекомендуется применение </w:t>
      </w:r>
      <w:proofErr w:type="spellStart"/>
      <w:r w:rsidRPr="00F815A6">
        <w:rPr>
          <w:i w:val="0"/>
          <w:sz w:val="28"/>
          <w:szCs w:val="28"/>
        </w:rPr>
        <w:t>мультимодальной</w:t>
      </w:r>
      <w:proofErr w:type="spellEnd"/>
      <w:r w:rsidRPr="00F815A6">
        <w:rPr>
          <w:i w:val="0"/>
          <w:sz w:val="28"/>
          <w:szCs w:val="28"/>
        </w:rPr>
        <w:t xml:space="preserve"> послеоперационной анальгезии [101-104]. </w:t>
      </w:r>
    </w:p>
    <w:p w:rsidR="00AD7C6F" w:rsidRPr="00F815A6" w:rsidRDefault="0062523A">
      <w:pPr>
        <w:spacing w:after="3" w:line="395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Уровень убедительности рекомендаций </w:t>
      </w:r>
      <w:proofErr w:type="spellStart"/>
      <w:r w:rsidRPr="00F815A6">
        <w:rPr>
          <w:i w:val="0"/>
          <w:sz w:val="28"/>
          <w:szCs w:val="28"/>
        </w:rPr>
        <w:t>IIa</w:t>
      </w:r>
      <w:proofErr w:type="spellEnd"/>
      <w:r w:rsidRPr="00F815A6">
        <w:rPr>
          <w:i w:val="0"/>
          <w:sz w:val="28"/>
          <w:szCs w:val="28"/>
        </w:rPr>
        <w:t xml:space="preserve"> (уровень достоверности доказательств – B) </w:t>
      </w:r>
    </w:p>
    <w:p w:rsidR="00AD7C6F" w:rsidRPr="00F815A6" w:rsidRDefault="0062523A">
      <w:pPr>
        <w:spacing w:after="38"/>
        <w:ind w:left="1128" w:right="10"/>
        <w:rPr>
          <w:sz w:val="28"/>
          <w:szCs w:val="28"/>
        </w:rPr>
      </w:pPr>
      <w:r w:rsidRPr="00F815A6">
        <w:rPr>
          <w:i w:val="0"/>
          <w:sz w:val="28"/>
          <w:szCs w:val="28"/>
        </w:rPr>
        <w:lastRenderedPageBreak/>
        <w:t xml:space="preserve">Комментарий: </w:t>
      </w:r>
      <w:r w:rsidRPr="00F815A6">
        <w:rPr>
          <w:sz w:val="28"/>
          <w:szCs w:val="28"/>
        </w:rPr>
        <w:t>Рекомендуется после обширных операций путем сочетания опиатов (</w:t>
      </w:r>
      <w:proofErr w:type="spellStart"/>
      <w:r w:rsidRPr="00F815A6">
        <w:rPr>
          <w:sz w:val="28"/>
          <w:szCs w:val="28"/>
        </w:rPr>
        <w:t>фентанил</w:t>
      </w:r>
      <w:proofErr w:type="spellEnd"/>
      <w:r w:rsidRPr="00F815A6">
        <w:rPr>
          <w:sz w:val="28"/>
          <w:szCs w:val="28"/>
        </w:rPr>
        <w:t>) с нестероидными противовоспалительными препаратами и/или парацетамолом [1]. Парацетамол возможно применять только при отсутствии у пациента явлений печеночной дисфункции. Дозы: парацетамол (</w:t>
      </w:r>
      <w:proofErr w:type="spellStart"/>
      <w:r w:rsidRPr="00F815A6">
        <w:rPr>
          <w:sz w:val="28"/>
          <w:szCs w:val="28"/>
        </w:rPr>
        <w:t>Перфалган</w:t>
      </w:r>
      <w:proofErr w:type="spellEnd"/>
      <w:r w:rsidRPr="00F815A6">
        <w:rPr>
          <w:sz w:val="28"/>
          <w:szCs w:val="28"/>
        </w:rPr>
        <w:t>*) 4—5 г/</w:t>
      </w:r>
      <w:proofErr w:type="spellStart"/>
      <w:r w:rsidRPr="00F815A6">
        <w:rPr>
          <w:sz w:val="28"/>
          <w:szCs w:val="28"/>
        </w:rPr>
        <w:t>сут</w:t>
      </w:r>
      <w:proofErr w:type="spellEnd"/>
      <w:r w:rsidRPr="00F815A6">
        <w:rPr>
          <w:sz w:val="28"/>
          <w:szCs w:val="28"/>
        </w:rPr>
        <w:t xml:space="preserve"> 4—5 дней, </w:t>
      </w:r>
      <w:proofErr w:type="spellStart"/>
      <w:r w:rsidRPr="00F815A6">
        <w:rPr>
          <w:sz w:val="28"/>
          <w:szCs w:val="28"/>
        </w:rPr>
        <w:t>кеторолак</w:t>
      </w:r>
      <w:proofErr w:type="spellEnd"/>
      <w:r w:rsidRPr="00F815A6">
        <w:rPr>
          <w:sz w:val="28"/>
          <w:szCs w:val="28"/>
        </w:rPr>
        <w:t xml:space="preserve"> 90 мг/</w:t>
      </w:r>
      <w:proofErr w:type="spellStart"/>
      <w:r w:rsidRPr="00F815A6">
        <w:rPr>
          <w:sz w:val="28"/>
          <w:szCs w:val="28"/>
        </w:rPr>
        <w:t>сут</w:t>
      </w:r>
      <w:proofErr w:type="spellEnd"/>
      <w:r w:rsidRPr="00F815A6">
        <w:rPr>
          <w:sz w:val="28"/>
          <w:szCs w:val="28"/>
        </w:rPr>
        <w:t xml:space="preserve"> (в/м) (или </w:t>
      </w:r>
      <w:proofErr w:type="spellStart"/>
      <w:r w:rsidRPr="00F815A6">
        <w:rPr>
          <w:sz w:val="28"/>
          <w:szCs w:val="28"/>
        </w:rPr>
        <w:t>лорноксикам</w:t>
      </w:r>
      <w:proofErr w:type="spellEnd"/>
      <w:r w:rsidRPr="00F815A6">
        <w:rPr>
          <w:sz w:val="28"/>
          <w:szCs w:val="28"/>
        </w:rPr>
        <w:t xml:space="preserve"> 32 мг/</w:t>
      </w:r>
      <w:proofErr w:type="spellStart"/>
      <w:r w:rsidRPr="00F815A6">
        <w:rPr>
          <w:sz w:val="28"/>
          <w:szCs w:val="28"/>
        </w:rPr>
        <w:t>сут</w:t>
      </w:r>
      <w:proofErr w:type="spellEnd"/>
      <w:r w:rsidRPr="00F815A6">
        <w:rPr>
          <w:sz w:val="28"/>
          <w:szCs w:val="28"/>
        </w:rPr>
        <w:t xml:space="preserve">) 3—4 дня [105]. </w:t>
      </w:r>
    </w:p>
    <w:p w:rsidR="00AD7C6F" w:rsidRPr="00F815A6" w:rsidRDefault="0062523A">
      <w:pPr>
        <w:numPr>
          <w:ilvl w:val="0"/>
          <w:numId w:val="6"/>
        </w:numPr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Для послеоперационного обезболивания рекомендуется применение продленных регионарных и </w:t>
      </w:r>
      <w:proofErr w:type="spellStart"/>
      <w:r w:rsidRPr="00F815A6">
        <w:rPr>
          <w:i w:val="0"/>
          <w:sz w:val="28"/>
          <w:szCs w:val="28"/>
        </w:rPr>
        <w:t>нейроаксиальных</w:t>
      </w:r>
      <w:proofErr w:type="spellEnd"/>
      <w:r w:rsidRPr="00F815A6">
        <w:rPr>
          <w:i w:val="0"/>
          <w:sz w:val="28"/>
          <w:szCs w:val="28"/>
        </w:rPr>
        <w:t xml:space="preserve"> блокад [106-113].  </w:t>
      </w:r>
    </w:p>
    <w:p w:rsidR="00AD7C6F" w:rsidRPr="00F815A6" w:rsidRDefault="0062523A">
      <w:pPr>
        <w:tabs>
          <w:tab w:val="center" w:pos="1598"/>
          <w:tab w:val="center" w:pos="3198"/>
          <w:tab w:val="center" w:pos="5113"/>
          <w:tab w:val="center" w:pos="6220"/>
          <w:tab w:val="center" w:pos="7023"/>
          <w:tab w:val="right" w:pos="9359"/>
        </w:tabs>
        <w:spacing w:after="161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ab/>
      </w:r>
      <w:r w:rsidRPr="00F815A6">
        <w:rPr>
          <w:i w:val="0"/>
          <w:sz w:val="28"/>
          <w:szCs w:val="28"/>
        </w:rPr>
        <w:t xml:space="preserve">Уровень </w:t>
      </w:r>
      <w:r w:rsidRPr="00F815A6">
        <w:rPr>
          <w:i w:val="0"/>
          <w:sz w:val="28"/>
          <w:szCs w:val="28"/>
        </w:rPr>
        <w:tab/>
        <w:t xml:space="preserve">убедительности </w:t>
      </w:r>
      <w:r w:rsidRPr="00F815A6">
        <w:rPr>
          <w:i w:val="0"/>
          <w:sz w:val="28"/>
          <w:szCs w:val="28"/>
        </w:rPr>
        <w:tab/>
        <w:t xml:space="preserve">рекомендаций </w:t>
      </w:r>
      <w:r w:rsidRPr="00F815A6">
        <w:rPr>
          <w:i w:val="0"/>
          <w:sz w:val="28"/>
          <w:szCs w:val="28"/>
        </w:rPr>
        <w:tab/>
        <w:t xml:space="preserve">I </w:t>
      </w:r>
      <w:r w:rsidRPr="00F815A6">
        <w:rPr>
          <w:i w:val="0"/>
          <w:sz w:val="28"/>
          <w:szCs w:val="28"/>
        </w:rPr>
        <w:tab/>
        <w:t xml:space="preserve">(уровень </w:t>
      </w:r>
      <w:r w:rsidRPr="00F815A6">
        <w:rPr>
          <w:i w:val="0"/>
          <w:sz w:val="28"/>
          <w:szCs w:val="28"/>
        </w:rPr>
        <w:tab/>
        <w:t xml:space="preserve">достоверности </w:t>
      </w:r>
    </w:p>
    <w:p w:rsidR="00AD7C6F" w:rsidRPr="00F815A6" w:rsidRDefault="0062523A">
      <w:pPr>
        <w:spacing w:after="174" w:line="259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доказательств – B) </w:t>
      </w:r>
    </w:p>
    <w:p w:rsidR="00AD7C6F" w:rsidRPr="00F815A6" w:rsidRDefault="0062523A">
      <w:pPr>
        <w:numPr>
          <w:ilvl w:val="0"/>
          <w:numId w:val="6"/>
        </w:numPr>
        <w:spacing w:after="69" w:line="259" w:lineRule="auto"/>
        <w:ind w:right="6" w:hanging="36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Рекомендуется проведение послеоперационной </w:t>
      </w:r>
      <w:proofErr w:type="spellStart"/>
      <w:r w:rsidRPr="00F815A6">
        <w:rPr>
          <w:i w:val="0"/>
          <w:sz w:val="28"/>
          <w:szCs w:val="28"/>
        </w:rPr>
        <w:t>тромбопрофилактики</w:t>
      </w:r>
      <w:proofErr w:type="spellEnd"/>
      <w:r w:rsidRPr="00F815A6">
        <w:rPr>
          <w:i w:val="0"/>
          <w:sz w:val="28"/>
          <w:szCs w:val="28"/>
        </w:rPr>
        <w:t xml:space="preserve"> [114-</w:t>
      </w:r>
    </w:p>
    <w:p w:rsidR="00AD7C6F" w:rsidRPr="00F815A6" w:rsidRDefault="0062523A">
      <w:pPr>
        <w:spacing w:after="170" w:line="259" w:lineRule="auto"/>
        <w:ind w:left="1143" w:right="6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119].  </w:t>
      </w:r>
    </w:p>
    <w:p w:rsidR="00AD7C6F" w:rsidRPr="00F815A6" w:rsidRDefault="0062523A">
      <w:pPr>
        <w:tabs>
          <w:tab w:val="center" w:pos="1598"/>
          <w:tab w:val="center" w:pos="3198"/>
          <w:tab w:val="center" w:pos="5113"/>
          <w:tab w:val="center" w:pos="6220"/>
          <w:tab w:val="center" w:pos="7023"/>
          <w:tab w:val="right" w:pos="9359"/>
        </w:tabs>
        <w:spacing w:after="161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ab/>
      </w:r>
      <w:r w:rsidRPr="00F815A6">
        <w:rPr>
          <w:i w:val="0"/>
          <w:sz w:val="28"/>
          <w:szCs w:val="28"/>
        </w:rPr>
        <w:t xml:space="preserve">Уровень </w:t>
      </w:r>
      <w:r w:rsidRPr="00F815A6">
        <w:rPr>
          <w:i w:val="0"/>
          <w:sz w:val="28"/>
          <w:szCs w:val="28"/>
        </w:rPr>
        <w:tab/>
        <w:t xml:space="preserve">убедительности </w:t>
      </w:r>
      <w:r w:rsidRPr="00F815A6">
        <w:rPr>
          <w:i w:val="0"/>
          <w:sz w:val="28"/>
          <w:szCs w:val="28"/>
        </w:rPr>
        <w:tab/>
        <w:t xml:space="preserve">рекомендаций </w:t>
      </w:r>
      <w:r w:rsidRPr="00F815A6">
        <w:rPr>
          <w:i w:val="0"/>
          <w:sz w:val="28"/>
          <w:szCs w:val="28"/>
        </w:rPr>
        <w:tab/>
        <w:t xml:space="preserve">I </w:t>
      </w:r>
      <w:r w:rsidRPr="00F815A6">
        <w:rPr>
          <w:i w:val="0"/>
          <w:sz w:val="28"/>
          <w:szCs w:val="28"/>
        </w:rPr>
        <w:tab/>
        <w:t xml:space="preserve">(уровень </w:t>
      </w:r>
      <w:r w:rsidRPr="00F815A6">
        <w:rPr>
          <w:i w:val="0"/>
          <w:sz w:val="28"/>
          <w:szCs w:val="28"/>
        </w:rPr>
        <w:tab/>
        <w:t xml:space="preserve">достоверности </w:t>
      </w:r>
    </w:p>
    <w:p w:rsidR="00AD7C6F" w:rsidRPr="00F815A6" w:rsidRDefault="0062523A">
      <w:pPr>
        <w:spacing w:after="110" w:line="259" w:lineRule="auto"/>
        <w:ind w:left="1128" w:right="0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доказательств – B)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Комментарии: вероятность тромбоза глубоких вен и тромбоэмболии легочной артерии у пациентов с ожирением значительно увеличивается.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>С появлением новых пероральных антикоагулянтов (</w:t>
      </w:r>
      <w:proofErr w:type="spellStart"/>
      <w:r w:rsidRPr="00F815A6">
        <w:rPr>
          <w:sz w:val="28"/>
          <w:szCs w:val="28"/>
        </w:rPr>
        <w:t>ривароксабан</w:t>
      </w:r>
      <w:proofErr w:type="spellEnd"/>
      <w:r w:rsidRPr="00F815A6">
        <w:rPr>
          <w:sz w:val="28"/>
          <w:szCs w:val="28"/>
        </w:rPr>
        <w:t xml:space="preserve">, </w:t>
      </w:r>
      <w:proofErr w:type="spellStart"/>
      <w:r w:rsidRPr="00F815A6">
        <w:rPr>
          <w:sz w:val="28"/>
          <w:szCs w:val="28"/>
        </w:rPr>
        <w:t>дабигатрана</w:t>
      </w:r>
      <w:proofErr w:type="spellEnd"/>
      <w:r w:rsidRPr="00F815A6">
        <w:rPr>
          <w:sz w:val="28"/>
          <w:szCs w:val="28"/>
        </w:rPr>
        <w:t xml:space="preserve"> </w:t>
      </w:r>
      <w:proofErr w:type="spellStart"/>
      <w:r w:rsidRPr="00F815A6">
        <w:rPr>
          <w:sz w:val="28"/>
          <w:szCs w:val="28"/>
        </w:rPr>
        <w:t>этексилат</w:t>
      </w:r>
      <w:proofErr w:type="spellEnd"/>
      <w:r w:rsidRPr="00F815A6">
        <w:rPr>
          <w:sz w:val="28"/>
          <w:szCs w:val="28"/>
        </w:rPr>
        <w:t xml:space="preserve"> и т.д.) при условии применения этих препаратов перед операцией к их приему следует вернуться как можно раньше, т.е. когда риск послеоперационного кровотечения представляется хирургу минимальным. </w:t>
      </w:r>
    </w:p>
    <w:p w:rsidR="00AD7C6F" w:rsidRPr="00F815A6" w:rsidRDefault="0062523A">
      <w:pPr>
        <w:spacing w:after="158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Профилактика тромбозов в ранний послеоперационный период [1]: </w:t>
      </w:r>
    </w:p>
    <w:p w:rsidR="00AD7C6F" w:rsidRPr="00F815A6" w:rsidRDefault="0062523A">
      <w:pPr>
        <w:spacing w:after="162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ранняя послеоперационная активизация;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lastRenderedPageBreak/>
        <w:t xml:space="preserve">■ применение низкомолекулярных гепаринов (рассчитывается на общую массу тела); </w:t>
      </w:r>
    </w:p>
    <w:p w:rsidR="00AD7C6F" w:rsidRPr="00F815A6" w:rsidRDefault="0062523A">
      <w:pPr>
        <w:spacing w:after="113" w:line="259" w:lineRule="auto"/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■ эластичная компрессия нижних конечностей чулками  </w:t>
      </w:r>
    </w:p>
    <w:p w:rsidR="00AD7C6F" w:rsidRPr="00F815A6" w:rsidRDefault="0062523A">
      <w:pPr>
        <w:ind w:left="1128" w:right="10"/>
        <w:rPr>
          <w:sz w:val="28"/>
          <w:szCs w:val="28"/>
        </w:rPr>
      </w:pPr>
      <w:r w:rsidRPr="00F815A6">
        <w:rPr>
          <w:sz w:val="28"/>
          <w:szCs w:val="28"/>
        </w:rPr>
        <w:t xml:space="preserve">Однако в настоящее время нет достаточных доказательств о преимуществе какого-либо препарата или схемы его применения [105]. В то же время подчеркивается риск развития послеоперационных кровотечений на фоне терапии гепаринами. С равной степенью эффективности применяются </w:t>
      </w:r>
      <w:proofErr w:type="spellStart"/>
      <w:r w:rsidRPr="00F815A6">
        <w:rPr>
          <w:sz w:val="28"/>
          <w:szCs w:val="28"/>
        </w:rPr>
        <w:t>нефракционированный</w:t>
      </w:r>
      <w:proofErr w:type="spellEnd"/>
      <w:r w:rsidRPr="00F815A6">
        <w:rPr>
          <w:sz w:val="28"/>
          <w:szCs w:val="28"/>
        </w:rPr>
        <w:t xml:space="preserve"> гепарин по 5000—7500 </w:t>
      </w:r>
      <w:proofErr w:type="spellStart"/>
      <w:r w:rsidRPr="00F815A6">
        <w:rPr>
          <w:sz w:val="28"/>
          <w:szCs w:val="28"/>
        </w:rPr>
        <w:t>Ед</w:t>
      </w:r>
      <w:proofErr w:type="spellEnd"/>
      <w:r w:rsidRPr="00F815A6">
        <w:rPr>
          <w:sz w:val="28"/>
          <w:szCs w:val="28"/>
        </w:rPr>
        <w:t xml:space="preserve"> подкожно каждые 8 ч, внутривенная </w:t>
      </w:r>
      <w:proofErr w:type="spellStart"/>
      <w:r w:rsidRPr="00F815A6">
        <w:rPr>
          <w:sz w:val="28"/>
          <w:szCs w:val="28"/>
        </w:rPr>
        <w:t>инфузия</w:t>
      </w:r>
      <w:proofErr w:type="spellEnd"/>
      <w:r w:rsidRPr="00F815A6">
        <w:rPr>
          <w:sz w:val="28"/>
          <w:szCs w:val="28"/>
        </w:rPr>
        <w:t xml:space="preserve"> гепарина 400 ЕД/ч, подкожное введение </w:t>
      </w:r>
      <w:proofErr w:type="spellStart"/>
      <w:r w:rsidRPr="00F815A6">
        <w:rPr>
          <w:sz w:val="28"/>
          <w:szCs w:val="28"/>
        </w:rPr>
        <w:t>надропарина</w:t>
      </w:r>
      <w:proofErr w:type="spellEnd"/>
      <w:r w:rsidRPr="00F815A6">
        <w:rPr>
          <w:sz w:val="28"/>
          <w:szCs w:val="28"/>
        </w:rPr>
        <w:t xml:space="preserve"> кальция 0,3—0,6 через 12 ч, </w:t>
      </w:r>
      <w:proofErr w:type="spellStart"/>
      <w:r w:rsidRPr="00F815A6">
        <w:rPr>
          <w:sz w:val="28"/>
          <w:szCs w:val="28"/>
        </w:rPr>
        <w:t>эноксапарина</w:t>
      </w:r>
      <w:proofErr w:type="spellEnd"/>
      <w:r w:rsidRPr="00F815A6">
        <w:rPr>
          <w:sz w:val="28"/>
          <w:szCs w:val="28"/>
        </w:rPr>
        <w:t xml:space="preserve"> натрия 30—40 мг 1—2 раза в сутки [120]. Следует начать терапию гепаринами как можно раньше после операции (приложение Г5). </w:t>
      </w:r>
      <w:r w:rsidRPr="00F815A6">
        <w:rPr>
          <w:sz w:val="28"/>
          <w:szCs w:val="28"/>
        </w:rPr>
        <w:br w:type="page"/>
      </w:r>
    </w:p>
    <w:p w:rsidR="00AD7C6F" w:rsidRPr="00F815A6" w:rsidRDefault="0062523A">
      <w:pPr>
        <w:pStyle w:val="1"/>
        <w:spacing w:after="0"/>
        <w:ind w:left="-5"/>
        <w:jc w:val="left"/>
        <w:rPr>
          <w:b w:val="0"/>
          <w:szCs w:val="28"/>
        </w:rPr>
      </w:pPr>
      <w:r w:rsidRPr="00F815A6">
        <w:rPr>
          <w:b w:val="0"/>
          <w:szCs w:val="28"/>
        </w:rPr>
        <w:lastRenderedPageBreak/>
        <w:t xml:space="preserve">Критерии оценки качества медицинской помощи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1"/>
        <w:gridCol w:w="5118"/>
        <w:gridCol w:w="1918"/>
        <w:gridCol w:w="2066"/>
      </w:tblGrid>
      <w:tr w:rsidR="00AD7C6F" w:rsidRPr="00F815A6">
        <w:trPr>
          <w:trHeight w:val="8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№ </w:t>
            </w:r>
          </w:p>
          <w:p w:rsidR="00AD7C6F" w:rsidRPr="00F815A6" w:rsidRDefault="0062523A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Критерии качества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28"/>
              <w:jc w:val="center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Уровень достоверности доказательств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28"/>
              <w:jc w:val="center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Уровень убедительности рекомендаций </w:t>
            </w:r>
          </w:p>
        </w:tc>
      </w:tr>
      <w:tr w:rsidR="00AD7C6F" w:rsidRPr="00F815A6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6F" w:rsidRPr="00F815A6" w:rsidRDefault="00AD7C6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C6F" w:rsidRPr="00F815A6" w:rsidRDefault="0062523A">
            <w:pPr>
              <w:spacing w:after="0" w:line="259" w:lineRule="auto"/>
              <w:ind w:left="3121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Этап постановки диагноза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AD7C6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D7C6F" w:rsidRPr="00F815A6">
        <w:trPr>
          <w:trHeight w:val="2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1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Определен индекс массы тела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I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A </w:t>
            </w:r>
          </w:p>
        </w:tc>
      </w:tr>
      <w:tr w:rsidR="00AD7C6F" w:rsidRPr="00F815A6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Оценен риск трудных дыхательных путей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I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B </w:t>
            </w:r>
          </w:p>
        </w:tc>
      </w:tr>
      <w:tr w:rsidR="00AD7C6F" w:rsidRPr="00F815A6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6F" w:rsidRPr="00F815A6" w:rsidRDefault="00AD7C6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C6F" w:rsidRPr="00F815A6" w:rsidRDefault="0062523A">
            <w:pPr>
              <w:spacing w:after="0" w:line="259" w:lineRule="auto"/>
              <w:ind w:left="1816" w:right="0" w:firstLine="0"/>
              <w:jc w:val="center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Этап лечения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AD7C6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D7C6F" w:rsidRPr="00F815A6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2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Произведена </w:t>
            </w:r>
            <w:proofErr w:type="spellStart"/>
            <w:r w:rsidRPr="00F815A6">
              <w:rPr>
                <w:i w:val="0"/>
                <w:sz w:val="28"/>
                <w:szCs w:val="28"/>
              </w:rPr>
              <w:t>тромбопрофилактика</w:t>
            </w:r>
            <w:proofErr w:type="spellEnd"/>
            <w:r w:rsidRPr="00F815A6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I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6F" w:rsidRPr="00F815A6" w:rsidRDefault="006252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815A6">
              <w:rPr>
                <w:i w:val="0"/>
                <w:sz w:val="28"/>
                <w:szCs w:val="28"/>
              </w:rPr>
              <w:t xml:space="preserve">B </w:t>
            </w:r>
          </w:p>
        </w:tc>
      </w:tr>
    </w:tbl>
    <w:p w:rsidR="00AD7C6F" w:rsidRPr="00F815A6" w:rsidRDefault="0062523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i w:val="0"/>
          <w:sz w:val="28"/>
          <w:szCs w:val="28"/>
        </w:rPr>
        <w:t xml:space="preserve"> </w:t>
      </w:r>
      <w:r w:rsidRPr="00F815A6">
        <w:rPr>
          <w:i w:val="0"/>
          <w:sz w:val="28"/>
          <w:szCs w:val="28"/>
        </w:rPr>
        <w:tab/>
        <w:t xml:space="preserve"> </w:t>
      </w:r>
      <w:r w:rsidRPr="00F815A6">
        <w:rPr>
          <w:sz w:val="28"/>
          <w:szCs w:val="28"/>
        </w:rPr>
        <w:br w:type="page"/>
      </w:r>
    </w:p>
    <w:p w:rsidR="00AD7C6F" w:rsidRPr="00F815A6" w:rsidRDefault="0062523A">
      <w:pPr>
        <w:pStyle w:val="1"/>
        <w:ind w:right="3"/>
        <w:rPr>
          <w:b w:val="0"/>
          <w:szCs w:val="28"/>
        </w:rPr>
      </w:pPr>
      <w:r w:rsidRPr="00F815A6">
        <w:rPr>
          <w:b w:val="0"/>
          <w:szCs w:val="28"/>
        </w:rPr>
        <w:lastRenderedPageBreak/>
        <w:t xml:space="preserve">Список литературы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r w:rsidRPr="00F815A6">
        <w:rPr>
          <w:i w:val="0"/>
          <w:sz w:val="28"/>
          <w:szCs w:val="28"/>
          <w:lang w:val="en-US"/>
        </w:rPr>
        <w:t xml:space="preserve">Sung YA, Oh JY, Lee </w:t>
      </w:r>
      <w:proofErr w:type="spellStart"/>
      <w:proofErr w:type="gramStart"/>
      <w:r w:rsidRPr="00F815A6">
        <w:rPr>
          <w:i w:val="0"/>
          <w:sz w:val="28"/>
          <w:szCs w:val="28"/>
          <w:lang w:val="en-US"/>
        </w:rPr>
        <w:t>H.Comparison</w:t>
      </w:r>
      <w:proofErr w:type="spellEnd"/>
      <w:proofErr w:type="gramEnd"/>
      <w:r w:rsidRPr="00F815A6">
        <w:rPr>
          <w:i w:val="0"/>
          <w:sz w:val="28"/>
          <w:szCs w:val="28"/>
          <w:lang w:val="en-US"/>
        </w:rPr>
        <w:t xml:space="preserve"> of the body adiposity index to body mass index in Korean women. </w:t>
      </w:r>
      <w:proofErr w:type="spellStart"/>
      <w:r w:rsidRPr="00F815A6">
        <w:rPr>
          <w:i w:val="0"/>
          <w:sz w:val="28"/>
          <w:szCs w:val="28"/>
        </w:rPr>
        <w:t>Yonsei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Med</w:t>
      </w:r>
      <w:proofErr w:type="spellEnd"/>
      <w:r w:rsidRPr="00F815A6">
        <w:rPr>
          <w:i w:val="0"/>
          <w:sz w:val="28"/>
          <w:szCs w:val="28"/>
        </w:rPr>
        <w:t xml:space="preserve"> J. 2014 Jul;55(4):1028-35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r w:rsidRPr="00F815A6">
        <w:rPr>
          <w:i w:val="0"/>
          <w:sz w:val="28"/>
          <w:szCs w:val="28"/>
          <w:lang w:val="en-US"/>
        </w:rPr>
        <w:t xml:space="preserve">Lin XJ, Wang CP, Liu XD, Yan KK, Li S, </w:t>
      </w:r>
      <w:proofErr w:type="spellStart"/>
      <w:r w:rsidRPr="00F815A6">
        <w:rPr>
          <w:i w:val="0"/>
          <w:sz w:val="28"/>
          <w:szCs w:val="28"/>
          <w:lang w:val="en-US"/>
        </w:rPr>
        <w:t>Bao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HH, Zhao LY, Liu </w:t>
      </w:r>
      <w:proofErr w:type="spellStart"/>
      <w:proofErr w:type="gramStart"/>
      <w:r w:rsidRPr="00F815A6">
        <w:rPr>
          <w:i w:val="0"/>
          <w:sz w:val="28"/>
          <w:szCs w:val="28"/>
          <w:lang w:val="en-US"/>
        </w:rPr>
        <w:t>X.Body</w:t>
      </w:r>
      <w:proofErr w:type="spellEnd"/>
      <w:proofErr w:type="gramEnd"/>
      <w:r w:rsidRPr="00F815A6">
        <w:rPr>
          <w:i w:val="0"/>
          <w:sz w:val="28"/>
          <w:szCs w:val="28"/>
          <w:lang w:val="en-US"/>
        </w:rPr>
        <w:t xml:space="preserve"> mass index and risk of gastric cancer: a meta-analysis. </w:t>
      </w:r>
      <w:proofErr w:type="spellStart"/>
      <w:r w:rsidRPr="00F815A6">
        <w:rPr>
          <w:i w:val="0"/>
          <w:sz w:val="28"/>
          <w:szCs w:val="28"/>
        </w:rPr>
        <w:t>Jpn</w:t>
      </w:r>
      <w:proofErr w:type="spellEnd"/>
      <w:r w:rsidRPr="00F815A6">
        <w:rPr>
          <w:i w:val="0"/>
          <w:sz w:val="28"/>
          <w:szCs w:val="28"/>
        </w:rPr>
        <w:t xml:space="preserve"> J </w:t>
      </w:r>
      <w:proofErr w:type="spellStart"/>
      <w:r w:rsidRPr="00F815A6">
        <w:rPr>
          <w:i w:val="0"/>
          <w:sz w:val="28"/>
          <w:szCs w:val="28"/>
        </w:rPr>
        <w:t>Clin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Oncol</w:t>
      </w:r>
      <w:proofErr w:type="spellEnd"/>
      <w:r w:rsidRPr="00F815A6">
        <w:rPr>
          <w:i w:val="0"/>
          <w:sz w:val="28"/>
          <w:szCs w:val="28"/>
        </w:rPr>
        <w:t xml:space="preserve">. 2014 Sep;44(9):783-91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  <w:lang w:val="en-US"/>
        </w:rPr>
        <w:t>Javed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A, </w:t>
      </w:r>
      <w:proofErr w:type="spellStart"/>
      <w:r w:rsidRPr="00F815A6">
        <w:rPr>
          <w:i w:val="0"/>
          <w:sz w:val="28"/>
          <w:szCs w:val="28"/>
          <w:lang w:val="en-US"/>
        </w:rPr>
        <w:t>Jumean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M, Murad MH, </w:t>
      </w:r>
      <w:proofErr w:type="spellStart"/>
      <w:r w:rsidRPr="00F815A6">
        <w:rPr>
          <w:i w:val="0"/>
          <w:sz w:val="28"/>
          <w:szCs w:val="28"/>
          <w:lang w:val="en-US"/>
        </w:rPr>
        <w:t>Okorodudu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D, Kumar S, Somers VK, </w:t>
      </w:r>
      <w:proofErr w:type="spellStart"/>
      <w:r w:rsidRPr="00F815A6">
        <w:rPr>
          <w:i w:val="0"/>
          <w:sz w:val="28"/>
          <w:szCs w:val="28"/>
          <w:lang w:val="en-US"/>
        </w:rPr>
        <w:t>Sochor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O, </w:t>
      </w:r>
      <w:proofErr w:type="spellStart"/>
      <w:r w:rsidRPr="00F815A6">
        <w:rPr>
          <w:i w:val="0"/>
          <w:sz w:val="28"/>
          <w:szCs w:val="28"/>
          <w:lang w:val="en-US"/>
        </w:rPr>
        <w:t>LopezJimenez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815A6">
        <w:rPr>
          <w:i w:val="0"/>
          <w:sz w:val="28"/>
          <w:szCs w:val="28"/>
          <w:lang w:val="en-US"/>
        </w:rPr>
        <w:t>F.Diagnostic</w:t>
      </w:r>
      <w:proofErr w:type="spellEnd"/>
      <w:proofErr w:type="gramEnd"/>
      <w:r w:rsidRPr="00F815A6">
        <w:rPr>
          <w:i w:val="0"/>
          <w:sz w:val="28"/>
          <w:szCs w:val="28"/>
          <w:lang w:val="en-US"/>
        </w:rPr>
        <w:t xml:space="preserve"> performance of body mass index to identify obesity as defined by body adiposity in children and adolescents: a systematic review and meta-analysis. </w:t>
      </w:r>
      <w:proofErr w:type="spellStart"/>
      <w:r w:rsidRPr="00F815A6">
        <w:rPr>
          <w:i w:val="0"/>
          <w:sz w:val="28"/>
          <w:szCs w:val="28"/>
        </w:rPr>
        <w:t>Pediatr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Obes</w:t>
      </w:r>
      <w:proofErr w:type="spellEnd"/>
      <w:r w:rsidRPr="00F815A6">
        <w:rPr>
          <w:i w:val="0"/>
          <w:sz w:val="28"/>
          <w:szCs w:val="28"/>
        </w:rPr>
        <w:t xml:space="preserve">. 2015 Jun;10(3):234-44.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  <w:lang w:val="en-US"/>
        </w:rPr>
        <w:t>Cerhan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JR, Moore SC, Jacobs EJ, </w:t>
      </w:r>
      <w:proofErr w:type="spellStart"/>
      <w:r w:rsidRPr="00F815A6">
        <w:rPr>
          <w:i w:val="0"/>
          <w:sz w:val="28"/>
          <w:szCs w:val="28"/>
          <w:lang w:val="en-US"/>
        </w:rPr>
        <w:t>Kitahara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CM, Rosenberg PS, </w:t>
      </w:r>
      <w:proofErr w:type="spellStart"/>
      <w:r w:rsidRPr="00F815A6">
        <w:rPr>
          <w:i w:val="0"/>
          <w:sz w:val="28"/>
          <w:szCs w:val="28"/>
          <w:lang w:val="en-US"/>
        </w:rPr>
        <w:t>Adami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HO, </w:t>
      </w:r>
      <w:proofErr w:type="spellStart"/>
      <w:r w:rsidRPr="00F815A6">
        <w:rPr>
          <w:i w:val="0"/>
          <w:sz w:val="28"/>
          <w:szCs w:val="28"/>
          <w:lang w:val="en-US"/>
        </w:rPr>
        <w:t>Ebbert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JO, English DR, </w:t>
      </w:r>
      <w:proofErr w:type="spellStart"/>
      <w:r w:rsidRPr="00F815A6">
        <w:rPr>
          <w:i w:val="0"/>
          <w:sz w:val="28"/>
          <w:szCs w:val="28"/>
          <w:lang w:val="en-US"/>
        </w:rPr>
        <w:t>Gapstur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SM, Giles GG, Horn-Ross PL, Park Y, Patel AV, </w:t>
      </w:r>
      <w:proofErr w:type="spellStart"/>
      <w:r w:rsidRPr="00F815A6">
        <w:rPr>
          <w:i w:val="0"/>
          <w:sz w:val="28"/>
          <w:szCs w:val="28"/>
          <w:lang w:val="en-US"/>
        </w:rPr>
        <w:t>Robien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K, </w:t>
      </w:r>
      <w:proofErr w:type="spellStart"/>
      <w:r w:rsidRPr="00F815A6">
        <w:rPr>
          <w:i w:val="0"/>
          <w:sz w:val="28"/>
          <w:szCs w:val="28"/>
          <w:lang w:val="en-US"/>
        </w:rPr>
        <w:t>Weiderpass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E, Willett WC, </w:t>
      </w:r>
      <w:proofErr w:type="spellStart"/>
      <w:r w:rsidRPr="00F815A6">
        <w:rPr>
          <w:i w:val="0"/>
          <w:sz w:val="28"/>
          <w:szCs w:val="28"/>
          <w:lang w:val="en-US"/>
        </w:rPr>
        <w:t>Wolk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A, </w:t>
      </w:r>
      <w:proofErr w:type="spellStart"/>
      <w:r w:rsidRPr="00F815A6">
        <w:rPr>
          <w:i w:val="0"/>
          <w:sz w:val="28"/>
          <w:szCs w:val="28"/>
          <w:lang w:val="en-US"/>
        </w:rPr>
        <w:t>Zeleniuch-Jacquotte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A, </w:t>
      </w:r>
      <w:proofErr w:type="spellStart"/>
      <w:r w:rsidRPr="00F815A6">
        <w:rPr>
          <w:i w:val="0"/>
          <w:sz w:val="28"/>
          <w:szCs w:val="28"/>
          <w:lang w:val="en-US"/>
        </w:rPr>
        <w:t>Hartge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P, Bernstein L, </w:t>
      </w:r>
      <w:proofErr w:type="spellStart"/>
      <w:r w:rsidRPr="00F815A6">
        <w:rPr>
          <w:i w:val="0"/>
          <w:sz w:val="28"/>
          <w:szCs w:val="28"/>
          <w:lang w:val="en-US"/>
        </w:rPr>
        <w:t>Berrington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de Gonzalez A.A pooled analysis of waist circumference and mortality in 650,000 adults. </w:t>
      </w:r>
      <w:proofErr w:type="spellStart"/>
      <w:r w:rsidRPr="00F815A6">
        <w:rPr>
          <w:i w:val="0"/>
          <w:sz w:val="28"/>
          <w:szCs w:val="28"/>
        </w:rPr>
        <w:t>Mayo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Clin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Proc</w:t>
      </w:r>
      <w:proofErr w:type="spellEnd"/>
      <w:r w:rsidRPr="00F815A6">
        <w:rPr>
          <w:i w:val="0"/>
          <w:sz w:val="28"/>
          <w:szCs w:val="28"/>
        </w:rPr>
        <w:t xml:space="preserve">. 2014 Mar;89(3):335-45.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  <w:lang w:val="en-US"/>
        </w:rPr>
        <w:t>Florath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I, Brandt S, </w:t>
      </w:r>
      <w:proofErr w:type="spellStart"/>
      <w:r w:rsidRPr="00F815A6">
        <w:rPr>
          <w:i w:val="0"/>
          <w:sz w:val="28"/>
          <w:szCs w:val="28"/>
          <w:lang w:val="en-US"/>
        </w:rPr>
        <w:t>Weck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MN, Moss A, </w:t>
      </w:r>
      <w:proofErr w:type="spellStart"/>
      <w:r w:rsidRPr="00F815A6">
        <w:rPr>
          <w:i w:val="0"/>
          <w:sz w:val="28"/>
          <w:szCs w:val="28"/>
          <w:lang w:val="en-US"/>
        </w:rPr>
        <w:t>Gottmann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P, </w:t>
      </w:r>
      <w:proofErr w:type="spellStart"/>
      <w:r w:rsidRPr="00F815A6">
        <w:rPr>
          <w:i w:val="0"/>
          <w:sz w:val="28"/>
          <w:szCs w:val="28"/>
          <w:lang w:val="en-US"/>
        </w:rPr>
        <w:t>Rothenbacher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D, </w:t>
      </w:r>
      <w:proofErr w:type="spellStart"/>
      <w:r w:rsidRPr="00F815A6">
        <w:rPr>
          <w:i w:val="0"/>
          <w:sz w:val="28"/>
          <w:szCs w:val="28"/>
          <w:lang w:val="en-US"/>
        </w:rPr>
        <w:t>Wabitsch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M, Brenner </w:t>
      </w:r>
      <w:proofErr w:type="spellStart"/>
      <w:proofErr w:type="gramStart"/>
      <w:r w:rsidRPr="00F815A6">
        <w:rPr>
          <w:i w:val="0"/>
          <w:sz w:val="28"/>
          <w:szCs w:val="28"/>
          <w:lang w:val="en-US"/>
        </w:rPr>
        <w:t>H.Evidence</w:t>
      </w:r>
      <w:proofErr w:type="spellEnd"/>
      <w:proofErr w:type="gramEnd"/>
      <w:r w:rsidRPr="00F815A6">
        <w:rPr>
          <w:i w:val="0"/>
          <w:sz w:val="28"/>
          <w:szCs w:val="28"/>
          <w:lang w:val="en-US"/>
        </w:rPr>
        <w:t xml:space="preserve"> of inappropriate cardiovascular risk assessment in middle-age women based on recommended cut-points for waist circumference. </w:t>
      </w:r>
      <w:proofErr w:type="spellStart"/>
      <w:r w:rsidRPr="00F815A6">
        <w:rPr>
          <w:i w:val="0"/>
          <w:sz w:val="28"/>
          <w:szCs w:val="28"/>
        </w:rPr>
        <w:t>Nutr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Metab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Cardiovasc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Dis</w:t>
      </w:r>
      <w:proofErr w:type="spellEnd"/>
      <w:r w:rsidRPr="00F815A6">
        <w:rPr>
          <w:i w:val="0"/>
          <w:sz w:val="28"/>
          <w:szCs w:val="28"/>
        </w:rPr>
        <w:t xml:space="preserve">. 2014 Oct;24(10):1112-9.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  <w:lang w:val="en-US"/>
        </w:rPr>
        <w:t>Tanamas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SK, Shaw JE, </w:t>
      </w:r>
      <w:proofErr w:type="spellStart"/>
      <w:r w:rsidRPr="00F815A6">
        <w:rPr>
          <w:i w:val="0"/>
          <w:sz w:val="28"/>
          <w:szCs w:val="28"/>
          <w:lang w:val="en-US"/>
        </w:rPr>
        <w:t>Backholer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K, </w:t>
      </w:r>
      <w:proofErr w:type="spellStart"/>
      <w:r w:rsidRPr="00F815A6">
        <w:rPr>
          <w:i w:val="0"/>
          <w:sz w:val="28"/>
          <w:szCs w:val="28"/>
          <w:lang w:val="en-US"/>
        </w:rPr>
        <w:t>Magliano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DJ, </w:t>
      </w:r>
      <w:proofErr w:type="spellStart"/>
      <w:r w:rsidRPr="00F815A6">
        <w:rPr>
          <w:i w:val="0"/>
          <w:sz w:val="28"/>
          <w:szCs w:val="28"/>
          <w:lang w:val="en-US"/>
        </w:rPr>
        <w:t>Peeters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815A6">
        <w:rPr>
          <w:i w:val="0"/>
          <w:sz w:val="28"/>
          <w:szCs w:val="28"/>
          <w:lang w:val="en-US"/>
        </w:rPr>
        <w:t>A.Twelve</w:t>
      </w:r>
      <w:proofErr w:type="spellEnd"/>
      <w:proofErr w:type="gramEnd"/>
      <w:r w:rsidRPr="00F815A6">
        <w:rPr>
          <w:i w:val="0"/>
          <w:sz w:val="28"/>
          <w:szCs w:val="28"/>
          <w:lang w:val="en-US"/>
        </w:rPr>
        <w:t xml:space="preserve">-year weight change, waist circumference change and incident obesity: the Australian diabetes, obesity and lifestyle study. </w:t>
      </w:r>
      <w:proofErr w:type="spellStart"/>
      <w:r w:rsidRPr="00F815A6">
        <w:rPr>
          <w:i w:val="0"/>
          <w:sz w:val="28"/>
          <w:szCs w:val="28"/>
        </w:rPr>
        <w:t>Obesity</w:t>
      </w:r>
      <w:proofErr w:type="spellEnd"/>
      <w:r w:rsidRPr="00F815A6">
        <w:rPr>
          <w:i w:val="0"/>
          <w:sz w:val="28"/>
          <w:szCs w:val="28"/>
        </w:rPr>
        <w:t xml:space="preserve"> (</w:t>
      </w:r>
      <w:proofErr w:type="spellStart"/>
      <w:r w:rsidRPr="00F815A6">
        <w:rPr>
          <w:i w:val="0"/>
          <w:sz w:val="28"/>
          <w:szCs w:val="28"/>
        </w:rPr>
        <w:t>Silver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Spring</w:t>
      </w:r>
      <w:proofErr w:type="spellEnd"/>
      <w:r w:rsidRPr="00F815A6">
        <w:rPr>
          <w:i w:val="0"/>
          <w:sz w:val="28"/>
          <w:szCs w:val="28"/>
        </w:rPr>
        <w:t xml:space="preserve">). 2014 Jun;22(6):1538-45. </w:t>
      </w:r>
    </w:p>
    <w:p w:rsidR="00AD7C6F" w:rsidRPr="00F815A6" w:rsidRDefault="0062523A">
      <w:pPr>
        <w:numPr>
          <w:ilvl w:val="0"/>
          <w:numId w:val="7"/>
        </w:numPr>
        <w:ind w:right="6"/>
        <w:rPr>
          <w:sz w:val="28"/>
          <w:szCs w:val="28"/>
        </w:rPr>
      </w:pPr>
      <w:proofErr w:type="spellStart"/>
      <w:r w:rsidRPr="00F815A6">
        <w:rPr>
          <w:i w:val="0"/>
          <w:sz w:val="28"/>
          <w:szCs w:val="28"/>
          <w:lang w:val="en-US"/>
        </w:rPr>
        <w:t>Nunes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CN, </w:t>
      </w:r>
      <w:proofErr w:type="spellStart"/>
      <w:r w:rsidRPr="00F815A6">
        <w:rPr>
          <w:i w:val="0"/>
          <w:sz w:val="28"/>
          <w:szCs w:val="28"/>
          <w:lang w:val="en-US"/>
        </w:rPr>
        <w:t>Minicucci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MF, Farah E, Fusco D, </w:t>
      </w:r>
      <w:proofErr w:type="spellStart"/>
      <w:r w:rsidRPr="00F815A6">
        <w:rPr>
          <w:i w:val="0"/>
          <w:sz w:val="28"/>
          <w:szCs w:val="28"/>
          <w:lang w:val="en-US"/>
        </w:rPr>
        <w:t>Azevedo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PS, </w:t>
      </w:r>
      <w:proofErr w:type="spellStart"/>
      <w:r w:rsidRPr="00F815A6">
        <w:rPr>
          <w:i w:val="0"/>
          <w:sz w:val="28"/>
          <w:szCs w:val="28"/>
          <w:lang w:val="en-US"/>
        </w:rPr>
        <w:t>Paiva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SA, </w:t>
      </w:r>
      <w:proofErr w:type="spellStart"/>
      <w:r w:rsidRPr="00F815A6">
        <w:rPr>
          <w:i w:val="0"/>
          <w:sz w:val="28"/>
          <w:szCs w:val="28"/>
          <w:lang w:val="en-US"/>
        </w:rPr>
        <w:t>Zornoff</w:t>
      </w:r>
      <w:proofErr w:type="spellEnd"/>
      <w:r w:rsidRPr="00F815A6">
        <w:rPr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815A6">
        <w:rPr>
          <w:i w:val="0"/>
          <w:sz w:val="28"/>
          <w:szCs w:val="28"/>
          <w:lang w:val="en-US"/>
        </w:rPr>
        <w:t>LA.Impact</w:t>
      </w:r>
      <w:proofErr w:type="spellEnd"/>
      <w:proofErr w:type="gramEnd"/>
      <w:r w:rsidRPr="00F815A6">
        <w:rPr>
          <w:i w:val="0"/>
          <w:sz w:val="28"/>
          <w:szCs w:val="28"/>
          <w:lang w:val="en-US"/>
        </w:rPr>
        <w:t xml:space="preserve"> of different obesity assessment methods after acute coronary syndromes. </w:t>
      </w:r>
      <w:proofErr w:type="spellStart"/>
      <w:r w:rsidRPr="00F815A6">
        <w:rPr>
          <w:i w:val="0"/>
          <w:sz w:val="28"/>
          <w:szCs w:val="28"/>
        </w:rPr>
        <w:t>Arq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Bras</w:t>
      </w:r>
      <w:proofErr w:type="spellEnd"/>
      <w:r w:rsidRPr="00F815A6">
        <w:rPr>
          <w:i w:val="0"/>
          <w:sz w:val="28"/>
          <w:szCs w:val="28"/>
        </w:rPr>
        <w:t xml:space="preserve"> </w:t>
      </w:r>
      <w:proofErr w:type="spellStart"/>
      <w:r w:rsidRPr="00F815A6">
        <w:rPr>
          <w:i w:val="0"/>
          <w:sz w:val="28"/>
          <w:szCs w:val="28"/>
        </w:rPr>
        <w:t>Cardiol</w:t>
      </w:r>
      <w:proofErr w:type="spellEnd"/>
      <w:r w:rsidRPr="00F815A6">
        <w:rPr>
          <w:i w:val="0"/>
          <w:sz w:val="28"/>
          <w:szCs w:val="28"/>
        </w:rPr>
        <w:t xml:space="preserve">. 2014 Jul;103(1):19-24. </w:t>
      </w:r>
    </w:p>
    <w:p w:rsidR="00AD7C6F" w:rsidRPr="00F815A6" w:rsidRDefault="0062523A">
      <w:pPr>
        <w:spacing w:after="298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p w:rsidR="00AD7C6F" w:rsidRPr="00F815A6" w:rsidRDefault="0062523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815A6">
        <w:rPr>
          <w:rFonts w:eastAsia="Calibri"/>
          <w:i w:val="0"/>
          <w:sz w:val="28"/>
          <w:szCs w:val="28"/>
        </w:rPr>
        <w:t xml:space="preserve"> </w:t>
      </w:r>
    </w:p>
    <w:sectPr w:rsidR="00AD7C6F" w:rsidRPr="00F815A6">
      <w:pgSz w:w="11906" w:h="16838"/>
      <w:pgMar w:top="1137" w:right="845" w:bottom="11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1F0"/>
    <w:multiLevelType w:val="hybridMultilevel"/>
    <w:tmpl w:val="E8081708"/>
    <w:lvl w:ilvl="0" w:tplc="149883D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6E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4F0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CFF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4AD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287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C21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04B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A56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17836"/>
    <w:multiLevelType w:val="hybridMultilevel"/>
    <w:tmpl w:val="E906538E"/>
    <w:lvl w:ilvl="0" w:tplc="DB364276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4EF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4A9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2F5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C42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A2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403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C88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E2E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72ACF"/>
    <w:multiLevelType w:val="hybridMultilevel"/>
    <w:tmpl w:val="EEDABDAC"/>
    <w:lvl w:ilvl="0" w:tplc="0A689FF0">
      <w:start w:val="1"/>
      <w:numFmt w:val="decimal"/>
      <w:lvlText w:val="%1)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26BD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C637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C4F6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C658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746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E6E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3CC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14B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87066B"/>
    <w:multiLevelType w:val="hybridMultilevel"/>
    <w:tmpl w:val="D3C853FA"/>
    <w:lvl w:ilvl="0" w:tplc="38E4086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63C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12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4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CEE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4F8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EC4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E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484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C328E7"/>
    <w:multiLevelType w:val="hybridMultilevel"/>
    <w:tmpl w:val="D58E2D32"/>
    <w:lvl w:ilvl="0" w:tplc="3EA8471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4B3CC">
      <w:start w:val="1"/>
      <w:numFmt w:val="bullet"/>
      <w:lvlText w:val="o"/>
      <w:lvlJc w:val="left"/>
      <w:pPr>
        <w:ind w:left="1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20C4">
      <w:start w:val="1"/>
      <w:numFmt w:val="bullet"/>
      <w:lvlText w:val="▪"/>
      <w:lvlJc w:val="left"/>
      <w:pPr>
        <w:ind w:left="2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23542">
      <w:start w:val="1"/>
      <w:numFmt w:val="bullet"/>
      <w:lvlText w:val="•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685B0">
      <w:start w:val="1"/>
      <w:numFmt w:val="bullet"/>
      <w:lvlText w:val="o"/>
      <w:lvlJc w:val="left"/>
      <w:pPr>
        <w:ind w:left="3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951C">
      <w:start w:val="1"/>
      <w:numFmt w:val="bullet"/>
      <w:lvlText w:val="▪"/>
      <w:lvlJc w:val="left"/>
      <w:pPr>
        <w:ind w:left="4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86774">
      <w:start w:val="1"/>
      <w:numFmt w:val="bullet"/>
      <w:lvlText w:val="•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73C0">
      <w:start w:val="1"/>
      <w:numFmt w:val="bullet"/>
      <w:lvlText w:val="o"/>
      <w:lvlJc w:val="left"/>
      <w:pPr>
        <w:ind w:left="5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03804">
      <w:start w:val="1"/>
      <w:numFmt w:val="bullet"/>
      <w:lvlText w:val="▪"/>
      <w:lvlJc w:val="left"/>
      <w:pPr>
        <w:ind w:left="6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E66CFC"/>
    <w:multiLevelType w:val="hybridMultilevel"/>
    <w:tmpl w:val="B34E3464"/>
    <w:lvl w:ilvl="0" w:tplc="6330A352">
      <w:start w:val="1"/>
      <w:numFmt w:val="bullet"/>
      <w:lvlText w:val="•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10C4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AB936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604BE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FEB2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82D56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EEC26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EAC18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29C4A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80756"/>
    <w:multiLevelType w:val="hybridMultilevel"/>
    <w:tmpl w:val="5D948E18"/>
    <w:lvl w:ilvl="0" w:tplc="CC1E4F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6F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ED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AF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CB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2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8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2F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7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F"/>
    <w:rsid w:val="0062523A"/>
    <w:rsid w:val="007C5548"/>
    <w:rsid w:val="00AD7C6F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1863"/>
  <w15:docId w15:val="{8A7D53BA-2EF3-423C-AD11-CC7B58E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5" w:lineRule="auto"/>
      <w:ind w:left="718" w:right="25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/>
      <w:ind w:left="7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3</cp:revision>
  <dcterms:created xsi:type="dcterms:W3CDTF">2021-04-08T11:50:00Z</dcterms:created>
  <dcterms:modified xsi:type="dcterms:W3CDTF">2021-06-16T10:52:00Z</dcterms:modified>
</cp:coreProperties>
</file>