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988" w:rsidRPr="005E1227" w:rsidRDefault="00730988" w:rsidP="00730988">
      <w:pPr>
        <w:spacing w:line="360" w:lineRule="auto"/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ФГБОУ ВО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КрасГМУ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им. проф. В.Ф.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Войно-Ясенецкого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Минздрава России</w:t>
      </w:r>
    </w:p>
    <w:p w:rsidR="00730988" w:rsidRPr="005E1227" w:rsidRDefault="00730988" w:rsidP="00730988">
      <w:pPr>
        <w:spacing w:line="360" w:lineRule="auto"/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Кафедра внутренних болезней и иммунологии с курсом </w:t>
      </w:r>
      <w:proofErr w:type="gram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</w:t>
      </w:r>
      <w:proofErr w:type="gramEnd"/>
    </w:p>
    <w:p w:rsidR="00730988" w:rsidRPr="005E1227" w:rsidRDefault="00730988" w:rsidP="00730988">
      <w:pPr>
        <w:spacing w:line="360" w:lineRule="auto"/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30988" w:rsidRPr="005E1227" w:rsidRDefault="00730988" w:rsidP="00730988">
      <w:pPr>
        <w:spacing w:line="360" w:lineRule="auto"/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30988" w:rsidRPr="005E1227" w:rsidRDefault="00730988" w:rsidP="00730988">
      <w:pPr>
        <w:spacing w:line="360" w:lineRule="auto"/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30988" w:rsidRPr="005E1227" w:rsidRDefault="00730988" w:rsidP="00730988">
      <w:pPr>
        <w:spacing w:line="360" w:lineRule="auto"/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Реферат</w:t>
      </w:r>
    </w:p>
    <w:p w:rsidR="00730988" w:rsidRPr="005E1227" w:rsidRDefault="00730988" w:rsidP="00730988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30988" w:rsidRPr="005E1227" w:rsidRDefault="00730988" w:rsidP="00730988">
      <w:pPr>
        <w:spacing w:line="36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5E122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Методы обследования больных с заболеваниями органов кроветворения</w:t>
      </w:r>
    </w:p>
    <w:p w:rsidR="00730988" w:rsidRPr="005E1227" w:rsidRDefault="00730988" w:rsidP="00730988">
      <w:pPr>
        <w:spacing w:line="36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730988" w:rsidRPr="005E1227" w:rsidRDefault="00730988" w:rsidP="00730988">
      <w:pPr>
        <w:spacing w:line="36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730988" w:rsidRPr="005E1227" w:rsidRDefault="00730988" w:rsidP="00730988">
      <w:pPr>
        <w:spacing w:line="36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730988" w:rsidRPr="005E1227" w:rsidRDefault="00730988" w:rsidP="00730988">
      <w:pPr>
        <w:spacing w:line="360" w:lineRule="auto"/>
        <w:ind w:left="360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5E122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Выполнила: ординатор 1 года </w:t>
      </w:r>
    </w:p>
    <w:p w:rsidR="00730988" w:rsidRPr="005E1227" w:rsidRDefault="00730988" w:rsidP="00730988">
      <w:pPr>
        <w:spacing w:line="360" w:lineRule="auto"/>
        <w:ind w:left="360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5E122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специальности терапия </w:t>
      </w:r>
    </w:p>
    <w:p w:rsidR="00730988" w:rsidRPr="005E1227" w:rsidRDefault="00730988" w:rsidP="00730988">
      <w:pPr>
        <w:spacing w:line="360" w:lineRule="auto"/>
        <w:ind w:left="360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5E122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Торгунакова</w:t>
      </w:r>
      <w:proofErr w:type="spellEnd"/>
      <w:r w:rsidRPr="005E122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М.С.</w:t>
      </w:r>
    </w:p>
    <w:p w:rsidR="00730988" w:rsidRPr="005E1227" w:rsidRDefault="00730988" w:rsidP="00730988">
      <w:pPr>
        <w:spacing w:line="36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730988" w:rsidRPr="005E1227" w:rsidRDefault="00730988" w:rsidP="00730988">
      <w:pPr>
        <w:spacing w:line="36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730988" w:rsidRPr="005E1227" w:rsidRDefault="00730988" w:rsidP="00730988">
      <w:pPr>
        <w:spacing w:line="36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730988" w:rsidRPr="005E1227" w:rsidRDefault="00730988" w:rsidP="00730988">
      <w:pPr>
        <w:spacing w:line="36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730988" w:rsidRPr="005E1227" w:rsidRDefault="00730988" w:rsidP="00730988">
      <w:pPr>
        <w:spacing w:line="36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730988" w:rsidRPr="005E1227" w:rsidRDefault="00730988" w:rsidP="00730988">
      <w:pPr>
        <w:spacing w:line="360" w:lineRule="auto"/>
        <w:ind w:left="36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5E122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Красноярск, 2020г</w:t>
      </w:r>
    </w:p>
    <w:p w:rsidR="00730988" w:rsidRPr="005E1227" w:rsidRDefault="00730988" w:rsidP="00730988">
      <w:pPr>
        <w:spacing w:line="36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sdt>
      <w:sdtPr>
        <w:rPr>
          <w:rFonts w:ascii="Times New Roman" w:hAnsi="Times New Roman" w:cs="Times New Roman"/>
          <w:color w:val="000000" w:themeColor="text1"/>
        </w:rPr>
        <w:id w:val="1344291595"/>
        <w:docPartObj>
          <w:docPartGallery w:val="Table of Contents"/>
          <w:docPartUnique/>
        </w:docPartObj>
      </w:sdtPr>
      <w:sdtEndPr>
        <w:rPr>
          <w:rFonts w:eastAsiaTheme="minorHAnsi"/>
          <w:lang w:eastAsia="en-US"/>
        </w:rPr>
      </w:sdtEndPr>
      <w:sdtContent>
        <w:p w:rsidR="005E1227" w:rsidRDefault="005E1227">
          <w:pPr>
            <w:pStyle w:val="a8"/>
            <w:rPr>
              <w:rFonts w:ascii="Times New Roman" w:hAnsi="Times New Roman" w:cs="Times New Roman"/>
              <w:color w:val="000000" w:themeColor="text1"/>
            </w:rPr>
          </w:pPr>
          <w:r w:rsidRPr="005E1227">
            <w:rPr>
              <w:rFonts w:ascii="Times New Roman" w:hAnsi="Times New Roman" w:cs="Times New Roman"/>
              <w:color w:val="000000" w:themeColor="text1"/>
            </w:rPr>
            <w:t>Оглавление</w:t>
          </w:r>
        </w:p>
        <w:p w:rsidR="005E1227" w:rsidRPr="005E1227" w:rsidRDefault="005E1227" w:rsidP="005E1227">
          <w:pPr>
            <w:rPr>
              <w:lang w:eastAsia="ru-RU"/>
            </w:rPr>
          </w:pPr>
        </w:p>
        <w:p w:rsidR="005E1227" w:rsidRPr="005E1227" w:rsidRDefault="005E1227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r w:rsidRPr="005E1227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begin"/>
          </w:r>
          <w:r w:rsidRPr="005E1227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instrText xml:space="preserve"> TOC \o "1-3" \h \z \u </w:instrText>
          </w:r>
          <w:r w:rsidRPr="005E1227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separate"/>
          </w:r>
          <w:hyperlink w:anchor="_Toc39428862" w:history="1">
            <w:r w:rsidRPr="005E1227">
              <w:rPr>
                <w:rStyle w:val="a9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Объективное обследование больного</w:t>
            </w:r>
            <w:r w:rsidRPr="005E122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5E122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5E122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_Toc39428862 \h </w:instrText>
            </w:r>
            <w:r w:rsidRPr="005E122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5E122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Pr="005E122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3</w:t>
            </w:r>
            <w:r w:rsidRPr="005E122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5E1227" w:rsidRPr="005E1227" w:rsidRDefault="005E1227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39428863" w:history="1">
            <w:r w:rsidRPr="005E1227">
              <w:rPr>
                <w:rStyle w:val="a9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Лабораторные и инструментальные методы исследования</w:t>
            </w:r>
            <w:r w:rsidRPr="005E122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5E122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5E122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_Toc39428863 \h </w:instrText>
            </w:r>
            <w:r w:rsidRPr="005E122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5E122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Pr="005E122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3</w:t>
            </w:r>
            <w:r w:rsidRPr="005E122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5E1227" w:rsidRPr="005E1227" w:rsidRDefault="005E1227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39428864" w:history="1">
            <w:r w:rsidRPr="005E1227">
              <w:rPr>
                <w:rStyle w:val="a9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Иммунологические методы</w:t>
            </w:r>
            <w:r w:rsidRPr="005E122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5E122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5E122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_Toc39428864 \h </w:instrText>
            </w:r>
            <w:r w:rsidRPr="005E122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5E122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Pr="005E122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11</w:t>
            </w:r>
            <w:r w:rsidRPr="005E122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5E1227" w:rsidRPr="005E1227" w:rsidRDefault="005E1227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39428865" w:history="1">
            <w:r w:rsidRPr="005E1227">
              <w:rPr>
                <w:rStyle w:val="a9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Молекулярно-биологические методы исследования</w:t>
            </w:r>
            <w:r w:rsidRPr="005E122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5E122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5E122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_Toc39428865 \h </w:instrText>
            </w:r>
            <w:r w:rsidRPr="005E122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5E122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Pr="005E122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15</w:t>
            </w:r>
            <w:r w:rsidRPr="005E122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5E1227" w:rsidRPr="005E1227" w:rsidRDefault="005E1227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39428866" w:history="1">
            <w:r w:rsidRPr="005E1227">
              <w:rPr>
                <w:rStyle w:val="a9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Методы исследования гемостаза</w:t>
            </w:r>
            <w:r w:rsidRPr="005E122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5E122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5E122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_Toc39428866 \h </w:instrText>
            </w:r>
            <w:r w:rsidRPr="005E122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5E122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Pr="005E122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18</w:t>
            </w:r>
            <w:r w:rsidRPr="005E122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5E1227" w:rsidRPr="005E1227" w:rsidRDefault="005E1227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39428867" w:history="1">
            <w:r w:rsidRPr="005E1227">
              <w:rPr>
                <w:rStyle w:val="a9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Список литературы</w:t>
            </w:r>
            <w:r w:rsidRPr="005E122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5E122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5E122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_Toc39428867 \h </w:instrText>
            </w:r>
            <w:r w:rsidRPr="005E122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5E122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Pr="005E122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27</w:t>
            </w:r>
            <w:r w:rsidRPr="005E122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5E1227" w:rsidRPr="005E1227" w:rsidRDefault="005E1227">
          <w:pPr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5E1227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fldChar w:fldCharType="end"/>
          </w:r>
        </w:p>
      </w:sdtContent>
    </w:sdt>
    <w:p w:rsidR="00730988" w:rsidRPr="005E1227" w:rsidRDefault="00730988" w:rsidP="00730988">
      <w:pPr>
        <w:spacing w:line="36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730988" w:rsidRPr="005E1227" w:rsidRDefault="00730988" w:rsidP="00730988">
      <w:pPr>
        <w:spacing w:line="36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730988" w:rsidRPr="005E1227" w:rsidRDefault="00730988" w:rsidP="00730988">
      <w:pPr>
        <w:spacing w:line="36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730988" w:rsidRPr="005E1227" w:rsidRDefault="00730988" w:rsidP="00730988">
      <w:pPr>
        <w:spacing w:line="36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730988" w:rsidRPr="005E1227" w:rsidRDefault="00730988" w:rsidP="00730988">
      <w:pPr>
        <w:spacing w:line="36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730988" w:rsidRPr="005E1227" w:rsidRDefault="00730988" w:rsidP="00730988">
      <w:pPr>
        <w:spacing w:line="36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730988" w:rsidRPr="005E1227" w:rsidRDefault="00730988" w:rsidP="00730988">
      <w:pPr>
        <w:spacing w:line="36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730988" w:rsidRPr="005E1227" w:rsidRDefault="00730988" w:rsidP="00730988">
      <w:pPr>
        <w:spacing w:line="36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730988" w:rsidRPr="005E1227" w:rsidRDefault="00730988" w:rsidP="00730988">
      <w:pPr>
        <w:spacing w:line="36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730988" w:rsidRPr="005E1227" w:rsidRDefault="00730988" w:rsidP="00730988">
      <w:pPr>
        <w:spacing w:line="36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730988" w:rsidRPr="005E1227" w:rsidRDefault="00730988" w:rsidP="00730988">
      <w:pPr>
        <w:spacing w:line="36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730988" w:rsidRPr="005E1227" w:rsidRDefault="00730988" w:rsidP="00730988">
      <w:pPr>
        <w:spacing w:line="36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730988" w:rsidRPr="005E1227" w:rsidRDefault="00730988" w:rsidP="00730988">
      <w:pPr>
        <w:spacing w:line="36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730988" w:rsidRPr="005E1227" w:rsidRDefault="00730988" w:rsidP="00730988">
      <w:pPr>
        <w:spacing w:line="36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730988" w:rsidRPr="005E1227" w:rsidRDefault="00730988" w:rsidP="00730988">
      <w:pPr>
        <w:spacing w:line="36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730988" w:rsidRPr="005E1227" w:rsidRDefault="00730988" w:rsidP="00730988">
      <w:pPr>
        <w:spacing w:line="36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730988" w:rsidRPr="005E1227" w:rsidRDefault="005E1227" w:rsidP="00730988">
      <w:pPr>
        <w:pStyle w:val="1"/>
        <w:rPr>
          <w:rFonts w:ascii="Times New Roman" w:hAnsi="Times New Roman" w:cs="Times New Roman"/>
          <w:color w:val="000000" w:themeColor="text1"/>
        </w:rPr>
      </w:pPr>
      <w:bookmarkStart w:id="0" w:name="_Toc39428862"/>
      <w:r w:rsidRPr="005E1227">
        <w:rPr>
          <w:rFonts w:ascii="Times New Roman" w:hAnsi="Times New Roman" w:cs="Times New Roman"/>
          <w:color w:val="000000" w:themeColor="text1"/>
        </w:rPr>
        <w:t>О</w:t>
      </w:r>
      <w:r w:rsidR="003B73BF" w:rsidRPr="005E1227">
        <w:rPr>
          <w:rFonts w:ascii="Times New Roman" w:hAnsi="Times New Roman" w:cs="Times New Roman"/>
          <w:color w:val="000000" w:themeColor="text1"/>
        </w:rPr>
        <w:t>бъективное обследование больного</w:t>
      </w:r>
      <w:bookmarkEnd w:id="0"/>
    </w:p>
    <w:p w:rsidR="00730988" w:rsidRPr="005E1227" w:rsidRDefault="00730988" w:rsidP="0073098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0988" w:rsidRPr="005E1227" w:rsidRDefault="003B73BF" w:rsidP="0073098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Общее состояние, питание, цвет кожных покровов, наличие на коже петехий, подкожных кровоизлияний и т. д. </w:t>
      </w:r>
    </w:p>
    <w:p w:rsidR="00730988" w:rsidRPr="005E1227" w:rsidRDefault="003B73BF" w:rsidP="0073098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Состояние лимфатических узлов. </w:t>
      </w:r>
    </w:p>
    <w:p w:rsidR="00730988" w:rsidRPr="005E1227" w:rsidRDefault="003B73BF" w:rsidP="0073098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Осмотр полости рта, языка, зева. </w:t>
      </w:r>
    </w:p>
    <w:p w:rsidR="00730988" w:rsidRPr="005E1227" w:rsidRDefault="003B73BF" w:rsidP="0073098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Пальпация селезёнки, определение ее размеров на спине, на правом боку. </w:t>
      </w:r>
    </w:p>
    <w:p w:rsidR="00730988" w:rsidRPr="005E1227" w:rsidRDefault="003B73BF" w:rsidP="0073098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Перкуссия селезёнки </w:t>
      </w:r>
      <w:proofErr w:type="gram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имеет ограниченное значение используется</w:t>
      </w:r>
      <w:proofErr w:type="gram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лишь для ориентировочного определения размеров селезёнки (размеры селезёнки этим методом точно определить невозможно, т. к. селезёнка окружена полыми органами желудок, кишечник).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Длинник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6-8 см между (IX и XI рёбрами), ширина 4-6 см (по X ребру). </w:t>
      </w:r>
    </w:p>
    <w:p w:rsidR="00730988" w:rsidRPr="005E1227" w:rsidRDefault="003B73BF" w:rsidP="0073098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Пальпация живота: наличие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регидносги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брюшной стенки, определение болезненности и её локализации, опухолевидных образований (лимфоузлов). </w:t>
      </w:r>
    </w:p>
    <w:p w:rsidR="00730988" w:rsidRPr="005E1227" w:rsidRDefault="003B73BF" w:rsidP="00730988">
      <w:pPr>
        <w:pStyle w:val="1"/>
        <w:rPr>
          <w:rFonts w:ascii="Times New Roman" w:hAnsi="Times New Roman" w:cs="Times New Roman"/>
          <w:color w:val="000000" w:themeColor="text1"/>
        </w:rPr>
      </w:pPr>
      <w:bookmarkStart w:id="1" w:name="_Toc39428863"/>
      <w:r w:rsidRPr="005E1227">
        <w:rPr>
          <w:rFonts w:ascii="Times New Roman" w:hAnsi="Times New Roman" w:cs="Times New Roman"/>
          <w:color w:val="000000" w:themeColor="text1"/>
        </w:rPr>
        <w:t>Лабораторные и инструментальные методы исследования</w:t>
      </w:r>
      <w:bookmarkEnd w:id="1"/>
    </w:p>
    <w:p w:rsidR="00730988" w:rsidRPr="005E1227" w:rsidRDefault="00730988" w:rsidP="0073098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0988" w:rsidRPr="005E1227" w:rsidRDefault="00730988" w:rsidP="0073098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Установление диагноза заболевания крови предполагает исследование клеток крови и органов кроветворения с помощью морфологических, иммунологических, цитогенетических и молекулярно-биологических методов. </w:t>
      </w:r>
    </w:p>
    <w:p w:rsidR="00730988" w:rsidRPr="005E1227" w:rsidRDefault="00730988" w:rsidP="00730988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Морфологические методы </w:t>
      </w:r>
    </w:p>
    <w:p w:rsidR="00730988" w:rsidRPr="005E1227" w:rsidRDefault="00730988" w:rsidP="0073098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Морфологические методы включают цитологические и гистологические исследования. Объектом цитологического исследования является взвесь клеток периферической крови, костного мозга и </w:t>
      </w: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биологических жидкостей (спинномозговой, плевральной и др.). Основные виды цитологического исследования в гематологии: клинический анализ крови, подсчет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миелограммы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цитохимические исследования клеток крови и костного мозга. Материал для цитологического исследования получают при венепункции или пункции костного мозга (аспирационная биопсия). Гистологические исследования — </w:t>
      </w:r>
      <w:proofErr w:type="gram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proofErr w:type="gram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прежде всего исследование биоптата костного мозга, взятого посредством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трепанобиопсии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ткани лимфатических узлов, полученной посредством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эксцизионной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биопсии. </w:t>
      </w:r>
    </w:p>
    <w:p w:rsidR="002D0BD9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Клинический анализ крови</w:t>
      </w: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ель клинического анализа крови — диагностика количественных и качественных изменений клеток крови (эритроцитов, 57 лейкоцитов и тромбоцитов). Количественные и качественные изменения клеток крови могут носить реактивный характер или быть следствием заб</w:t>
      </w:r>
      <w:r w:rsidR="002D0BD9"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олевания системы кроветворения. </w:t>
      </w: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Гематологические анализаторы подразделяются на несколько технологических типов. Наиболее широкое распространение получили два из них: оптические анализаторы, использующие различия в рассеивании света, и апертурно-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импедансные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счетчики, реагирующие на изменение сопротивления электрическому току. Устройство оптических анализаторов (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Technicon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, «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Bayer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Diagnostic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») предполагает прохождение клеточного потока через узкий фокусированный световой луч (чаще лазерный). Клетки, проходя через луч света, прерывают его или преломляют, что генерирует электрический импульс, регистрируемый счетным устройством. Рассеивание света изменяется в зависимости от размера, объема и формы клеток. Примером апертурно-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импедансных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счетчиков являются анализаторы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Coulter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Sysmex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Как только единичная клетка проходит через специальное отверстие в тонкой трубке, она меняет сопротивление электрическому току между двумя платиновыми электродами, генерируя электрический импульс. Каждый импульс записывается электронным устройством. Величина импульса пропорциональна объему клеток, что и лежит в основе их дифференциации. Результат подсчета клеток крови выводится на бумагу. Гематологические </w:t>
      </w: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анализаторы в зависимости от своего класса имеют различия по числу определяемых параметров. </w:t>
      </w:r>
    </w:p>
    <w:p w:rsidR="002D0BD9" w:rsidRPr="005E1227" w:rsidRDefault="00730988" w:rsidP="002D0BD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Параметры периферической крови, минимально определяемые автоматическим гематологическим анализатором:</w:t>
      </w:r>
    </w:p>
    <w:p w:rsidR="002D0BD9" w:rsidRPr="005E1227" w:rsidRDefault="00730988" w:rsidP="002D0BD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 Абсолютное количество в единице объема крови эритроцитов (RBC), тромбоцитов (PLT), лейкоцитов (WBC) и отдельных видов лейкоцитов (гранулоцитов,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Gran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лимфоцитов,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Lym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моноцитов,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Mon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процентах и абсолютных цифрах. </w:t>
      </w:r>
    </w:p>
    <w:p w:rsidR="002D0BD9" w:rsidRPr="005E1227" w:rsidRDefault="00730988" w:rsidP="002D0BD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Количество гемоглобина (HGB) в единице объема крови. 3.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Эритроцитарные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индексы: HCT — гематокрит, MCV — средний объем эритроцита, MCH — среднее содержание гемоглобина в эритроците, MCHC — средняя концентрация гемоглобина в эритроците, RDW — распределение эритроцитов по ширине (показатель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анизоцитоза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эритроцитов). </w:t>
      </w:r>
    </w:p>
    <w:p w:rsidR="002D0BD9" w:rsidRPr="005E1227" w:rsidRDefault="00730988" w:rsidP="002D0BD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Тромбоцитарные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индексы: MPV — средний объем тромбоцитов, PDW — распределение тромбоцитов по ширине (показатель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анизоцитоза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тромбоцитов). Существуют анализаторы, которые обеспечивают автоматический </w:t>
      </w:r>
      <w:proofErr w:type="gram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подсчет</w:t>
      </w:r>
      <w:proofErr w:type="gram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и разновидностей гранулоцитов (незрелых и зрелых нейтрофилов), эозинофилов, базофилов, а также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бластных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клеток и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ретикулоцитов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Автоматический подсчет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эритроцитарных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тромбоцитарных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индексов является преимуществом анализаторного исследования крови. Индексы эритроцитов — это цифровые характеристики морфологических изменений в клетках при нарушениях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эритропоэза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различного генеза. Особенно ярко морфологические изменения эритроцитов проявляются в колебаниях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эритроцитарных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индексов при дефиците железа, протекающем с нарушением синтеза гемоглобина, и при дефиците витамина В12 или фолиевой кислоты, вызывающем нарушения в процессе деления клеток, а также при различных гемолитических анемиях. </w:t>
      </w:r>
    </w:p>
    <w:p w:rsidR="002D0BD9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Наиболее значимые </w:t>
      </w:r>
      <w:r w:rsidR="002D0BD9"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ко</w:t>
      </w: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личест</w:t>
      </w:r>
      <w:r w:rsidR="002D0BD9"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ве</w:t>
      </w: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2D0BD9"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ые изменения состав</w:t>
      </w:r>
      <w:r w:rsidR="002D0BD9"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периферической</w:t>
      </w:r>
      <w:r w:rsidR="002D0BD9"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крови</w:t>
      </w:r>
      <w:r w:rsidR="002D0BD9"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Снижение показателей периферической крови: </w:t>
      </w:r>
    </w:p>
    <w:p w:rsidR="002D0BD9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Анемия: у мужчин гемоглобин (HGB) менее 130 г/л; у женщин — 120 г/л. </w:t>
      </w:r>
    </w:p>
    <w:p w:rsidR="002D0BD9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2. Тромбоцитопения: тромбоцитов (PL</w:t>
      </w:r>
      <w:proofErr w:type="gram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proofErr w:type="gram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менее 150,0×109 /л, тромбоцитопения с высоким риском спонтанных кровотечений — PLТ менее 20,0×109 /л. </w:t>
      </w:r>
    </w:p>
    <w:p w:rsidR="002D0BD9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Нейтропения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: абсолютное количество гранулоцитов (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Gran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менее 2,5×109 /л. Критериями клинически значимой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нейтропении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(высокий риск развития инфекционных осложнений) считают уровень гранулоцитов менее 1,5×109 /л,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жизнеугрожающей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нейтропении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агранулоцитоз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— уровень гранулоцитов менее 0,5×109 /л. </w:t>
      </w:r>
    </w:p>
    <w:p w:rsidR="002D0BD9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Лимфоцитопения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: абсолютное количество лимфоцитов (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Lym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ниже 1,5×109 /л. </w:t>
      </w:r>
    </w:p>
    <w:p w:rsidR="002D0BD9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Повышение показателей периферической крови: </w:t>
      </w:r>
    </w:p>
    <w:p w:rsidR="002D0BD9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Эритроцитоз (эритремия): у мужчин эритроцитов (RBC) более 6,5×1012/л, гемоглобин (HGB) более 185 г/л, гематокрит (HCT) выше 52%; у женщин — эритроцитов (RBC) более  5,5×1012/л, гемоглобин (HGB) более 165 г/л, гематокрит (HCT) более 48%. </w:t>
      </w:r>
    </w:p>
    <w:p w:rsidR="002D0BD9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Тромбоцитоз: тромбоцитов более 450,0×109 /л (реактивное состояние или неопластическое —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миелопролиферативные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новообразования). </w:t>
      </w:r>
    </w:p>
    <w:p w:rsidR="002D0BD9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Абсолютный лимфоцитоз: абсолютное количество лимфоцитов более 5,0×109 /л (первичный абсолютный критерий возможного хронического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лимфолейкоза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2D0BD9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4. Абсолютный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моноцитоз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моноцитов более 1,0×109 /л (первичный критерий возможного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миелопролиферативного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заболевания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гемопоэза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2D0BD9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5.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Нейтрофилез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гранулоцитов (нейтрофилов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палочкоядерных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сегментоядерных) больше 7,5×109 /л (воспалительное состояние, возможно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миелопролиферативное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заболевание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гемопоэза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2D0BD9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Эозинофилия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эозинофилов более 1,5×109 /л (паразитарные инфекции,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миелопролиферативные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новообразования). </w:t>
      </w:r>
    </w:p>
    <w:p w:rsidR="002D0BD9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в анализе крови могут быть и другие количественные или качественные изменения сос</w:t>
      </w:r>
      <w:r w:rsidR="002D0BD9"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тава форменных элементов крови.</w:t>
      </w:r>
    </w:p>
    <w:p w:rsidR="002D0BD9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Самым частым патологическим изменением в анализе крови является анемия. В связи с этим алгоритм</w:t>
      </w:r>
      <w:r w:rsidR="002D0BD9"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оценки полного клинического анализа крови включает следующие этапы: </w:t>
      </w:r>
    </w:p>
    <w:p w:rsidR="002D0BD9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установление наличия анемии и степени ее тяжести; </w:t>
      </w:r>
    </w:p>
    <w:p w:rsidR="002D0BD9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определение морфологического типа анемии; </w:t>
      </w:r>
    </w:p>
    <w:p w:rsidR="002D0BD9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определение регенераторной активности костного мозга; </w:t>
      </w:r>
    </w:p>
    <w:p w:rsidR="002D0BD9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4) определение отсутствия или наличия количественных изменений тромбоцитов и лейкоцитов с учетом абсолютного количества отдельных видов лейкоцитов, особенно нейтрофилов и лимфоцитов.</w:t>
      </w:r>
    </w:p>
    <w:p w:rsidR="002D0BD9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1227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</w:t>
      </w:r>
      <w:proofErr w:type="spellStart"/>
      <w:r w:rsidRPr="005E1227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>пунктата</w:t>
      </w:r>
      <w:proofErr w:type="spellEnd"/>
      <w:r w:rsidRPr="005E1227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 xml:space="preserve"> костного мозга</w:t>
      </w: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 для цитологического исследования костного мозга получают посредством пункционной (аспирационной) биопсии плоских костей. Наиболее доступными и безопасными для данной манипуляции являются грудина и подвздошные кости. </w:t>
      </w:r>
    </w:p>
    <w:p w:rsidR="002D0BD9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Пункцию проводят специальной иглой с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мандреном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После извлечения последнего осуществляют аспирацию костного мозга шприцем. Костномозговая взвесь включает эритроциты периферической крови, </w:t>
      </w: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жировую ткань костного мозга, ядросодержащие клетки паренхимы и стромы костного мозга (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миелокариоциты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мегакариоциты). Часть полученной взвеси костномозговых клеток используют для подсчета абсолютного количества ядросодержащих клеток костного мозга: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миелокариоцитов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(«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миело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» — костномозговая, «карио» — ядросодержащая, «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цит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— клетка) и мегакариоцитов (предшественники тромбоцитов). Мегакариоциты являются самыми крупными клетками костного мозга, хорошо дифференцируются по размеру и форме при малом увеличении микроскопа. Мегакариоцитов в 1000 раз меньше, чем других ядросодержащих клеток костного мозга. Эти два фактора являются основанием подсчитывать количество мегакариоцитов и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миелокариоцитов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раздельно. Из оставшейся части костномозговой взвеси делают мазки на предметных стеклах. Мазки с клетками костного мозга фиксируют, окрашивают по Романовскому–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Гимзе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исследуют с помощью светового микроскопа с подсчетом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миелограммы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250–500 клеток.</w:t>
      </w:r>
    </w:p>
    <w:p w:rsidR="002D0BD9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Миелограмма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процентное содержание различных видов ядросодержащих клеток костного мозга соответствующих рядов (линий) кроветворения. Изучению костного мозга в микроскопе с иммерсионной системой для подсчета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миелограммы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предшествует просмотр препарата на малом увеличении. Это позволяет установить, на сколько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пунктат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богат</w:t>
      </w:r>
      <w:proofErr w:type="gram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клеточными элементами, определить состояние мегакариоцитарного аппарата, х</w:t>
      </w:r>
      <w:r w:rsidR="002D0BD9"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орошо различимого </w:t>
      </w: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малом увеличении, обнаружить скопление клеток, похожих на опухолевые, и пр. Определение процентного клеточного состава костного мозга требует подсчета не менее 250 клеток. В этом случае количество клеток каждого вида умножают на </w:t>
      </w:r>
      <w:proofErr w:type="gram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proofErr w:type="gram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полученное число делят на 5. При подсчете 500 клеток количество клеток каждого вида делят на 5. </w:t>
      </w:r>
    </w:p>
    <w:p w:rsidR="002D0BD9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Алгоритм оценки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миелограммы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2D0BD9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Оценка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клеточности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пунктата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данным абсолютного количества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миелокариоцитов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мегакариоцитов. </w:t>
      </w:r>
    </w:p>
    <w:p w:rsidR="002D0BD9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 Определение наличия или отсутствия патологических клеток костного мозга.</w:t>
      </w:r>
    </w:p>
    <w:p w:rsidR="002D0BD9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 Подсчет суммарного количества клеток каждой линии дифференцировки (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гранулоцитопоэза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эритропоэза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лимфопоэза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моноцитопоэза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2D0BD9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Оценка процентного соотношения клеток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гранулоцитопоэза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эритропоэза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(индекс «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лейко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эритро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»). </w:t>
      </w:r>
    </w:p>
    <w:p w:rsidR="002D0BD9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Оценка процентного состава клеток разных стадий дифференцировки внутри каждой из линий (ростков) дифференцировки. </w:t>
      </w:r>
    </w:p>
    <w:p w:rsidR="002D0BD9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Выявление признаков дисплазии кроветворения. Цитохимическое исследование клеток крови и костного мозга имеет большое диагностическое значение в начальной дифференциации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бластных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клеток при остром лейкозе (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миелобласты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монобласты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эритробласты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лимфобласты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2D0BD9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цитохимическая реакция с берлинской лазурью служит способом выявления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сидеробластов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сидероцитов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эритрокариоцитов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эритроцитов, содержащих гранулы железа. В случаях наличия в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эритрокариоците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более 5 гранул железа, радиально расположенных вокруг ядра, эту клетку называют кольцевидным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сидеробластом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Кольцевидные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сидеробласты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признак перегрузки железом и/или дисплазии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эритропоэза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D0BD9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основе цитохимии клеток крови и костного мозга лежит использование цветных химических реакций для определения в клетке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метаболически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активных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энзимов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(ферментов) и субстратов (веществ). Материалом для исследований служат фиксированные мазки крови и костного мозга. Цитохимическая диагностика острых лейкозов базируется на том, что лейкозные клетки, особенно до начала химиотерапии, сохраняют особенности метаболизма (ферменты и субстраты), присущие их нормальным аналогам. Наибольшее диагностическое значение в цитохимической диагностике имеют ферменты —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миелопероксидаза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кислая </w:t>
      </w: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 щелочная фосфатаза, неспецифические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эстеразы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субстраты — липиды и углеводы. </w:t>
      </w:r>
    </w:p>
    <w:p w:rsidR="002D0BD9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>Гистологическое исследование костного мозга и лимфоидных органов</w:t>
      </w: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Образец костного мозга для гистологического исследования забирают посредством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трепанобиопсии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подвздошных костей с помощью специального инструмента — трепана или одноразовой иглы костномозговой универсальной, позволяющих получить столбик кости. Гистологическое исследование костного мозга дает наиболее информативную картину костномозгового кроветворения. Абсолютным показанием для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трепанобиопсии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</w:t>
      </w:r>
      <w:proofErr w:type="gram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низкая</w:t>
      </w:r>
      <w:proofErr w:type="gram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клеточность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пунктата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костного мозга. При этом исключают аплазию, метаплазию и дисплазию кроветворения, а также подозрение на опухолевое поражение костного мозга с очаговой инфильтрацией опухолевыми клетками. </w:t>
      </w:r>
    </w:p>
    <w:p w:rsidR="002D0BD9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гистологическом препарате костного мозга оценивают: </w:t>
      </w:r>
    </w:p>
    <w:p w:rsidR="002D0BD9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состояние четырех типов тканей: костной, соединительной, жировой (желтый костный мозг) и гемопоэтической, или кроветворной (красный костный мозг); </w:t>
      </w:r>
    </w:p>
    <w:p w:rsidR="002D0BD9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характер клеточного состава кроветворной ткани: полиморфный, мономорфный; наличие патологических клеток (лейкозные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бласты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, клетки Березовского–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Штернберга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метастазы рака в костный мозг и др.); </w:t>
      </w:r>
    </w:p>
    <w:p w:rsidR="002D0BD9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особенности роста, распределения клеток костного мозга, включая признаки дисплазии кроветворения; </w:t>
      </w:r>
    </w:p>
    <w:p w:rsidR="002D0BD9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4) характер инфильтративного роста опухолевых клеток гемопоэтического происхождения (диффузная инфильтрация,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нодулярная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очаговая, с образованием лимфоидных фолликулов); </w:t>
      </w:r>
    </w:p>
    <w:p w:rsidR="002D0BD9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морфологические признаки опухолевых клеток. </w:t>
      </w:r>
    </w:p>
    <w:p w:rsidR="002D0BD9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Ткань лимфатических узлов для гистологического исследования получают посредством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эксцизионной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биопсии лимфатического узла. Гистологическое исследование селезенки становится возможным после оперативного удаления данного органа. </w:t>
      </w:r>
    </w:p>
    <w:p w:rsidR="002D0BD9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гистологическом исследовании биоптата лимфатического узла, селезенки оценивают: </w:t>
      </w:r>
    </w:p>
    <w:p w:rsidR="002D0BD9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степень сохранности морфологической структуры органа (или полное исчезновение); </w:t>
      </w:r>
    </w:p>
    <w:p w:rsidR="002D0BD9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характер инфильтративного роста опухолевых клеток гемопоэтического происхождения (диффузная инфильтрация,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нодулярная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очаговая, с образованием лимфоидных фолликулов); </w:t>
      </w:r>
    </w:p>
    <w:p w:rsidR="002D0BD9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морфологические признаки опухолевых клеток. </w:t>
      </w:r>
    </w:p>
    <w:p w:rsidR="002D0BD9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_Toc39428864"/>
      <w:r w:rsidRPr="005E1227">
        <w:rPr>
          <w:rStyle w:val="10"/>
          <w:rFonts w:ascii="Times New Roman" w:hAnsi="Times New Roman" w:cs="Times New Roman"/>
          <w:color w:val="000000" w:themeColor="text1"/>
        </w:rPr>
        <w:t>Иммунологические методы</w:t>
      </w:r>
      <w:bookmarkEnd w:id="2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D0BD9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сегодняшний день существуют три разновидности иммунологических методов исследования: </w:t>
      </w:r>
    </w:p>
    <w:p w:rsidR="002D0BD9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радиоиммунологический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анализ (РИА); </w:t>
      </w:r>
    </w:p>
    <w:p w:rsidR="002D0BD9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иммуноферментный анализ (ИФА); </w:t>
      </w:r>
    </w:p>
    <w:p w:rsidR="002D0BD9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метод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иммунофенотипирования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D0BD9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E1227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>Радиоиммунологический</w:t>
      </w:r>
      <w:proofErr w:type="spellEnd"/>
      <w:r w:rsidRPr="005E1227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 xml:space="preserve"> анализ (РИА)</w:t>
      </w: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Radioimmunoassay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(RIA), или изотопный иммунологический анализ, позволяет осуществлять количественное определение биологически активных веществ, меченных радионуклидом, в биологических жидкостях с </w:t>
      </w:r>
      <w:proofErr w:type="gram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последующей</w:t>
      </w:r>
      <w:proofErr w:type="gram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детекцией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специальным счетчиком — радиоспектрометром. </w:t>
      </w:r>
    </w:p>
    <w:p w:rsidR="002D0BD9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>Иммуноферментный анализ</w:t>
      </w: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(ИФА), или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enzyme-linked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immunosorbent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assay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(ELISA) — лабораторный иммунологический метод </w:t>
      </w: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качественного </w:t>
      </w:r>
      <w:r w:rsidR="002D0BD9"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определения и коли</w:t>
      </w: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чественного измерения антигенов и антител. В основе ИФА лежит принцип специфического взаимодействия между антигеном и соответствующим антителом. Выявление образовавшегося комплекса осуществляют с помощью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конъюгата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который представляет собой анти-антитело, соединённое с ферментной меткой. На заключительном этапе в присутствии перекиси водорода проходит ферментативная реакция (цветная реакция). Результат ее оценивается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спектрофотометрически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визуально. Интенсивность окрашивания зависит от количества выявленных специфических антител. ИФА используется в диагностике ВИЧ, вирусных гепатитов,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цитомегаловирусной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герпетической,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токсоплазменной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других инфекций. ИФА может быть </w:t>
      </w:r>
      <w:proofErr w:type="gram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</w:t>
      </w:r>
      <w:proofErr w:type="gram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лунках тест-планшета вручную. Кроме того, в настоящее время широко </w:t>
      </w:r>
      <w:proofErr w:type="gram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распространены</w:t>
      </w:r>
      <w:proofErr w:type="gram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автоматические ИФА-анализаторы. Они позволяют определять не только маркеры различных инфекций, но и концентрации гормонов, в том числе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эритропоэтина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других метаболитов, участвующих в процессе кроветворения. В частности, это касается определения концентрации в сыворотке крови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ферритина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(белка, представляющего собой обратимую форму депонирования железа), витамина В12, фолиевой кислоты</w:t>
      </w:r>
      <w:r w:rsidR="002D0BD9"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76D6E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E1227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>Иммунофенотипирование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один из методов дифференциации клеток в образцах крови, костного мозга, лимфатических узлов и других органов и тканей. При помощи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флюоресцентно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меченных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моноклональных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антител или каких-либо других зондов на основе реакции «антиген–антитело» определяют тип и функциональное состояние клетки по наличию определенного набора клеточных маркеров — рецепторов, антигенов, кластеров дифференцировки (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cluster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of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differentiation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antigens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CD) на поверхности или внутри клетки.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Флюоресцентную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метку, проявляющую состоявшуюся реакцию «антиген–антитело», обнаруживают с помощью специальных приборов — проточного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цитофлюориметра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люминесцентного микроскопа. Разработана систематизированная номенклатура маркерных молекул, обозначаемых символом CD (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Claster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Designation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or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Claster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of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Differentiation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Она была предложена для практики в 1982 г. для идентификации и исследования поверхностных мембранных белков лейкоцитов. CD-антигенами (или иначе CD-маркерами) могут быть белки, которые служат рецепторами или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лигандами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, участвующими во взаимодействии клеток между собой и являющихся компонентами каскада определённых сигнальных путей, а также они могут быть белками, выполняющими другие функции (например, белки клеточной адгезии). Список CD-антигенов, внесённых в номенклатуру, постоянно пополняется и в настоящее время содержит более 320 CD-антигенов и их подтипов. Антитела против клеточных антигенов получают из сыворотки крови животных, иммунизированных интересующим антигеном (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поликлональные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или от культуры ткани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гибридомы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Гибридому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создают слиянием «бессмертных» клеток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плазмоцитарной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опухоли (миеломы) с активированными интересующим антигеном В-лимфоцитами. Уникальность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гибридомного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метода состоит в том, что все клетки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гибридомы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 потомками одной-единственной клетки и поэтому синтезируют абсолютно идентичные молекулы антител —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моноклональные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антитела. В настоящее время для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иммунофенотипической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дифференциации гемопоэтических клеток известно как минимум 166 CD, являющихся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дифференцировочными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антигенами или маркерами клеточной активации. Метод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иммунофенотипирования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или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fluorescent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antibody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techniques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включает две технические разновидности исследований: </w:t>
      </w:r>
      <w:proofErr w:type="gram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проточную</w:t>
      </w:r>
      <w:proofErr w:type="gram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флюориметрию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иммуногистохимию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Методом проточной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иммунофлюоресценции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осуществляют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иммунофенотипирование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лейкоцитов периферической крови, ядросодержащих клеток костного мозга. Методом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иммуногистохимии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проводят типирование клеток в гистологических препаратах костного мозга, лимфатических узлов,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биоптатов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органов и тканей.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Иммунофенотипирование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методом проточной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цитофлюориметрии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 ряд неоспоримых преимуще</w:t>
      </w:r>
      <w:proofErr w:type="gram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ств бл</w:t>
      </w:r>
      <w:proofErr w:type="gram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агодаря большей точности, скорости, возможности одновременной регистрации нескольких антигенов на одной клетке. </w:t>
      </w:r>
      <w:r w:rsidR="00076D6E"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Показанием для </w:t>
      </w:r>
      <w:proofErr w:type="spellStart"/>
      <w:r w:rsidR="00076D6E"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имму</w:t>
      </w: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нофенотипирования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методом проточной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цитофлюориметрии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являются</w:t>
      </w:r>
      <w:proofErr w:type="gram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прежде всего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лимфопролиферативные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заболевания и острые лейкозы, сопровождающиеся поражением костного мозга с выходом опухолевых клеток в периферическую кровь, а также врожденные и приобретенные иммунодефициты.</w:t>
      </w:r>
    </w:p>
    <w:p w:rsidR="00076D6E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1227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>Иммуногистохимия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метод, сочетающий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иммун</w:t>
      </w:r>
      <w:proofErr w:type="gram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морфологическую диагностику. Это существенно повышает диагностическую значимость данного вида исследования. В основе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иммуногистохимии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лежит визуализация и оценка с помощью микроскопа результатов реакции «антиген–антитело» на клетках в срезах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биопсированной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ткани. В качестве антигена выступают компоненты клеточных структур или межклеточного вещества ткани. Первоначальным способом выявления реакции «антиген–антитело» также была флюоресцирующая метка. Следующий шаг в развитии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иммуногистохимии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 связан с разработкой антител, меченных не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флюорохромами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, а ферментами. Для обнаружения места связывания меченных ферментом (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пероксидаза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кислая фосфатаза) антител применяют субстрат, который под воздействием ферментных меток образует окрашенные продукты. Преимущество ферментных меток состоит в возможности получения длительно хранящихся гистологических препаратов, в которых результаты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иммуногистохимической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реакции могут быть оценены с учетом морфологической структуры ткани и отдельных клеток. Принципиальным отличием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иммуногистохимии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других методов иммунологической диагностики, использующих реакцию «антиген–антитело», является структурная специфичность исследования. В реакции оценивают не только наличие сигнала (есть окрашивание или нет) и его силу (интенсивность окрашивания), но и пространственное распределение сигнала в гистологическом препарате (окрашивание мембран клеток, цитоплазмы, ядра и других структурных элементов). </w:t>
      </w:r>
    </w:p>
    <w:p w:rsidR="00076D6E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Иммуногистохимические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методы, кроме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иммунофенотипирования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опухолей кроветворной и лимфоидной тканей, позволяют решать и другие задачи: </w:t>
      </w:r>
    </w:p>
    <w:p w:rsidR="00076D6E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• уточнение гистогенеза опухолей;</w:t>
      </w:r>
    </w:p>
    <w:p w:rsidR="00076D6E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• уточнение источника метастазирования; </w:t>
      </w:r>
    </w:p>
    <w:p w:rsidR="00076D6E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• оценка функционального состояния клеток опухоли;</w:t>
      </w:r>
    </w:p>
    <w:p w:rsidR="00076D6E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• определение показаний к иммунотерапии (использованию лекарственных препаратов с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антительным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механизмом действия); </w:t>
      </w:r>
    </w:p>
    <w:p w:rsidR="00076D6E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диагностика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иммунокомплексных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аутоиммунных заболеваний (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гломерулопатии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буллезные дерматозы, синдром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Гудпасчера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др.); </w:t>
      </w:r>
    </w:p>
    <w:p w:rsidR="00076D6E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поиск инфекционных агентов (токсоплазма, микобактерии, хламидии, вирусы и др.). </w:t>
      </w:r>
    </w:p>
    <w:p w:rsidR="00076D6E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3" w:name="_Toc39428865"/>
      <w:r w:rsidRPr="005E1227">
        <w:rPr>
          <w:rStyle w:val="10"/>
          <w:rFonts w:ascii="Times New Roman" w:hAnsi="Times New Roman" w:cs="Times New Roman"/>
          <w:color w:val="000000" w:themeColor="text1"/>
        </w:rPr>
        <w:t>Молекулярно-биологические методы исследования</w:t>
      </w:r>
      <w:bookmarkEnd w:id="3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76D6E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и использование молекулярно-биологических методов исследования (МБИ) в практической гематологии явилось логичным итогом изучения патогенеза опухолей кроветворной ткани. Закономерным результатом хромосомной аномалии является образование онкогена, а следствием его деятельности — синтез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онкопротеина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непосредственно реализующего механизм онкогенеза на уровне биохимических, а точнее, молекулярно-биологических процессов жизнедеятельности клетки. Обнаружение онкогена,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онкопротеина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популяции клеток костного мозга или периферической крови имеет важное диагностическое значение. </w:t>
      </w:r>
    </w:p>
    <w:p w:rsidR="00076D6E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Использование МБИ на этапе первичной диагностики опухолевого заболевания позволяет определять специфические мутации генов в случаях минимальных клинических проявлений посредством исследования периферической крови, не подвергая пациента пункции костного мозга. </w:t>
      </w: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Прежде всего, это касается случаев диагностики хронических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миелопролиферативных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заболеваний на ранних стадиях развития, манифестирующих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нейтрофильным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лейкоцитозом с небольшим левым сдвигом (появлением молодых форм нейтрофилов в периферической крови), тромбоцитозом. Отличием от реактивных изменений в этих случаях становится обнаружение онкогена BRCABL1, специфичного для хронического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миелолейкоза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Ph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-позитивного, или онкогена JAK-2, специфичного для семейства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Ph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-негативных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миелопролиферативных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неоплазий (первичного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миелофиброза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истинной полицитемии и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эссенциальной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тромбоцитемии). Быстрое получение результата МБИ по сравнению с цитогенетикой в метафазных пластинках крайне важно и при диагностике острых лейкозов, когда с позиции морфологических методов исследования диагноз сомнений не вызывает, но выявление специфической цитогенетической аномалии определяет характер химиотерапии. В частности, речь идет об остром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промиелоцитарном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лейкозе и онкогене PMLRARA, наличие которого служит основанием для использования лекарственного препарата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трансретиноевой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кислоты (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весанойда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коренным образом меняющего прогноз заболевания. Наибольшее значение МБИ в диагностике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онкогематологических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заболеваний связано с возможностью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детекции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таких количеств опухолевых клеток в организме, которые не могут быть выявлены ни морфологическими, ни цитогенетическими методами, а именно — в диагностике минимальной остаточной болезни или молекулярного рецидива опухоли. МБИ — основа мониторинга пациентов после достижения гематологической, цитогенетической ремиссии заболевания. </w:t>
      </w:r>
    </w:p>
    <w:p w:rsidR="00076D6E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число методов МБИ на сегодняшний день входят 4 основные разновидности: </w:t>
      </w:r>
    </w:p>
    <w:p w:rsidR="00076D6E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блоттинг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РНК (гибридизация) —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нозерн-блоттинг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076D6E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блоттинг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ДНК (гибридизация) —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саузерн-блоттинг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076D6E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• FISH-гибридизация; • полимеразная цепная реакция (ПЦР). </w:t>
      </w:r>
    </w:p>
    <w:p w:rsidR="00076D6E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Первые две методики не получили широкого распространения в практике клинической гематологии. </w:t>
      </w:r>
    </w:p>
    <w:p w:rsidR="00076D6E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>FISH-гибридизация</w:t>
      </w: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флюоресценция в месте гибридизации хромосом. Метод позволяет идентифицировать с помощью флюоресцирующих молекул хромосомные аберрации в ядрах клеток, находящихся вне митотического цикла, т.е. в неделящихся клетках. Данный метод является своего рода мостиком от цитогенетического исследования к </w:t>
      </w:r>
      <w:proofErr w:type="gram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молекулярно-биологическому</w:t>
      </w:r>
      <w:proofErr w:type="gram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Идентификация (метка) определенного участка ДНК в геноме клетки осуществляется посредством его гибридизации со специальной комплементарной, меченной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флюоресцентным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веществом, последовательностью ДНК, называемой зондом.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Флюоресцентные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зонды имеют различные цвета. Зондами желтого и синего цвета метят участки ДНК хромосом 9 и 21. Появление зеленого «сливного» цвета свидетельствует о наличии онкогена BCRABL1 (продукта слияния участков этих хромосом). </w:t>
      </w:r>
    </w:p>
    <w:p w:rsidR="00076D6E" w:rsidRPr="005E1227" w:rsidRDefault="00076D6E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6D6E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FISH-гибридизацию применяют для изучения клеток периферической крови, костного мозга,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биоптатов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опухоли, плаценты, эмбриональных тканей, амниотической жидкости без предварительной их фиксации для выявления количественных и качественных хромосомных аберраций. Меченные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флюоресцентными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метками специфические ДНК-зонды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гибридизуются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хромосомной </w:t>
      </w:r>
      <w:proofErr w:type="gram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ДНК</w:t>
      </w:r>
      <w:proofErr w:type="gram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на метафазных, так и в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интерфазных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препаратах. Одновременно можно использовать множественные зонды к разным локусам ДНК. FISH-гибридизация является чувствительным методом для идентификации хромосомных аберраций при количествах лейкозных клеток менее 109 , обеспечивая при этом быстрый анализ большого (&gt;500) числа клеток. Метод обладает высокой точностью для идентификации неизвестных фрагментов хромосомной ДНК. </w:t>
      </w:r>
    </w:p>
    <w:p w:rsidR="00076D6E" w:rsidRPr="005E1227" w:rsidRDefault="00076D6E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6D6E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_Toc39428866"/>
      <w:r w:rsidRPr="005E1227">
        <w:rPr>
          <w:rStyle w:val="10"/>
          <w:rFonts w:ascii="Times New Roman" w:hAnsi="Times New Roman" w:cs="Times New Roman"/>
          <w:color w:val="000000" w:themeColor="text1"/>
        </w:rPr>
        <w:t>Методы исследования гемостаза</w:t>
      </w:r>
      <w:bookmarkEnd w:id="4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76D6E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лабораторных исследованиях гемостаза следует: </w:t>
      </w:r>
    </w:p>
    <w:p w:rsidR="00076D6E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забирать кровь с минимальным использованием жгута, недопустимо взятие крови шприцем или из подключичного катетера; </w:t>
      </w:r>
    </w:p>
    <w:p w:rsidR="00076D6E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соблюдать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этапность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первый этап —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скрининговые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тесты, второй — пробы, позволяющие уточнить диагноз; </w:t>
      </w:r>
    </w:p>
    <w:p w:rsidR="00076D6E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3) проводить повторное обследование для подтверждения результата в случае выявления серьезных нарушений в системе гемостаза;</w:t>
      </w:r>
    </w:p>
    <w:p w:rsidR="00076D6E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4) интерпретировать результаты с учетом возможного влияния принимаемых лекарственных средств и других воздействий. </w:t>
      </w:r>
    </w:p>
    <w:p w:rsidR="00076D6E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1227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>Исследование сосудист</w:t>
      </w:r>
      <w:proofErr w:type="gramStart"/>
      <w:r w:rsidRPr="005E1227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Pr="005E1227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1227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>тромбоцитарного</w:t>
      </w:r>
      <w:proofErr w:type="spellEnd"/>
      <w:r w:rsidRPr="005E1227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 xml:space="preserve"> гемостаза</w:t>
      </w: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76D6E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Время</w:t>
      </w:r>
      <w:r w:rsidR="00076D6E" w:rsidRPr="005E122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5E122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кровотечения</w:t>
      </w: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Это время от момента нанесения стандартной раны кожи до момента прекращения вытекания крови. Оно фиксируется посредством промокания раны фильтровальной бумагой или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калориметрически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цвету жидкости, куда поступает вытекающая из пальца кровь. В норме время кровотечения составляет 3–10 мин. Оно характеризует функциональную активность тромбоцитов и взаимодействие тромбоцитов с сосудистой стенкой, но не выявляет всех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тромбоцитарных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нарушений. Этот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скрининговый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 позволяет заподозрить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тромбоцитопатии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различного генеза, болезнь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Виллебранда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нарушения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проагрегантных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свойств сосудистой стенки. </w:t>
      </w:r>
    </w:p>
    <w:p w:rsidR="005E1227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Исследование агрегации тромбоцитов</w:t>
      </w: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оценка их функциональной активности. Для исследования используют физиологические индукторы агрегации тромбоцитов: тромбин, адреналин, АДФ, коллаген; или специальные индукторы, такие как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ристомицин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Наиболее часто изучают </w:t>
      </w: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АД</w:t>
      </w:r>
      <w:proofErr w:type="gram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Ф-</w:t>
      </w:r>
      <w:proofErr w:type="gram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адреналин-, коллаген- и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ристомицин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-индуцированную агрегацию тромбоцитов с графической регистрацией процесса на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агрегометре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Основными параметрами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агрегатограммы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 степень агрегации (в процентах) и время агрегации (в минутах). Повышение агрегационной активности тромбоцитов характерно для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претромботических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состояний, тромбозов, атеросклероза,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васкулитов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возможно при беременности. </w:t>
      </w:r>
      <w:proofErr w:type="gram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Снижение агрегационной активности тромбоцитов наблюдают при первичных и симптоматических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тромбоцитопатиях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 лечении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антиагрегантами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End"/>
    </w:p>
    <w:p w:rsidR="005E1227" w:rsidRPr="005E1227" w:rsidRDefault="00730988" w:rsidP="005E122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Исследование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коагуляционного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(плазменного) гемостаза</w:t>
      </w:r>
    </w:p>
    <w:p w:rsidR="005E1227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122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Активированное частичное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тромбопластиновое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время (АЧТВ</w:t>
      </w: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Термин «частичный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тромбопластин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» означает, что реактив содержит только фосфолипиды, в нем нет тканевого фактора. Метод используется как тест для оценки внутреннего механизма свертывания крови, прежде всего скрининга на дефицит факторов VIII или IX (гемофилия</w:t>
      </w:r>
      <w:proofErr w:type="gram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proofErr w:type="gram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В), волчаночного антикоагулянта и слежения за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антикоагулянтным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действием гепаринов. Каждая лаборатория определяет свой нормальный диапазон АЧТВ с учетом используемых реактивов. Укорочение АЧТВ (активация внутреннего механизма свертывания) обнаруживают при тромбозах, тромбоэмболиях,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ДВСсиндроме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гиперкоагуляционная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фаза), иногда при нормально протекающей беременности. Удлинение АЧТВ имеет место при большом спектре патологических состояний. Прежде </w:t>
      </w:r>
      <w:proofErr w:type="gram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всего</w:t>
      </w:r>
      <w:proofErr w:type="gram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дефицит факторов внутреннего пути свертывания: VIII (гемофилия А), IX (гемофилия В), XI, XII при нормальных результатах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протромбинового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теста; дефицит факторов II, V, X в случае </w:t>
      </w:r>
      <w:proofErr w:type="gram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сопутствующей</w:t>
      </w:r>
      <w:proofErr w:type="gram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гипокоагуляции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протромбиновом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тесте; дефицит фактора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Виллебранда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терапия обычным,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нефракционированным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гепарином, лечение антикоагулянтами непрямого действия, ДВС-синдром (потребление факторов свертывания в фазу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гипокоагуляции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переливания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реополиглюкина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препаратов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гидроксиэтилкрахмала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инфукол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валекам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</w:t>
      </w:r>
      <w:proofErr w:type="gram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proofErr w:type="gram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наличие волчаночного антикоагулянта, мутация фактора IX, дефекты при получении крови для исследования (гемолиз, передозировка цитрата натрия, забор крови из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гепаринизированного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катетера). </w:t>
      </w:r>
    </w:p>
    <w:p w:rsidR="005E1227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Протромбиновое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время (по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Квику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), МНО</w:t>
      </w: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5E1227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Протромбиновое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время (ПТВ) — тест для оценки внешнего механизма свертывания крови. ПТВ обычно используется для определения активности фактора VII, контроля за лечением непрямыми антикоагулянтами, при скрининге системы гемостаза, а также для количественной оценки фибриногена в </w:t>
      </w:r>
      <w:proofErr w:type="gram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автоматических</w:t>
      </w:r>
      <w:proofErr w:type="gram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коагулометрах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Каждая лаборатория определяет свой нормальный диапазон ПТВ с учетом используемых реактивов. </w:t>
      </w:r>
      <w:proofErr w:type="gram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Укорочение ПТВ свидетельствует об активации внешнего механизма свертывания — при ДВС-синдроме, в последние недели беременности, при приеме пероральных контрацептивов, лечении концентратами факторов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протромбинового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комплекса (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Фейба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НовоСевен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др. Удлинение ПТВ имеет место при дефиците или аномалии факторов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протромбинового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комплекса (VII, X, V, II), в случаях приема антикоагулянтов непрямого действия (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варфарин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при болезнях печени и желчевыводящей системы, лечении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нефракционированным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гепарином (тест реагирует</w:t>
      </w:r>
      <w:proofErr w:type="gram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лишь на сравнительно высокие концентрации антикоагулянта, примерно от 0,5 МЕ/мл крови и выше), ДВС-синдроме (потребление факторов свертывания в переходную фазу и фазу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гипокоагуляции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на фоне переливаний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реополиглюкина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препаратов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гидроксиэтилкрахмала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инфукол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валекам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при наличии в крови волчаночного антикоагулянта (возможно), дефектах взятия крови для исследования (гемолиз, передозировка цитрата натрия, забор крови из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гепаринизированного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катетера). </w:t>
      </w:r>
      <w:proofErr w:type="gramEnd"/>
    </w:p>
    <w:p w:rsidR="005E1227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МНО (Международное нормализованное отношение), латинская аббревиатура — INR (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International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Normalized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Ratio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— дополнительный способ представления результатов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протромбинового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теста. Рекомендован комитетом экспертов ВОЗ и другими международными организациями по </w:t>
      </w: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стандартизации в гематологии для контроля терапии непрямыми антикоагулянтами. МНО — это отношение ПТВ пациента к ПТВ нормальной плазмы в степени международного индекса чувствительности (МИЧ). МИЧ — коррекционный фактор, специфичный для каждой партии реактивов, рассчитанный на основании стандартов ВОЗ для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тромбопластина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МНО — математическая коррекция, при помощи которой производится стандартизация ПТВ, что позволяет сравнивать результаты, полученные в разных лабораториях. МНО и протромбин по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Квику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коррелируют отрицательно: снижение протромбина по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Квику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соответствует повышению МНО. В норме МНО приближается к 1. Терапевтический диапазон МНО 2–3 на фоне терапии непрямыми антикоагулянтами обеспечивает профилактику тромбоза без увеличения риска кровотечения. </w:t>
      </w:r>
    </w:p>
    <w:p w:rsidR="005E1227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Тромбиновое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время (ТВ)</w:t>
      </w: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третий по значимости базисный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коагуляционный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тест. Характеризует конечный этап процесса свертывания — превращение фибриногена в фибрин под действием тромбина. На него влияет концентрация фибриногена в плазме и наличие продуктов деградации фибрина.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Референсные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значения ТВ: 18–24 с. Укорочение ТВ характерно для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гиперфибриногенемии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(фибриноген 6,0 г/л и выше), начальной (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гиперкоагуляционной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фазы острого и подострого ДВС-синдрома. </w:t>
      </w:r>
      <w:proofErr w:type="gram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Удлинение ТВ имеет место при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гепаринотерапии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обычным гепарином (тест реагирует на сравнительно низкие </w:t>
      </w:r>
      <w:r w:rsidR="005E1227"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концентра</w:t>
      </w: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антикоагулянта, приблизительно от 0,05 МЕ/мл крови),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гипофибриногенемии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(фибриноген ниже 1,0 г/л) в случаях развития острого ДВС-синдрома и при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тромболитической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терапии (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стрептокиназа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актилизе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др.), несоблюдении правил забора крови (гемолиз, передозировка цитрата натрия, забор крови из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гепаринизированного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катетера).</w:t>
      </w:r>
      <w:proofErr w:type="gramEnd"/>
    </w:p>
    <w:p w:rsidR="005E1227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122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Концентрация фибрин</w:t>
      </w:r>
      <w:r w:rsidR="005E1227" w:rsidRPr="005E122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оге</w:t>
      </w:r>
      <w:r w:rsidRPr="005E122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на в плазме</w:t>
      </w: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Количественное определение фибриногена по методу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Клаусса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базисным тестом исследования гемостаза. Образование фибрина и его стабилизация представляют собой </w:t>
      </w: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финальный этап формирования тромба, при котором растворимый фибриноген превращается в нерастворимый фибрин под действием тромбина и фактора XIII. Фибриноген —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острофазовый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белок. Печень синтезирует 2—5 г фибриногена в день, время полувыведения фибриногена из крови составляет около 4 дней. Концентрация его может превышать 10 г/л при тяжелых бактериальных инфекциях, при травме и тромбозе. К значительному росту фибриногена приводят заболевания почек (пиелонефрит,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гломерулонефрит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гемолитико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-уремический синдром), коллагенозы (ревматоидный артрит, узелковый периартериит), пароксизмальная ночная гемоглобинурия, новообразования (рак легкого). Повышение уровня фибриногена в плазме крови больных </w:t>
      </w:r>
      <w:proofErr w:type="gram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сердечно-сосудистыми</w:t>
      </w:r>
      <w:proofErr w:type="gram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заболеваниями предшествует развитию инфаркта миокарда и инсульта. Корреляция между уровнем фибриногена и развитием этих осложнений особенно четко прослеживается у пациентов молодого и среднего возраста. Определение уровня фибриногена — наиболее чувствительный тест для выявления бессимптомных стадий заболевания периферических артериальных сосудов. Нормальные значения фибриногена: 2,75–3,65 г/л. Снижение концентрации фибриногена происходит </w:t>
      </w:r>
      <w:proofErr w:type="gram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proofErr w:type="gram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остром ДВС-синдроме,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дисфибриногенемии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Повышение концентрации фибриногена имеет место при инфекционных, воспалительных и аутоиммунных процессах, подостром и </w:t>
      </w:r>
      <w:proofErr w:type="gram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хроническом</w:t>
      </w:r>
      <w:proofErr w:type="gram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ДВС-синдроме, нормально протекающей беременности. Исследование факторов свертывания проводят в случаях необъяснимого удлинения АЧТВ или ПТВ при дооперационном скрининге на основе модифицированных тестов АЧТВ или ПТВ с реактивом плазмы, имеющим дефицит исследуемого фактора. Оценку фактора XIII необходимо выполнять при наличии у пациента необъяснимых кровотечений при нормальных значениях АЧТВ и ПТВ. Нормальный диапазон для большинства факторов 70–130%. 2.5.4. </w:t>
      </w:r>
    </w:p>
    <w:p w:rsidR="005E1227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</w:t>
      </w:r>
      <w:proofErr w:type="gramEnd"/>
      <w:r w:rsidRPr="005E122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р о т е и н С</w:t>
      </w: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Его определяют иммунохимическим,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коагуляционным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методами и методом с хромогенным субстратом. Протеин</w:t>
      </w:r>
      <w:proofErr w:type="gram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proofErr w:type="gram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инактивирует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Vа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VIII только в комплексе с протеином S, поэтому их содержание желательно </w:t>
      </w: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оценивать в совокупности. В норме уровень протеина</w:t>
      </w:r>
      <w:proofErr w:type="gram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proofErr w:type="gram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от 70 до 140%. Повышение его может иметь место во время беременности. Наследственный гомозиготный дефицит протеина</w:t>
      </w:r>
      <w:proofErr w:type="gram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proofErr w:type="gram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аномалии протеина С приводят к массивному тромбозу (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фульминантная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пурпура) у новорожденных. Гетерозиготный дефицит протеина</w:t>
      </w:r>
      <w:proofErr w:type="gram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proofErr w:type="gram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предрасполагает к тромбозу. </w:t>
      </w:r>
      <w:proofErr w:type="gram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Приобретенное снижение активности фактора может иметь место при заболеваниях печени с нарушением ее функции, ДВС-синдроме, нефротическом синдроме, синдроме острой дыхательной недостаточности, менингококковом сепсисе, гемодиализе, лечении L-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аспарагиназой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лечении непрямыми антикоагулянтами (дефицит витамина К), в послеродовом и послеоперационном периодах. </w:t>
      </w:r>
      <w:proofErr w:type="gramEnd"/>
    </w:p>
    <w:p w:rsidR="005E1227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Протеин S</w:t>
      </w: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(витамин-К-зависимый белок) является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кофактором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активированного протеина С. Определение протеина S возможно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коагуляционным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иммунохимическим способами. Концентрация протеина S в норме составляет 20–25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нг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/мл. Описаны случаи как функцио</w:t>
      </w:r>
      <w:r w:rsidR="005E1227"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нального, так и количественного </w:t>
      </w: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дефицита протеина S. Уменьшение содержания (активности) протеина S может быть врожденным (наследственным), а также приобретенным в результате заболевания печени с нарушением ее функции, ДВС-синдрома, нефротического синдрома, системной красной волчанки, лечения L-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аспарагиназой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лечения непрямыми антикоагулянтами, приема эстрогенов (пероральных контрацептивов), беременности, в послеродовом периоде, из-за наличия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аутоантител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протеину S. </w:t>
      </w:r>
    </w:p>
    <w:p w:rsidR="005E1227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Антитромбин III</w:t>
      </w: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определения активности антитромбина III (АТ III) чаще всего используют метод с применением хромогенного субстрата. АТ III расщепляет субстрат, в результате образуется окрашенный продукт, количество которого зависит от исходной активности АТ III. Существуют также иммунохимические и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коагуляционные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методы. Тест применяют для мониторинга лечения гепарином. </w:t>
      </w:r>
      <w:proofErr w:type="gram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Длительная</w:t>
      </w:r>
      <w:proofErr w:type="gram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гепаринотерапия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приводить к снижению активности АТ III в плазме. Лечение высокими </w:t>
      </w: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дозами гепарина, особенно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нефракционированного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приводит к транзиторному снижению АТ III по механизму потребления, особенно у больных с тяжелой патологией, при критических состояниях, ДВС-синдроме, сепсисе, злокачественных опухолях. У новорожденных содержание АТ III составляет около 50% и достигает уровня взрослых к 6 месяцам. </w:t>
      </w:r>
      <w:proofErr w:type="gram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Нормальный диапазон АТ III: 75–125%. Снижение содержания (активности) АТ III может быть врожденным (наследственным) дефицитом или аномалией (снижение активности или чувствительности к гепарину); приобретенным при заболеваниях печени (опухоли, цирроз, алкогольный гепатит), нефротическом синдроме (протеинурия свыше 5 г/л), карциноме легких, ДВС-синдроме, множественных травмах, тяжелых родах,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гестозах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, приеме эстрогенов (пероральных контрацептивов), кортикостероидов, лечении L-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аспарагиназой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Увеличение содержания (активности) АТ III наблюдают во время менструации, при острых вирусных гепатитах,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холестазе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приеме анаболических стероидов, лечении непрямыми антикоагулянтами. </w:t>
      </w:r>
    </w:p>
    <w:p w:rsidR="005E1227" w:rsidRPr="005E1227" w:rsidRDefault="00730988" w:rsidP="005E122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Исследования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фибринолитической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системы</w:t>
      </w:r>
    </w:p>
    <w:p w:rsidR="005E1227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122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Время</w:t>
      </w:r>
      <w:r w:rsidR="005E1227" w:rsidRPr="005E122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5E122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лизиса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эуглобулиновых</w:t>
      </w:r>
      <w:proofErr w:type="spellEnd"/>
      <w:r w:rsidR="005E1227" w:rsidRPr="005E122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5E122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сгуст</w:t>
      </w:r>
      <w:r w:rsidR="005E1227" w:rsidRPr="005E122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ко</w:t>
      </w:r>
      <w:r w:rsidRPr="005E122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в /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Х</w:t>
      </w:r>
      <w:proofErr w:type="gram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II</w:t>
      </w:r>
      <w:proofErr w:type="gramEnd"/>
      <w:r w:rsidRPr="005E122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а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зависимый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фибринолиз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важнейший базисный метод исследования системы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фибринолиза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 позволяет оценить состояние внутреннего и внешнего механизмов образования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плазминогена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Метод заключается в определении времени спонтанного лизиса сгустка, образующегося из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эуглобулиновой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фракции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бестромбоцитной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плазмы при добавлении к ней раствора хлорида кальция. Метод оценки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эуглобулинового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лизиса требует исходного наличия в плазме фибриногена. При отклонениях содержания фибриногена, а также при неполноценной полимеризации фибрина возможно получение ошибочных результатов. Укорочение времени лизиса (активация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фибринолиза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наблюдают при уменьшении концентрации фибриногена —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гип</w:t>
      </w:r>
      <w:proofErr w:type="gram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дисфибриногенемии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увеличение времени лизиса (угнетение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фибринолиза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— при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гиперфибриногенемии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связи с ориентировочным характером и </w:t>
      </w: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недостаточной специфичностью в последнее время вместо теста спонтанного лизиса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эуглобулинового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сгустка используют определение отдельных факторов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фибринолиза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первую очередь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плазминогена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5E1227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Плазминоген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и </w:t>
      </w:r>
      <w:proofErr w:type="gram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тканевой</w:t>
      </w:r>
      <w:proofErr w:type="gramEnd"/>
      <w:r w:rsidRPr="005E122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активатор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плазминогена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(ТА</w:t>
      </w: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П). Определение количества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плазминогена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основано на гидролизе хромогенного субстрата. Тест используют для диагностики ДВС-синдрома и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тромбофилий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выявления нарушений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фибринолиза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контроля лечения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фибринолитическими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препаратами при тромбозах, тромбоэмболиях, инфарктах. Дефицит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плазминогена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крайне редкое событие, чаще встречается дефицит тканевого активатора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плазминогена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(ТАП). Дефицит ТАП является одним из потенциальных факторов риска тромбоза, хотя клинически это подтверждается не всегда. ТАП освобождается в кровоток из эндотелиальных клеток сосудистой стенки при стрессовых воздействиях на нее. </w:t>
      </w:r>
    </w:p>
    <w:p w:rsidR="005E1227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Тесты активации свертывания крови (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паракоагуляции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) D-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димеры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специфические продукты деградации фибрина, входящие в состав тромба. Они образуются в процессе лизиса сгустка крови под влиянием плазмина и некоторых неспецифических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фибринолитиков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. Концентрация D-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димеров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сыворотке пропорциональна активности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фибринолиза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количеству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лизируемого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фибрина. Этот тест позволяет судить об интенсивности процессов образования и разрушения фибриновых сгустков</w:t>
      </w:r>
      <w:r w:rsidR="005E1227"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Нормальное содержание D-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димера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33,5–727,5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нг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/мл. Повышение уровня D-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димеров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крови происходит при венозных тромбозах,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атеротромбозе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, тромбоэмболии легочной артерии, ДВС-синдроме, других состояниях с повышенным образованием фибрина, после операций, особенно при большом операционном поле. D</w:t>
      </w:r>
    </w:p>
    <w:p w:rsidR="00730988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Растворимые фибрин-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мономерные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комплексы (РФМК)</w:t>
      </w: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активации свертывания крови (ДВС, тромбозы,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тромбофилии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происходит расширение пула фибриногена, в результате чего увеличивается количество растворимых </w:t>
      </w: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фибрин-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мономерных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комплексов (РФМК). Качественное и количественное определение РФМК проводится с помощью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ортофенантролинового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теста.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Гепаринотерапия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содержанием гепарина в плазме крови до 10 ед./мл не влияет на результаты теста. Нормальные значения РФМК по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ортофенантролиновому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тесту — до 4,0 мг%. Повышение РКФМ возникает при активации внутрисосудистого свертывания крови (ДВС-синдром, тромбоз глубоких вен, эмболия легочной артерии), возмож</w:t>
      </w:r>
      <w:r w:rsidR="005E1227"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но при лечении антикоагулянтами</w:t>
      </w: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E1227" w:rsidRPr="005E1227" w:rsidRDefault="005E1227" w:rsidP="005E122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ентгенологическое исследование</w:t>
      </w:r>
    </w:p>
    <w:p w:rsidR="005E1227" w:rsidRPr="005E1227" w:rsidRDefault="005E1227" w:rsidP="005E12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1227" w:rsidRPr="005E1227" w:rsidRDefault="005E1227" w:rsidP="0073098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помощью R-логического исследования можно определить увеличение лимфатических узлов средостения (ХЛС, ЛС, ЛГМ), изменение костей (очаги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десструкций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компрессии при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миеломной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болезни, разрушение костей при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лимфосаркоме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уплотнение костей при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остеомиелосклерозе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730988" w:rsidRPr="005E1227" w:rsidRDefault="005E1227" w:rsidP="0073098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>Ультразвуковая диагностика</w:t>
      </w: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. Позволяет выявить увеличение, консистенцию селезёнки; увеличенные внутрибрюшные лимфоузлы</w:t>
      </w:r>
    </w:p>
    <w:p w:rsidR="00730988" w:rsidRPr="005E1227" w:rsidRDefault="00730988" w:rsidP="0073098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1227" w:rsidRPr="005E1227" w:rsidRDefault="005E1227" w:rsidP="0073098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1227" w:rsidRPr="005E1227" w:rsidRDefault="005E1227" w:rsidP="0073098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1227" w:rsidRPr="005E1227" w:rsidRDefault="005E1227" w:rsidP="0073098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1227" w:rsidRPr="005E1227" w:rsidRDefault="005E1227" w:rsidP="0073098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1227" w:rsidRPr="005E1227" w:rsidRDefault="005E1227" w:rsidP="0073098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1227" w:rsidRPr="005E1227" w:rsidRDefault="005E1227" w:rsidP="0073098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1227" w:rsidRPr="005E1227" w:rsidRDefault="005E1227" w:rsidP="0073098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1227" w:rsidRPr="005E1227" w:rsidRDefault="005E1227" w:rsidP="0073098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0988" w:rsidRPr="005E1227" w:rsidRDefault="00730988" w:rsidP="005E1227">
      <w:pPr>
        <w:pStyle w:val="1"/>
        <w:rPr>
          <w:rFonts w:ascii="Times New Roman" w:hAnsi="Times New Roman" w:cs="Times New Roman"/>
          <w:color w:val="000000" w:themeColor="text1"/>
        </w:rPr>
      </w:pPr>
      <w:bookmarkStart w:id="5" w:name="_Toc39428867"/>
      <w:bookmarkStart w:id="6" w:name="_GoBack"/>
      <w:bookmarkEnd w:id="6"/>
      <w:r w:rsidRPr="005E1227">
        <w:rPr>
          <w:rFonts w:ascii="Times New Roman" w:hAnsi="Times New Roman" w:cs="Times New Roman"/>
          <w:color w:val="000000" w:themeColor="text1"/>
        </w:rPr>
        <w:lastRenderedPageBreak/>
        <w:t>Список литературы</w:t>
      </w:r>
      <w:bookmarkEnd w:id="5"/>
    </w:p>
    <w:p w:rsidR="005E1227" w:rsidRPr="005E1227" w:rsidRDefault="005E1227" w:rsidP="005E12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0988" w:rsidRPr="005E1227" w:rsidRDefault="00730988" w:rsidP="0073098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Рукавицын О.А., Гематология</w:t>
      </w:r>
      <w:proofErr w:type="gram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национальное руководство [Электронный ресурс] / под ред. О. А. Рукавицына - М. : ГЭОТАР-Медиа, 2017. - 784 с. - ISBN 978-5-9704-4199-2 –</w:t>
      </w:r>
    </w:p>
    <w:p w:rsidR="00730988" w:rsidRPr="005E1227" w:rsidRDefault="00730988" w:rsidP="0073098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Внутренние болезни: гематология: учебное пособие для аудиторной работы студентов 6 курса по специальности 060101 – лечебное дело / сост.: Кузнецова Е.Ю., Тимофеева Л.Н. – Красноярск: типография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КрасГМУ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, 2010 – 114 с.</w:t>
      </w:r>
    </w:p>
    <w:p w:rsidR="00730988" w:rsidRPr="005E1227" w:rsidRDefault="005E1227" w:rsidP="005E122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Волко</w:t>
      </w: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ва, С.А. Основы клинической гематологии: учебное пособие / С.А. </w:t>
      </w:r>
      <w:proofErr w:type="gram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кова</w:t>
      </w:r>
      <w:proofErr w:type="spellEnd"/>
      <w:proofErr w:type="gram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, Н.Н. Боровков. — Н. Новгород: Издательство Нижегородской гос. медицинской академии, 2013. — 400 с.</w:t>
      </w:r>
    </w:p>
    <w:p w:rsidR="00730988" w:rsidRPr="005E1227" w:rsidRDefault="00730988" w:rsidP="0073098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0988" w:rsidRPr="005E1227" w:rsidRDefault="00730988" w:rsidP="0073098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0988" w:rsidRPr="005E1227" w:rsidRDefault="00730988" w:rsidP="0073098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0988" w:rsidRPr="005E1227" w:rsidRDefault="00730988" w:rsidP="0073098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30988" w:rsidRPr="005E1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B5627"/>
    <w:multiLevelType w:val="hybridMultilevel"/>
    <w:tmpl w:val="B49677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6872FD4"/>
    <w:multiLevelType w:val="hybridMultilevel"/>
    <w:tmpl w:val="CF72B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9416E"/>
    <w:multiLevelType w:val="hybridMultilevel"/>
    <w:tmpl w:val="2EC6B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4E"/>
    <w:rsid w:val="00046078"/>
    <w:rsid w:val="00076D6E"/>
    <w:rsid w:val="001B1427"/>
    <w:rsid w:val="001B72BB"/>
    <w:rsid w:val="002B312E"/>
    <w:rsid w:val="002D0BD9"/>
    <w:rsid w:val="00336560"/>
    <w:rsid w:val="003629BB"/>
    <w:rsid w:val="00370197"/>
    <w:rsid w:val="003B73BF"/>
    <w:rsid w:val="004241B1"/>
    <w:rsid w:val="00500B1F"/>
    <w:rsid w:val="00537EB0"/>
    <w:rsid w:val="0058071E"/>
    <w:rsid w:val="005E0529"/>
    <w:rsid w:val="005E1227"/>
    <w:rsid w:val="0061278F"/>
    <w:rsid w:val="00730988"/>
    <w:rsid w:val="007A6295"/>
    <w:rsid w:val="00816D59"/>
    <w:rsid w:val="0084203C"/>
    <w:rsid w:val="00895B42"/>
    <w:rsid w:val="008A1983"/>
    <w:rsid w:val="00961B21"/>
    <w:rsid w:val="009F30C9"/>
    <w:rsid w:val="00A2075E"/>
    <w:rsid w:val="00A67EBE"/>
    <w:rsid w:val="00B22616"/>
    <w:rsid w:val="00B611F3"/>
    <w:rsid w:val="00BC663C"/>
    <w:rsid w:val="00C109D5"/>
    <w:rsid w:val="00C21B9A"/>
    <w:rsid w:val="00C66487"/>
    <w:rsid w:val="00CC48F2"/>
    <w:rsid w:val="00E56223"/>
    <w:rsid w:val="00E72484"/>
    <w:rsid w:val="00F5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098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309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98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09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4">
    <w:name w:val="Title"/>
    <w:basedOn w:val="a"/>
    <w:next w:val="a"/>
    <w:link w:val="a5"/>
    <w:qFormat/>
    <w:rsid w:val="007309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7309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6">
    <w:name w:val="Subtitle"/>
    <w:basedOn w:val="a"/>
    <w:next w:val="a"/>
    <w:link w:val="a7"/>
    <w:qFormat/>
    <w:rsid w:val="007309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rsid w:val="007309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8">
    <w:name w:val="TOC Heading"/>
    <w:basedOn w:val="1"/>
    <w:next w:val="a"/>
    <w:uiPriority w:val="39"/>
    <w:semiHidden/>
    <w:unhideWhenUsed/>
    <w:qFormat/>
    <w:rsid w:val="005E1227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rsid w:val="005E1227"/>
    <w:pPr>
      <w:spacing w:after="100"/>
    </w:pPr>
  </w:style>
  <w:style w:type="character" w:styleId="a9">
    <w:name w:val="Hyperlink"/>
    <w:basedOn w:val="a0"/>
    <w:uiPriority w:val="99"/>
    <w:unhideWhenUsed/>
    <w:rsid w:val="005E1227"/>
    <w:rPr>
      <w:color w:val="0000FF" w:themeColor="hyperlink"/>
      <w:u w:val="single"/>
    </w:rPr>
  </w:style>
  <w:style w:type="paragraph" w:styleId="aa">
    <w:name w:val="Balloon Text"/>
    <w:basedOn w:val="a"/>
    <w:link w:val="ab"/>
    <w:rsid w:val="005E1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E1227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098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309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98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09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4">
    <w:name w:val="Title"/>
    <w:basedOn w:val="a"/>
    <w:next w:val="a"/>
    <w:link w:val="a5"/>
    <w:qFormat/>
    <w:rsid w:val="007309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7309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6">
    <w:name w:val="Subtitle"/>
    <w:basedOn w:val="a"/>
    <w:next w:val="a"/>
    <w:link w:val="a7"/>
    <w:qFormat/>
    <w:rsid w:val="007309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rsid w:val="007309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8">
    <w:name w:val="TOC Heading"/>
    <w:basedOn w:val="1"/>
    <w:next w:val="a"/>
    <w:uiPriority w:val="39"/>
    <w:semiHidden/>
    <w:unhideWhenUsed/>
    <w:qFormat/>
    <w:rsid w:val="005E1227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rsid w:val="005E1227"/>
    <w:pPr>
      <w:spacing w:after="100"/>
    </w:pPr>
  </w:style>
  <w:style w:type="character" w:styleId="a9">
    <w:name w:val="Hyperlink"/>
    <w:basedOn w:val="a0"/>
    <w:uiPriority w:val="99"/>
    <w:unhideWhenUsed/>
    <w:rsid w:val="005E1227"/>
    <w:rPr>
      <w:color w:val="0000FF" w:themeColor="hyperlink"/>
      <w:u w:val="single"/>
    </w:rPr>
  </w:style>
  <w:style w:type="paragraph" w:styleId="aa">
    <w:name w:val="Balloon Text"/>
    <w:basedOn w:val="a"/>
    <w:link w:val="ab"/>
    <w:rsid w:val="005E1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E1227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5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F3617-64DB-4357-9E20-FB82F8921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27</Pages>
  <Words>6214</Words>
  <Characters>35426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ПЗ</dc:creator>
  <cp:keywords/>
  <dc:description/>
  <cp:lastModifiedBy>ПЗ</cp:lastModifiedBy>
  <cp:revision>2</cp:revision>
  <dcterms:created xsi:type="dcterms:W3CDTF">2020-05-03T12:03:00Z</dcterms:created>
  <dcterms:modified xsi:type="dcterms:W3CDTF">2020-05-03T13:08:00Z</dcterms:modified>
</cp:coreProperties>
</file>