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79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ФАРМАЦЕВТИЧЕСКИЙ КОЛЛЕДЖ 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4332E1E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Дневник учебной практики 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4332E1E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4332E1E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МДК 03.01 «Теория и практика лабораторных биохимических исследований» 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332E1E3">
        <w:rPr>
          <w:rFonts w:ascii="Times New Roman" w:eastAsia="Times New Roman" w:hAnsi="Times New Roman" w:cs="Times New Roman"/>
          <w:sz w:val="28"/>
          <w:szCs w:val="28"/>
        </w:rPr>
        <w:t>ФИО</w:t>
      </w:r>
      <w:r w:rsidR="00094AA8">
        <w:rPr>
          <w:rFonts w:ascii="Times New Roman" w:eastAsia="Times New Roman" w:hAnsi="Times New Roman" w:cs="Times New Roman"/>
          <w:sz w:val="28"/>
          <w:szCs w:val="28"/>
        </w:rPr>
        <w:t>:</w:t>
      </w:r>
      <w:r w:rsidRPr="4332E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0315">
        <w:rPr>
          <w:rFonts w:ascii="Times New Roman" w:eastAsia="Times New Roman" w:hAnsi="Times New Roman" w:cs="Times New Roman"/>
          <w:sz w:val="28"/>
          <w:szCs w:val="28"/>
        </w:rPr>
        <w:t>Дывдык</w:t>
      </w:r>
      <w:proofErr w:type="spellEnd"/>
      <w:r w:rsidR="006F0315">
        <w:rPr>
          <w:rFonts w:ascii="Times New Roman" w:eastAsia="Times New Roman" w:hAnsi="Times New Roman" w:cs="Times New Roman"/>
          <w:sz w:val="28"/>
          <w:szCs w:val="28"/>
        </w:rPr>
        <w:t xml:space="preserve"> Юлия Николаевна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</w:t>
      </w:r>
      <w:r w:rsidR="00094AA8">
        <w:rPr>
          <w:rFonts w:ascii="Times New Roman" w:eastAsia="Times New Roman" w:hAnsi="Times New Roman" w:cs="Times New Roman"/>
          <w:sz w:val="28"/>
          <w:szCs w:val="28"/>
        </w:rPr>
        <w:t>:</w:t>
      </w:r>
      <w:r w:rsidRPr="4332E1E3">
        <w:rPr>
          <w:rFonts w:ascii="Times New Roman" w:eastAsia="Times New Roman" w:hAnsi="Times New Roman" w:cs="Times New Roman"/>
          <w:sz w:val="28"/>
          <w:szCs w:val="28"/>
        </w:rPr>
        <w:t xml:space="preserve"> Фармацевтический колледж           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sz w:val="28"/>
          <w:szCs w:val="28"/>
        </w:rPr>
        <w:t xml:space="preserve">с «15» июня 2020 г. по «21» июня 2020 г. </w:t>
      </w:r>
    </w:p>
    <w:p w:rsidR="00583C79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C79" w:rsidRDefault="4332E1E3" w:rsidP="4332E1E3">
      <w:pPr>
        <w:rPr>
          <w:rFonts w:ascii="Times New Roman" w:eastAsia="Times New Roman" w:hAnsi="Times New Roman" w:cs="Times New Roman"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C79" w:rsidRDefault="4332E1E3" w:rsidP="4332E1E3">
      <w:pPr>
        <w:rPr>
          <w:rFonts w:ascii="Times New Roman" w:eastAsia="Times New Roman" w:hAnsi="Times New Roman" w:cs="Times New Roman"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практики: </w:t>
      </w:r>
    </w:p>
    <w:p w:rsidR="00583C79" w:rsidRDefault="4332E1E3" w:rsidP="4332E1E3">
      <w:pPr>
        <w:rPr>
          <w:rFonts w:ascii="Times New Roman" w:eastAsia="Times New Roman" w:hAnsi="Times New Roman" w:cs="Times New Roman"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– Ф.И.О. (его должность) </w:t>
      </w:r>
      <w:proofErr w:type="spellStart"/>
      <w:r w:rsidRPr="4332E1E3">
        <w:rPr>
          <w:rFonts w:ascii="Times New Roman" w:eastAsia="Times New Roman" w:hAnsi="Times New Roman" w:cs="Times New Roman"/>
          <w:sz w:val="28"/>
          <w:szCs w:val="28"/>
        </w:rPr>
        <w:t>Кузовникова</w:t>
      </w:r>
      <w:proofErr w:type="spellEnd"/>
      <w:r w:rsidRPr="4332E1E3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</w:p>
    <w:p w:rsidR="00583C79" w:rsidRDefault="00583C79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C79" w:rsidRDefault="00094AA8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</w:t>
      </w:r>
      <w:r w:rsidR="4332E1E3" w:rsidRPr="4332E1E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4332E1E3" w:rsidRDefault="4332E1E3" w:rsidP="4332E1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1. Цели и задачи практики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3. Тематический план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4. График прохождения практики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5.  Содержание и объем проведенной работы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6. Манипуляционный лист 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7. Отчет (цифровой, текстовой)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Цели и задачи практики: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1. Ознакомление со структурой клинико-диагностической лаборатории и организацией работы среднего медицинского персонала;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2. 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3. Осуществление учета и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анализа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основных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клиникодиагностических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показателей; 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4. Обучение студентов оформлению медицинской документации;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5. Формирование навыков общения с больным с учетом этики и деонтологии.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4332E1E3" w:rsidRDefault="4332E1E3" w:rsidP="4332E1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практики.  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332E1E3">
        <w:rPr>
          <w:rFonts w:ascii="Times New Roman" w:eastAsia="Times New Roman" w:hAnsi="Times New Roman" w:cs="Times New Roman"/>
          <w:sz w:val="24"/>
          <w:szCs w:val="24"/>
          <w:u w:val="single"/>
        </w:rPr>
        <w:t>В результате прохождения практики студенты должны уметь самостоятельно:</w:t>
      </w: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1. Организовать рабочее место для проведения лабораторных исследований.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2. Подготовить лабораторную посуду, инструментарий и оборудование для анализов.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3. Приготовить растворы, реактивы, дезинфицирующие растворы.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4. Провести дезинфекцию биоматериала, отработанной посуды, стерилизацию инструментария и лабораторной посуды.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5. Провести прием, маркировку, регистрацию и хранение поступившего биоматериала. 6. Регистрировать проведенные исследования.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7. Вести учетно-отчетную документацию.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8. Пользоваться приборами в лаборатории.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9. Выполнять методики определения веществ согласно алгоритмам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10. Строить калибровочные графики.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4332E1E3">
        <w:rPr>
          <w:rFonts w:ascii="Times New Roman" w:eastAsia="Times New Roman" w:hAnsi="Times New Roman" w:cs="Times New Roman"/>
          <w:sz w:val="24"/>
          <w:szCs w:val="24"/>
          <w:u w:val="single"/>
        </w:rPr>
        <w:t>По окончании практики студент должен представить в колледж следующие документы:</w:t>
      </w: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1. Дневник с оценкой за практику;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2. 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3. Выполненную самостоятельную работу.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4332E1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результате учебной практики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должен:</w:t>
      </w: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Приобрести практический опыт: ПО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1.определения показателей белкового, липидного, углеводного и минерального обменов, активности ферментов, белков острой фазы, показателей гемостаза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Умения: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. Готовить материал к биохимическим исследованиям; 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. Определять биохимические показатели крови, мочи, ликвора и так далее;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У3. Работать на биохимических анализаторах; 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. Вести учетно-отчетную документацию;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У5. Принимать, регистрировать, отбирать клинический материал; 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Знания: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. Задачи, структура, оборудование, правила работы и техники безопасности в биохимической лаборатории; 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подготовки пациента к биохимическим лабораторным исследованиям; 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З3. Основные методы и диагностическое значение биохимических исследований крови, мочи, ликвора и так далее; 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. Основы гомеостаза, биохимические механизмы сохранения гомеостаза; 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З5. Нормальная физиология обмена белков, углеводов, липидов, ферментов, гормонов, водно-минерального, кислотно-основного состояния, причины и виды патологии обменных процессов; 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>. Основные методы исследования обмена веществ, гормонального профиля, ферментов и другого;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выхода на практику</w:t>
      </w:r>
    </w:p>
    <w:tbl>
      <w:tblPr>
        <w:tblStyle w:val="a3"/>
        <w:tblW w:w="0" w:type="auto"/>
        <w:tblLayout w:type="fixed"/>
        <w:tblLook w:val="06A0"/>
      </w:tblPr>
      <w:tblGrid>
        <w:gridCol w:w="945"/>
        <w:gridCol w:w="1905"/>
        <w:gridCol w:w="2145"/>
        <w:gridCol w:w="1290"/>
        <w:gridCol w:w="1680"/>
      </w:tblGrid>
      <w:tr w:rsidR="4332E1E3" w:rsidTr="4332E1E3">
        <w:tc>
          <w:tcPr>
            <w:tcW w:w="94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14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Часы работы </w:t>
            </w:r>
          </w:p>
        </w:tc>
        <w:tc>
          <w:tcPr>
            <w:tcW w:w="129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</w:p>
        </w:tc>
        <w:tc>
          <w:tcPr>
            <w:tcW w:w="168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Подпись </w:t>
            </w:r>
          </w:p>
        </w:tc>
      </w:tr>
      <w:tr w:rsidR="4332E1E3" w:rsidTr="4332E1E3">
        <w:tc>
          <w:tcPr>
            <w:tcW w:w="94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214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29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4332E1E3" w:rsidRDefault="4332E1E3" w:rsidP="4332E1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:rsidTr="4332E1E3">
        <w:tc>
          <w:tcPr>
            <w:tcW w:w="94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214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29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4332E1E3" w:rsidRDefault="4332E1E3" w:rsidP="4332E1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:rsidTr="4332E1E3">
        <w:tc>
          <w:tcPr>
            <w:tcW w:w="94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214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29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4332E1E3" w:rsidRDefault="4332E1E3" w:rsidP="4332E1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:rsidTr="4332E1E3">
        <w:tc>
          <w:tcPr>
            <w:tcW w:w="94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214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29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4332E1E3" w:rsidRDefault="4332E1E3" w:rsidP="4332E1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:rsidTr="4332E1E3">
        <w:tc>
          <w:tcPr>
            <w:tcW w:w="94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214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29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4332E1E3" w:rsidRDefault="4332E1E3" w:rsidP="4332E1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:rsidTr="4332E1E3">
        <w:tc>
          <w:tcPr>
            <w:tcW w:w="94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20.06.2020</w:t>
            </w:r>
          </w:p>
        </w:tc>
        <w:tc>
          <w:tcPr>
            <w:tcW w:w="214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29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4332E1E3" w:rsidRDefault="4332E1E3" w:rsidP="4332E1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Лист лабораторных исследований </w:t>
      </w:r>
    </w:p>
    <w:tbl>
      <w:tblPr>
        <w:tblStyle w:val="a3"/>
        <w:tblW w:w="0" w:type="auto"/>
        <w:tblLayout w:type="fixed"/>
        <w:tblLook w:val="06A0"/>
      </w:tblPr>
      <w:tblGrid>
        <w:gridCol w:w="3465"/>
        <w:gridCol w:w="870"/>
        <w:gridCol w:w="855"/>
        <w:gridCol w:w="868"/>
        <w:gridCol w:w="944"/>
        <w:gridCol w:w="959"/>
        <w:gridCol w:w="1064"/>
      </w:tblGrid>
      <w:tr w:rsidR="4332E1E3" w:rsidTr="4332E1E3">
        <w:tc>
          <w:tcPr>
            <w:tcW w:w="3465" w:type="dxa"/>
            <w:vMerge w:val="restart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исследований </w:t>
            </w:r>
          </w:p>
        </w:tc>
        <w:tc>
          <w:tcPr>
            <w:tcW w:w="5560" w:type="dxa"/>
            <w:gridSpan w:val="6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исследований по дням </w:t>
            </w:r>
          </w:p>
        </w:tc>
      </w:tr>
      <w:tr w:rsidR="4332E1E3" w:rsidTr="4332E1E3">
        <w:tc>
          <w:tcPr>
            <w:tcW w:w="3465" w:type="dxa"/>
            <w:vMerge/>
          </w:tcPr>
          <w:p w:rsidR="00583C79" w:rsidRDefault="00583C79"/>
        </w:tc>
        <w:tc>
          <w:tcPr>
            <w:tcW w:w="87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4332E1E3" w:rsidTr="4332E1E3">
        <w:tc>
          <w:tcPr>
            <w:tcW w:w="346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рабочего места </w:t>
            </w:r>
          </w:p>
        </w:tc>
        <w:tc>
          <w:tcPr>
            <w:tcW w:w="87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:rsidTr="4332E1E3">
        <w:tc>
          <w:tcPr>
            <w:tcW w:w="346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Центрифугирование </w:t>
            </w:r>
          </w:p>
        </w:tc>
        <w:tc>
          <w:tcPr>
            <w:tcW w:w="87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8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:rsidTr="4332E1E3">
        <w:tc>
          <w:tcPr>
            <w:tcW w:w="346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Фотометрирование</w:t>
            </w:r>
            <w:proofErr w:type="spellEnd"/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8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9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:rsidTr="4332E1E3">
        <w:tc>
          <w:tcPr>
            <w:tcW w:w="346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Термостатирование</w:t>
            </w:r>
            <w:proofErr w:type="spellEnd"/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8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:rsidTr="4332E1E3">
        <w:tc>
          <w:tcPr>
            <w:tcW w:w="346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Пипетирование</w:t>
            </w:r>
            <w:proofErr w:type="spellEnd"/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8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:rsidTr="4332E1E3">
        <w:tc>
          <w:tcPr>
            <w:tcW w:w="346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растворов</w:t>
            </w:r>
          </w:p>
        </w:tc>
        <w:tc>
          <w:tcPr>
            <w:tcW w:w="87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4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:rsidTr="4332E1E3">
        <w:tc>
          <w:tcPr>
            <w:tcW w:w="346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калибровочных графиков </w:t>
            </w:r>
          </w:p>
        </w:tc>
        <w:tc>
          <w:tcPr>
            <w:tcW w:w="87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9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:rsidTr="4332E1E3">
        <w:tc>
          <w:tcPr>
            <w:tcW w:w="346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Титрование </w:t>
            </w:r>
          </w:p>
        </w:tc>
        <w:tc>
          <w:tcPr>
            <w:tcW w:w="87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:rsidTr="4332E1E3">
        <w:tc>
          <w:tcPr>
            <w:tcW w:w="346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Дезинфекция оборудования </w:t>
            </w:r>
          </w:p>
        </w:tc>
        <w:tc>
          <w:tcPr>
            <w:tcW w:w="87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:rsidTr="4332E1E3">
        <w:tc>
          <w:tcPr>
            <w:tcW w:w="346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Утилизация отработанного материала </w:t>
            </w:r>
          </w:p>
        </w:tc>
        <w:tc>
          <w:tcPr>
            <w:tcW w:w="870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5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1. Ознакомление с правилами работы в КДЛ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Изучение нормативных документов, </w:t>
      </w:r>
      <w:proofErr w:type="gramStart"/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регламентирующие</w:t>
      </w:r>
      <w:proofErr w:type="gramEnd"/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санитарно-противоэпидемический режим в КДЛ: </w:t>
      </w:r>
    </w:p>
    <w:p w:rsidR="4332E1E3" w:rsidRDefault="4332E1E3" w:rsidP="4332E1E3">
      <w:pPr>
        <w:pStyle w:val="a4"/>
        <w:numPr>
          <w:ilvl w:val="0"/>
          <w:numId w:val="14"/>
        </w:numPr>
        <w:spacing w:after="200"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2.1.3.2630-10 от 18.05.2010г. «Санитарно-эпидемиологические требования к организациям, осуществляющим медицинскую деятельность».</w:t>
      </w:r>
    </w:p>
    <w:p w:rsidR="4332E1E3" w:rsidRDefault="4332E1E3" w:rsidP="4332E1E3">
      <w:pPr>
        <w:pStyle w:val="a4"/>
        <w:numPr>
          <w:ilvl w:val="0"/>
          <w:numId w:val="14"/>
        </w:numPr>
        <w:spacing w:after="200"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1.3.2322-08 от 28.01.2008г. «Безопасность работы с микроорганизмами III-IV групп патогенности (опасности) и возбудителями паразитарных болезней».</w:t>
      </w:r>
    </w:p>
    <w:p w:rsidR="4332E1E3" w:rsidRDefault="4332E1E3" w:rsidP="4332E1E3">
      <w:pPr>
        <w:pStyle w:val="a4"/>
        <w:numPr>
          <w:ilvl w:val="0"/>
          <w:numId w:val="14"/>
        </w:numPr>
        <w:spacing w:after="200"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2.1.2790-10 от 09.12.2010 «Санитарно-эпидемиологические требования к обращению с медицинскими отходами».</w:t>
      </w:r>
    </w:p>
    <w:p w:rsidR="4332E1E3" w:rsidRDefault="4332E1E3" w:rsidP="4332E1E3">
      <w:pPr>
        <w:pStyle w:val="a4"/>
        <w:numPr>
          <w:ilvl w:val="0"/>
          <w:numId w:val="14"/>
        </w:numPr>
        <w:spacing w:after="200"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Приказ Минздрава РФ № 380 от 25.12.1997г. «О состоянии и мерах по совершенствованию лабораторного обеспечения диагностики и лечения пациентов в учреждениях здравоохранения РФ».</w:t>
      </w:r>
    </w:p>
    <w:p w:rsidR="4332E1E3" w:rsidRDefault="39BA4A74" w:rsidP="39BA4A7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  <w:u w:val="single"/>
        </w:rPr>
        <w:t>Изучение правил техники безопасности в КДЛ;</w:t>
      </w:r>
    </w:p>
    <w:p w:rsidR="4332E1E3" w:rsidRDefault="39BA4A74" w:rsidP="39BA4A7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безопасности при работе с химическими реактивами.</w:t>
      </w:r>
    </w:p>
    <w:p w:rsidR="4332E1E3" w:rsidRDefault="4332E1E3" w:rsidP="4332E1E3">
      <w:pPr>
        <w:spacing w:line="3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При работе в химической лаборатории необходимо соблюдать требования техники безопасности по </w:t>
      </w:r>
      <w:hyperlink r:id="rId5">
        <w:r w:rsidRPr="4332E1E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ГОСТ 12.1.007-76</w:t>
        </w:r>
      </w:hyperlink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"Вредные вещества. Классификация и общие требования безопасности".</w:t>
      </w:r>
    </w:p>
    <w:p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При работе с химическими реактивами в лаборатории должно находиться не менее двух сотрудников.</w:t>
      </w:r>
    </w:p>
    <w:p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Приступая к работе, сотрудники обязаны осмотреть и привести в порядок свое рабочее место, освободить его от ненужных для работы предметов.</w:t>
      </w:r>
    </w:p>
    <w:p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Перед работой необходимо проверить исправность оборудования, рубильников, наличие заземления и пр.</w:t>
      </w:r>
    </w:p>
    <w:p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Работа с едкими и ядовитыми веществами, а также с органическими растворителями проводится только в вытяжных шкафах.</w:t>
      </w:r>
    </w:p>
    <w:p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Запрещается набирать реактивы в пипетки ртом, для этой цели следует использовать резиновую грушу или другие устройства.</w:t>
      </w:r>
    </w:p>
    <w:p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При определении запаха химических веще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ств сл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>едует нюхать осторожно, направляя к себе пары или газы движением руки.</w:t>
      </w:r>
    </w:p>
    <w:p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Работы, при которых возможно повышение давления, перегрев стеклянного прибора или его поломка с разбрызгиванием горячих или едких продуктов, также выполняются в вытяжных шкафах. Работающий должен надеть защитные очки (маску), перчатки и фартук.</w:t>
      </w:r>
    </w:p>
    <w:p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работах в вытяжном шкафу створки шкафа следует поднимать на высоту не более 20-30 см так, чтобы в шкафу находились только руки, а наблюдение за ходом процесса вести через стекла шкафа.</w:t>
      </w:r>
    </w:p>
    <w:p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При работе с химическими реактивами необходимо включать и выключать вытяжную вентиляцию не менее чем за 30 минут до начала, и после окончания работ.</w:t>
      </w:r>
    </w:p>
    <w:p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Смешивание или разбавление химических веществ, сопровождающееся выделением тепла, следует проводить в термостойкой или фарфоровой посуде.</w:t>
      </w:r>
    </w:p>
    <w:p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При упаривании в стаканах растворов следует тщательно перемешивать их, так как нижний и верхний слои растворов имеют различную плотность, вследствие чего может произойти выбрасывание жидкости.</w:t>
      </w:r>
    </w:p>
    <w:p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Во избежание ожогов, поражений от брызг и выбросов нельзя наклоняться над посудой, в которой кипит какая-либо жидкость.</w:t>
      </w:r>
    </w:p>
    <w:p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Нагревание посуды из обычного стекла на открытом огне без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асбестированной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сетки запрещено.</w:t>
      </w:r>
    </w:p>
    <w:p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При нагревании жидкости в пробирке держать ее следует отверстием в сторону от себя и от остальных сотрудников.</w:t>
      </w:r>
    </w:p>
    <w:p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Ни при каких обстоятельствах нельзя допускать нагревание жидкостей в колбах или приборах, не сообщающихся с атмосферой.</w:t>
      </w:r>
    </w:p>
    <w:p w:rsidR="4332E1E3" w:rsidRDefault="39BA4A74" w:rsidP="39BA4A74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Нагретый сосуд нельзя закрывать притертой пробкой до тех пор, пока он не охладится до температуры окружающей среды.</w:t>
      </w:r>
    </w:p>
    <w:p w:rsidR="4332E1E3" w:rsidRDefault="39BA4A74" w:rsidP="39BA4A74">
      <w:pPr>
        <w:spacing w:line="3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безопасности при работе с биологическим материалом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материалы, исследуемые в лаборатории: (кровь, моча, желудочный сок и т.д.), могут содержать возбудителей инфекционных заболеваний (вирусных гепатитов, ВИЧ).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Медицинские работники должны, относиться к биологическим жидкостям, как к потенциально зараженным.</w:t>
      </w:r>
      <w:proofErr w:type="gramEnd"/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Следует соблюдать следующие правила при работе с ними: </w:t>
      </w:r>
    </w:p>
    <w:p w:rsidR="4332E1E3" w:rsidRDefault="4332E1E3" w:rsidP="4332E1E3">
      <w:pPr>
        <w:pStyle w:val="a4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надевать резиновые перчатки при любом соприкосновении с кровью и другими биологическими жидкостями  </w:t>
      </w:r>
    </w:p>
    <w:p w:rsidR="4332E1E3" w:rsidRDefault="4332E1E3" w:rsidP="4332E1E3">
      <w:pPr>
        <w:pStyle w:val="a4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повреждения на коже рук дополнительно под перчатками закрывать напальчниками или лейкопластырем </w:t>
      </w:r>
    </w:p>
    <w:p w:rsidR="4332E1E3" w:rsidRDefault="4332E1E3" w:rsidP="4332E1E3">
      <w:pPr>
        <w:pStyle w:val="a4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резиновые перчатки надевать поверх рукавов медицинского халата </w:t>
      </w:r>
    </w:p>
    <w:p w:rsidR="4332E1E3" w:rsidRDefault="4332E1E3" w:rsidP="4332E1E3">
      <w:pPr>
        <w:pStyle w:val="a4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после каждого снятия перчаток – тщательно мыть руки </w:t>
      </w:r>
    </w:p>
    <w:p w:rsidR="4332E1E3" w:rsidRDefault="4332E1E3" w:rsidP="4332E1E3">
      <w:pPr>
        <w:pStyle w:val="a4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пипетирования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жидкостей ртом! Пользоваться для этого резиновыми грушами или автоматическими пипетками </w:t>
      </w:r>
    </w:p>
    <w:p w:rsidR="4332E1E3" w:rsidRDefault="4332E1E3" w:rsidP="4332E1E3">
      <w:pPr>
        <w:pStyle w:val="a4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исключить из обращения пробирки с битыми краями </w:t>
      </w:r>
    </w:p>
    <w:p w:rsidR="4332E1E3" w:rsidRDefault="4332E1E3" w:rsidP="4332E1E3">
      <w:pPr>
        <w:pStyle w:val="a4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поверхности столов в конце рабочего дня обеззараживать протиранием 3% раствором хлорамина или другим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>редством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. В случае загрязнения стола биологической жидкостью – немедленно двукратно с интервалом в 15 минут протереть поверхность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>аствором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332E1E3" w:rsidRDefault="4332E1E3" w:rsidP="4332E1E3">
      <w:pPr>
        <w:pStyle w:val="a4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после исследования вся посуда, соприкасавшаяся с биоматериалом, а также перчатки, должны подвергаться обеззараживанию – дезинфекции, которая проводится путем погружения на 1 час в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>аствор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Дезинфекция и утилизация отработанного материала</w:t>
      </w:r>
    </w:p>
    <w:p w:rsidR="4332E1E3" w:rsidRDefault="4332E1E3" w:rsidP="4332E1E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Все отходы деятельности лаборатории по степени эпидемиологической и токсикологической опасности подразделяются на следующие классы (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2.1.7.2527-09,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2.1.7.728-99):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00552653">
        <w:rPr>
          <w:rFonts w:ascii="Times New Roman" w:eastAsia="Times New Roman" w:hAnsi="Times New Roman" w:cs="Times New Roman"/>
          <w:b/>
          <w:i/>
          <w:sz w:val="24"/>
          <w:szCs w:val="24"/>
        </w:rPr>
        <w:t>Отходы класса</w:t>
      </w:r>
      <w:proofErr w:type="gramStart"/>
      <w:r w:rsidRPr="00552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(неопасные) не требуют специального обеззараживания. Их собирают в пластиковые пакеты белого цвета, герметично закрывают и в твердых емкостях (например, баках) с крышками переносят к мусороприемнику для дальнейшего вывоза на полигон твердых бытовых отходов (ТБО).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00552653">
        <w:rPr>
          <w:rFonts w:ascii="Times New Roman" w:eastAsia="Times New Roman" w:hAnsi="Times New Roman" w:cs="Times New Roman"/>
          <w:b/>
          <w:i/>
          <w:sz w:val="24"/>
          <w:szCs w:val="24"/>
        </w:rPr>
        <w:t>Отходы класса</w:t>
      </w:r>
      <w:proofErr w:type="gramStart"/>
      <w:r w:rsidRPr="00552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</w:t>
      </w:r>
      <w:proofErr w:type="gramEnd"/>
      <w:r w:rsidRPr="00552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(опасные) подвергают обязательной дезинфекции на месте их образования в соответствии с действующими нормативными документами (СП I. 3.1285-03). Обеззараженные отходы собирают в одноразовую герметичную упаковку желтого цвета. Для твердых отходов, имеющих острые края (битая стеклянная посуда, пипетки и т.п.), используют твердую упаковку, для игл от шприцов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испльзуют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одноразовые контейнеры. Одноразовые емкости желтого цвета с отходами класса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маркируют надписью «Опасные отходы – «Класс Б» с указанием названия лаборатории, кода учреждения, даты, фамилии ответственного за сбор отходов лица. Заполненные емкости помещают во влагонепроницаемые баки желтого цвета с той же маркировкой, герметично закрывают крышкой и переносят к металлическим контейнерам, которые размещены на специальной площадке хозяйственного двора учреждения (лаборатории). Дальнейшую утилизацию отходов проводят централизовано специальным автотранспортом на полигон ТБО или децентрализовано к месту кремации, если учреждение имеет крематорий для сжигания отходов.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Использованные для переноса (перевоза), временного хранения многоразовые емкости (баки, контейнеры) дезинфицируют и моют.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00552653">
        <w:rPr>
          <w:rFonts w:ascii="Times New Roman" w:eastAsia="Times New Roman" w:hAnsi="Times New Roman" w:cs="Times New Roman"/>
          <w:b/>
          <w:i/>
          <w:sz w:val="24"/>
          <w:szCs w:val="24"/>
        </w:rPr>
        <w:t>Отходы класса</w:t>
      </w:r>
      <w:proofErr w:type="gramStart"/>
      <w:r w:rsidRPr="00552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(чрезвычайно опасные) подвергают обязательной дезинфекции на месте их образования в соответствии с действующими нормативными документами (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2.1.7.2527-09, СП 1.3.1285-03;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2.1.7.728-99). Обеззараживание отходов проводят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автоклавированием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или обработкой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дезрастворами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. Эффективность работы автоклавов контролируют с помощью химических (каждый цикл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автоклавирования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) или биологических (ежемесячно) тестов. Путем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автоклавирования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обеззараживают жидкие и плотные питательные среды с посевами ПБА I-IV групп патогенности и без посевов; вскрытые ампулы из-под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лиофилизированных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культур (предварительно обеззараженные в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дезрастворе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>); пробирки, флаконы, колбы с бактериальными взвесями; сыворотки; лабораторную посуду; обгоревшие ватно-марлевые пробки и другой материал, инфицированный или подозрительный на зараженность ПБА I-IV групп.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Лабораторные отходы класса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(из блока для работы с инфицированными животными) после обеззараживания в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дезрастворах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могут содержать ватные и ватно-марлевые тампоны, салфетки, вскрытые трупы мелких экспериментальных животных, трупы отловленных в природе грызунов, остатки корма и подстилочный материал из садков, где содержались лабораторные животные до и после экспериментов, шприцы, ампулы </w:t>
      </w:r>
      <w:r w:rsidRPr="4332E1E3">
        <w:rPr>
          <w:rFonts w:ascii="Times New Roman" w:eastAsia="Times New Roman" w:hAnsi="Times New Roman" w:cs="Times New Roman"/>
          <w:sz w:val="24"/>
          <w:szCs w:val="24"/>
        </w:rPr>
        <w:lastRenderedPageBreak/>
        <w:t>и флаконы с остатками вакцинных препаратов, сколы концов пастеровских пипеток и ампул и др.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После обеззараживания отходы класса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собирают в одноразовую упаковку красного цвета. Одноразовая упаковка может быть мягкой (пакеты) и твердой (одноразовые емкости). Каждая упаковка маркируется надписью «Чрезвычайно опасные отходы – «Класс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» с указанием названия лаборатории, кода, даты и фамилии ответственного сотрудника. Бактериальные культуры,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вирусологически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опасный материал, различные острые предметы, экспериментальных животных складывают в твердую герметичную упаковку, нетвердые отходы – в герметичную мягкую упаковку.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Все заполненные емкости укладывают в маркированные водонепроницаемые металлические баки (контейнеры) с плотно закрывающимися крышками и хранят до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кремирования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в специально отведенном месте в пределах лаборатории. Транспортирование отходов класса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для утилизации осуществляют только в закрытых кузовах специально применяемых для этих целей автомашинах, которые после вывоза подвергают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спецобработке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Подготовку обеззараженных отходов лабораторной деятельности к утилизации (сбор, упаковка, герметизация, размещение в емкости для временного хранения) осуществляет ответственное лицо из числа работников лаборатории в средствах индивидуальной защиты (противочумный костюм III типа, дополненного при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необходимостиреспиратором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и прорезиненным фартуком).</w:t>
      </w:r>
    </w:p>
    <w:p w:rsidR="4332E1E3" w:rsidRDefault="0055265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Отходы</w:t>
      </w:r>
      <w:r w:rsidR="4332E1E3" w:rsidRPr="00552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класса Г</w:t>
      </w:r>
      <w:r w:rsidR="4332E1E3" w:rsidRPr="4332E1E3">
        <w:rPr>
          <w:rFonts w:ascii="Times New Roman" w:eastAsia="Times New Roman" w:hAnsi="Times New Roman" w:cs="Times New Roman"/>
          <w:sz w:val="24"/>
          <w:szCs w:val="24"/>
        </w:rPr>
        <w:t xml:space="preserve"> по степени токсичности делятся на следующие подклассы (Сан </w:t>
      </w:r>
      <w:proofErr w:type="spellStart"/>
      <w:r w:rsidR="4332E1E3" w:rsidRPr="4332E1E3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="4332E1E3" w:rsidRPr="4332E1E3">
        <w:rPr>
          <w:rFonts w:ascii="Times New Roman" w:eastAsia="Times New Roman" w:hAnsi="Times New Roman" w:cs="Times New Roman"/>
          <w:sz w:val="24"/>
          <w:szCs w:val="24"/>
        </w:rPr>
        <w:t xml:space="preserve"> № 4286-87, Приказ МПР РФ от 02.12.2002 г. № 786):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 – ртуть, термометры, лампы люминесцентные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2 – масла, серная кислота, электролиты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3 – медицинские отходы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4 – картонная упаковка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Использованные люминесцентные лампы, ртутьсодержащие приборы собирают в закрытые влагонепроницаемые емкости черного цвета с маркировкой «Отходы – «Класс Г» и хранят в специально выделенном помещении до утилизации, которая осуществляется в соответствии с действующими нормативными документами. Если во время работы повреждена целостность ртутьсодержащих приборов или термометров и ртуть вылилась, необходимо немедленно провести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демеркуризацию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Масла, минеральные (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хлорводородная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>, азотная, серная) и сильные органические кислоты, щелочи утилизируют согласно действующим нормативным документам.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рабочего места для биохимического исследования</w:t>
      </w:r>
    </w:p>
    <w:p w:rsidR="4332E1E3" w:rsidRDefault="4332E1E3" w:rsidP="4332E1E3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1. Лаборатория должна быть оснащена современной лабораторной мебелью, вытяжными шкафами. Для реактивов выделяют отдельные полки и шкафы.</w:t>
      </w:r>
    </w:p>
    <w:p w:rsidR="4332E1E3" w:rsidRDefault="4332E1E3" w:rsidP="4332E1E3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2. Поверхность производственных столов для работы с биологическим материалом должна быть из водонепроницаемого,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кислото-щёлочеустойчивого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и индифферентного </w:t>
      </w:r>
      <w:r w:rsidRPr="4332E1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действию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дезинфектантов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материала. Лабораторный стол следует содержать в порядке и чистоте.</w:t>
      </w:r>
    </w:p>
    <w:p w:rsidR="4332E1E3" w:rsidRDefault="4332E1E3" w:rsidP="4332E1E3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3. Рабочее место должно быть хорошо освещено: недалеко от окон и иметь осветительные лампы.</w:t>
      </w:r>
    </w:p>
    <w:p w:rsidR="4332E1E3" w:rsidRDefault="4332E1E3" w:rsidP="4332E1E3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4. Рабочий стол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лаб-рии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приспособлен к условиям работы, оборудован водопроводными кранами и водостоком.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4332E1E3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2. Работа с аппаратурой и приборами КДЛ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Изучение инструкции при работе с центрифугой,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  <w:u w:val="single"/>
        </w:rPr>
        <w:t>ФЭКом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  <w:u w:val="single"/>
        </w:rPr>
        <w:t>, термостатом, сушильным шкафом;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и последовательность работы с термостатом</w:t>
      </w:r>
    </w:p>
    <w:p w:rsidR="4332E1E3" w:rsidRDefault="4332E1E3" w:rsidP="4332E1E3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Алгоритм работы: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1) Термостат включают в сеть поворотом тумблера в положении «Сеть» (при этом загорается правая сигнальная лампочка – нагреватель включен)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2) Выставляют нужную температуру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3) По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движении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заданной температуры загорается левая лампочка (нагреватель отключен), а правая выключается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4) Если надо, включают кнопку «ускоренный разогрев», при этом загораются обе лампочки</w:t>
      </w:r>
    </w:p>
    <w:p w:rsidR="4332E1E3" w:rsidRDefault="4332E1E3" w:rsidP="4332E1E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Правила работы: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1) Не включать термостат без заземления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2) Запрещается помещать в камеру термостата материалы, воспламеняющиеся при температуре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термостатирования</w:t>
      </w:r>
      <w:proofErr w:type="spellEnd"/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3) При работе на аппарате необходимо стоять на сухом полу и резиновом коврике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4) Не прикасаться к приборам и розеткам мокрыми руками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5) Не снимать кожух с включенного в сеть аппарата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6) Запрещается открывать термостат во время работы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7) Исследуемый материал помещают в термостат в стеклянной или пластиковой посуде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8) Запрещается помещать посуду на дно термостата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работы с сушильным шкафом</w:t>
      </w:r>
    </w:p>
    <w:p w:rsidR="4332E1E3" w:rsidRDefault="4332E1E3" w:rsidP="4332E1E3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Алгоритм работы: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1) Перед началом эксплуатации сушильного шкафа необходимо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произвести его сушку (нагревают шкаф до 149-200°C и выдерживают 1-2 часа)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2) Установить загрузку на полки рабочей камеры, для равномерного нагрева необходимо, чтобы объем садки был не более 70 % от объема рабочего пространства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3) Плотно закрыть дверцу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4) Установить указатель терморегулятора шкафа на нужную температуру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5) Перевести терморегулятор на положение 1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6) Включить нагреватели сушильного шкафа при помощи универсального переключателя</w:t>
      </w:r>
    </w:p>
    <w:p w:rsidR="4332E1E3" w:rsidRDefault="4332E1E3" w:rsidP="4332E1E3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Правила работы: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1) Проверить заземление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2) Проверить исправность токоведущих частей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3) Загрузку шкафа производить при температуре не выше 40-50°C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4) Загружать, выгружать шкаф во время работы шкафа запрещается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5) Запрещается помещать в шкаф воспламеняющиеся и горючие материалы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6) Выгрузку шкафа производить при температуре не выше 40-60°C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и последовательность работы с центрифугой</w:t>
      </w:r>
    </w:p>
    <w:p w:rsidR="4332E1E3" w:rsidRDefault="4332E1E3" w:rsidP="4332E1E3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Алгоритм работы: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1) Включить прибор в сеть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2) Нажать кнопку «Сеть», открыть крышку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3) Составить пробирки, в соответствии с правилом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4) Закрыть крышку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5) Задать время и скорость вращения ротора (скорость от 200 об/мин до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3000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об/мин)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6) Нажать кнопку «Старт»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7) Открыть крышку можно после полной остановки</w:t>
      </w:r>
    </w:p>
    <w:p w:rsidR="4332E1E3" w:rsidRDefault="4332E1E3" w:rsidP="4332E1E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Правила работы: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1) Центрифуга должна стоять на устойчивом, тяжелом столе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2) Во время центрифугирования крышка центрифуги должна быть плотно закрыта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3) Центрифугировать можно только четное число пробирок, с равным количеством по весу вещества, поставленных одни против другой (если число пробирок нечетное ставят одну пробирку с дистиллированной водой в том же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>, что и остальные)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4) После выключения центрифуги нужно подождать, пока не закончится вращение, а затем уже открывать крышку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Правила и последовательность работы на приборе ФЭК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1) Присоединить колориметр к сети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2) Включить тумблер «Сеть»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3) Открыть крышку кюветного отделения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4) Выдержать колориметр во включенном состоянии 15 мин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5) Нажать клавишу «Ш» (0), измерить нулевой отсчет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6)Установить в кюветное отделение кюветы с контрольным раствором (в дальнее гнездо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кюветодержателя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>) и исследуемый раствор (в ближнее гнездо)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7) Установить необходимый светофильтр и соответствующий фотоприемник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8) Ручку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кюветодержателя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установить в правое положение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9) Закрыть крышку кюветного отделения, нажать клавишу «К» (1)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10) Ручку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кюветодержателя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установить в правое положение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11) Нажать клавишу «Д» (5). Отсчет на цифровом табло справа от мигающей запятой соответствует оптической плотности исследуемого раствора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и последовательность работы с градуированными пипетками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1) Пипетку вертикально опускают в склянку с раствором, придерживая правой рукой.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2) В левую руку берут резиновый баллончик.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3) Сжав баллон­ чик, прижимают его открытую часть к верхнему концу пипетки. Медленно разжимая резиновый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бал­лончик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, насасывают жидкость в пипетку выше нулевой отметки на 1,5—2 см.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4) Баллончик убирают, а отверстие пипетки быстро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закры­вают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указательным пальцем.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Ослаб­ляя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напряжение пальца, немного приоткрыв отверстие пипетки, медленно спускают жидкость, подводя нижний мениск к нулевой отметке. Чтобы точно установить уровень жидкости на нужной отметке, пипетку нужно держать на уровне глаз.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5) Усилив нажим пальца, прекращают вытекание жидкости. Кончиком пипетки касаются стенок сосуда, из которого набирают жидкость, чтобы сбить капельки ра­створа на внешней поверхности пипетки. 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6) Спускают </w:t>
      </w:r>
      <w:proofErr w:type="gramStart"/>
      <w:r w:rsidRPr="39BA4A74">
        <w:rPr>
          <w:rFonts w:ascii="Times New Roman" w:eastAsia="Times New Roman" w:hAnsi="Times New Roman" w:cs="Times New Roman"/>
          <w:sz w:val="24"/>
          <w:szCs w:val="24"/>
        </w:rPr>
        <w:t>жид­кость</w:t>
      </w:r>
      <w:proofErr w:type="gram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из пипетки по стенке сосуда.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и последовательность работы с мерными цилиндрами, колбами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1) Для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приготов­ления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раствора заданной кон­центрации определенное ко­личество вещества в твердом или жидком состоянии вно­сят через воронку в сполос­нутую дистиллированной во­дой (или соответствующим растворителем) мерную колбу, наполняют ее не более, чем на 1/2 объема водой (или ра­створителем) и тщательно перемешивают до полного ра­створения вещества. 2) Затем добавляют необходимый ра­створитель почти до кольцевой отметки, не доходя до нее 0,3—0,5 см.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Колбу помещают на ровную поверхность и доводят объем по каплям из пипетки, так чтобы нижний мениск жидкости соприкасался с кольцевой отметкой.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Кол­бу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закрывают пробкой и производят перемешивание ра­створа путем многократного переворачивания колбы.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Мер­ные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колбы не предназначены для хранения растворов. 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5) Сразу после приготовления раствор переливается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>­ходящую склянку, а колбу следует вымыть и убрать на место.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Нельзя производить отмеривание растворов, резко </w:t>
      </w:r>
      <w:proofErr w:type="gramStart"/>
      <w:r w:rsidRPr="39BA4A74">
        <w:rPr>
          <w:rFonts w:ascii="Times New Roman" w:eastAsia="Times New Roman" w:hAnsi="Times New Roman" w:cs="Times New Roman"/>
          <w:sz w:val="24"/>
          <w:szCs w:val="24"/>
        </w:rPr>
        <w:t>от­личающихся</w:t>
      </w:r>
      <w:proofErr w:type="gram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по температуре от температуры калибров­ки, так как это может вызвать значительную ошибку в измерениях. При приготовлении точных растворов не </w:t>
      </w:r>
      <w:proofErr w:type="gramStart"/>
      <w:r w:rsidRPr="39BA4A74">
        <w:rPr>
          <w:rFonts w:ascii="Times New Roman" w:eastAsia="Times New Roman" w:hAnsi="Times New Roman" w:cs="Times New Roman"/>
          <w:sz w:val="24"/>
          <w:szCs w:val="24"/>
        </w:rPr>
        <w:t>сле­дует</w:t>
      </w:r>
      <w:proofErr w:type="gram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держать колбу за расширенную часть, так как под влиянием тепла руки происходит нагревание жидкости и колбы, что тоже приводит к погрешностям в измерениях.</w:t>
      </w:r>
    </w:p>
    <w:p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и последовательность работы с дозаторами фиксированного и переменного объема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1) Нижняя часть дозатора оснащена так называемым «посадочным конусом», к которому необходимо герметично присоединить наконечник. Не стоит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одевать наконечник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руками, особенно если вы работаете со стерильными наконечниками. Для удобства работы можно использовать специальные штативы для наконечников;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2) Во время работы необходимо избегать перепада температур между прибором, наконечником и дозируемой жидкостью,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во-избежании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повреждения прибора. Также перепад температур может сказаться на точности дозирования;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3) Затем, дозированным колесиком (если это механический дозатор переменного объема) необходимо установить необходимый объем дозирования и опустить наконечник в жидкость приблизительно на 5 мм;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4) Смочить наконечник перед началом основного дозирования путем неоднократного забора и сброса жидкости;</w:t>
      </w:r>
    </w:p>
    <w:p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5) Произвести основной забор жидкости, равномерно нажимая и опуская поршень, и держа дозатор строго вертикально, чтобы избежать неточности дозирования. Дозаторы позволяют проводить прямое и обратное дозирование.</w:t>
      </w:r>
    </w:p>
    <w:p w:rsidR="4332E1E3" w:rsidRDefault="4332E1E3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39BA4A74" w:rsidRDefault="39BA4A74" w:rsidP="39BA4A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39BA4A74" w:rsidRDefault="39BA4A74" w:rsidP="39BA4A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3. Приготовление растворов заданной концентрации</w:t>
      </w:r>
    </w:p>
    <w:p w:rsidR="39BA4A74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растворов приблизительной концентрации из навески;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При приготовлении приблизительных растворов твердые вещества взвешивают на технических весах, жидкости отмеряют мерными цилиндрами.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а) растворы солей</w:t>
      </w:r>
      <w:r w:rsidRPr="39BA4A7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Навеску соли переносят в колбу или стакан. Добавляют часть (треть или половину) необходимого количества растворителя. Энергично перемешивают до </w:t>
      </w:r>
      <w:r w:rsidRPr="39BA4A74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полного растворения навески (иногда для этого требуется нагревание). Добавляют оставшийся растворитель, раствор фильтруют в подготовленную бутыль.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б) растворы щелочей. При приготовлении растворов щелочей следует соблюдать следующие правила техники безопасности: взвешивать щелочь в стеклянной или фарфоровой посуде; не брать щелочь голыми руками; не класть щелочь на бумагу; для растворения нельзя использовать толстостенные бутыли, так как из-за сильного разогревания раствора бутыль может лопнуть.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Навеску щелочи помещают в стакан или большую фарфоровую чашку, добавляют воду, чтобы получился 35—40%-й раствор. Содержимое перемешивают стеклянной палочкой до полного растворения щелочи. Раствор оставляют стоять до остывания и выпадения осадка (в осадок могут выпадать примеси). Раствор осторожно переливают в другой сосуд, куда добавляют нужное количество воды. Крепкие растворы щелочей хранят в полиэтиленовых бутылках.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в) растворы кислот. При приготовлении растворов кислот необходимо соблюдать следующие правила: нельзя использовать для растворения толстостенную посуду; нельзя лить воду в кислоту.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Кислоту и воду отмеряют мерными цилиндрами. В колбу наливают рассчитанное количество воды, затем постепенно, тонкой струйкой при помешивании добавляют нужное количество кислоты.</w:t>
      </w:r>
    </w:p>
    <w:p w:rsidR="39BA4A74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растворов точной концентрации из навески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Точные растворы всегда готовят в мерных колбах и хранят в плотно закрытых бутылях или колбах с притертыми пробками.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Точную навеску делают на аналитических весах в бюксе или на часовом стекле. Через сухую воронку навеску очень аккуратно всыпают в чистую мерную колбу. Остатки вещества тщательно смывают через воронку в колбу. Обмывают внутренние стенки воронки. Объем жидкости в колбе не должен превышать половины. Колбу закрывают пробкой и вращательными движениями перемешивают содержимое до полного растворения навески. После этого доливают воду до метки на шейке колбы, как было описано выше.</w:t>
      </w:r>
    </w:p>
    <w:p w:rsidR="39BA4A74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Приготовление растворов из </w:t>
      </w:r>
      <w:proofErr w:type="spellStart"/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фиксаналов</w:t>
      </w:r>
      <w:proofErr w:type="spellEnd"/>
    </w:p>
    <w:p w:rsidR="39BA4A74" w:rsidRDefault="39BA4A74" w:rsidP="39BA4A74">
      <w:pPr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Фиксанал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— это запаянная стеклянная ампула с известным количеством какого-либо вещества. На ампуле написано название вещества и указана нормальная концентрация раствора. Для получения раствора необходимо содержимое ампулы поместить в мерную колбу объемом один литр и добавить воду.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В чистую мерную колбу помещают сухую воронку, в которую вставляют специальный стеклянный боек. Ампулу протирают спиртом, чтобы удалить надпись, моют и обмывают дистиллированной водой. Затем вставляют ампулу в воронку так, чтобы она своим тонким изогнутым дном касалась бойка, приподнимают ее и слегка ударяют о конец бойка, пробивая дно ампулы. При этом содержимое ампулы попадает через воронку в мерную колбу. С противоположного конца ампулы пробивают отверстие специальной стеклянной палочкой с острым концом. Через верхнее отверстие </w:t>
      </w:r>
      <w:r w:rsidRPr="39BA4A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многократно маленькими порциями промывают дистиллированной водой из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промывалки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внутренние стенки ампулы, наружные споласкивают, ампулу выбрасывают, ополаскивают воронку и боек, вынимают воронку и обмывают верхнюю часть шейки колбы. Если вещество находилось в твердом состоянии, необходимо проследить за его полным растворением.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Осторожно мелкими порциями добавляют воду до тех пор, пока нижняя часть мениска не будет касаться метки на шейке колбы. Закрывают колбу пробкой и перемешивают раствор.</w:t>
      </w:r>
    </w:p>
    <w:p w:rsidR="39BA4A74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растворов методом разбавления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разбавленного раствора </w:t>
      </w:r>
      <w:proofErr w:type="gramStart"/>
      <w:r w:rsidRPr="39BA4A7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концентрированного сопровождается этапами. Первый - определение объема концентрированного раствора, необходимого для приготовления раствора с заданной концентрацией, второй – разбавление раствора. В расчетах объема более концентрированного раствора необходимо учесть его концентрацию и плотность. Если неизвестна концентрация раствора, то ареометром измеряют плотность раствора, а затем, </w:t>
      </w:r>
      <w:proofErr w:type="gramStart"/>
      <w:r w:rsidRPr="39BA4A74">
        <w:rPr>
          <w:rFonts w:ascii="Times New Roman" w:eastAsia="Times New Roman" w:hAnsi="Times New Roman" w:cs="Times New Roman"/>
          <w:sz w:val="24"/>
          <w:szCs w:val="24"/>
        </w:rPr>
        <w:t>зная плотность раствора вещества по справочнику определяют</w:t>
      </w:r>
      <w:proofErr w:type="gram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концентрацию имеющегося раствора.</w:t>
      </w:r>
    </w:p>
    <w:p w:rsidR="39BA4A74" w:rsidRDefault="39BA4A74" w:rsidP="39BA4A74">
      <w:pPr>
        <w:jc w:val="center"/>
        <w:rPr>
          <w:rFonts w:ascii="Arial" w:eastAsia="Arial" w:hAnsi="Arial" w:cs="Arial"/>
          <w:sz w:val="24"/>
          <w:szCs w:val="24"/>
        </w:rPr>
      </w:pPr>
    </w:p>
    <w:p w:rsidR="39BA4A74" w:rsidRDefault="39BA4A74" w:rsidP="39BA4A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39BA4A74" w:rsidRDefault="39BA4A74" w:rsidP="39BA4A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4. Построение калибровочных графиков.</w:t>
      </w:r>
    </w:p>
    <w:p w:rsidR="39BA4A74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стандартных растворов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1. Метод точной навески. Предполагает работу с растворами, которые не меняют свою молекулярную массу и объем при взаимодействии с воздухом. К таким веществам относятся щавелевая кислота, сода, бура (Na</w:t>
      </w:r>
      <w:r w:rsidRPr="39BA4A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39BA4A74">
        <w:rPr>
          <w:rFonts w:ascii="Times New Roman" w:eastAsia="Times New Roman" w:hAnsi="Times New Roman" w:cs="Times New Roman"/>
          <w:sz w:val="24"/>
          <w:szCs w:val="24"/>
        </w:rPr>
        <w:t>B</w:t>
      </w:r>
      <w:r w:rsidRPr="39BA4A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39BA4A74">
        <w:rPr>
          <w:rFonts w:ascii="Times New Roman" w:eastAsia="Times New Roman" w:hAnsi="Times New Roman" w:cs="Times New Roman"/>
          <w:sz w:val="24"/>
          <w:szCs w:val="24"/>
        </w:rPr>
        <w:t>O</w:t>
      </w:r>
      <w:r w:rsidRPr="39BA4A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39BA4A74">
        <w:rPr>
          <w:rFonts w:ascii="Times New Roman" w:eastAsia="Times New Roman" w:hAnsi="Times New Roman" w:cs="Times New Roman"/>
          <w:sz w:val="24"/>
          <w:szCs w:val="24"/>
        </w:rPr>
        <w:t>·10H</w:t>
      </w:r>
      <w:r w:rsidRPr="39BA4A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39BA4A74">
        <w:rPr>
          <w:rFonts w:ascii="Times New Roman" w:eastAsia="Times New Roman" w:hAnsi="Times New Roman" w:cs="Times New Roman"/>
          <w:sz w:val="24"/>
          <w:szCs w:val="24"/>
        </w:rPr>
        <w:t>O), бихромат калия и ряд других веществ. На аналитических весах (погрешность таких весов составляет 0,0002г) точно взвешивают вещество и переносят в мерную колбу для растворения, доводят до метки растворителем (водой) и тщательно перемешивают.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Фиксанальный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метод. Предполагает приготовление растворов из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фиксаналов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Фиксанал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- ампула с сухим веществом или раствором с точно известной концентрацией.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Фиксанал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разбивают и переносят в колбу для растворения. Этот метод считается наиболее точным и часто применяется в аналитической химии.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3. Метод приблизительной навески. Предполагает работу с растворами, которые меняют свою массу на воздухе, например, перманганат калия. Работать с такими растворами нельзя, поэтому перед применением их в качестве стандартных, необходимо оттитровать другим раствором с точно известной концентрацией.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4. Метод разбавления. Из раствора с точно известной концентрацией готовят разбавлением раствора другой концентрации. Концентрация полученного раствора зависит от концентрации исходного.</w:t>
      </w:r>
    </w:p>
    <w:p w:rsidR="39BA4A74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 калибровочных графиков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lastRenderedPageBreak/>
        <w:t>Для построения калибровочного графика готовят серию стандартных растворов, охватывающих диапазон измеряемых концентраций исследуемого вещества согласно методике.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Калибровочный график строят по 5-6 сериям шкал; количество концентраций в каждой шкале должно быть не мене 5. Резко отличающиеся значения оптической плотности не учитывают. Из остальных рассчитывают среднее арифметическое значение для каждой концентрации и строят график зависимости оптической плотности от концентрации вещества (рисунок 14).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39BA4A74">
        <w:rPr>
          <w:rFonts w:ascii="Times New Roman" w:eastAsia="Times New Roman" w:hAnsi="Times New Roman" w:cs="Times New Roman"/>
          <w:sz w:val="24"/>
          <w:szCs w:val="24"/>
        </w:rPr>
        <w:t>Примерный размер графика 20-25x30 см; прямая должна проходить через начало координат под углом приблизительно 45°. В идеальном случае все точки располагаются на прямой, обычно часть точек располагается на прямой, часть выше и ниже ее, точки как бы чередуются.</w:t>
      </w:r>
      <w:proofErr w:type="gramEnd"/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На графике должны быть указаны условия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фотометрирования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: номер светофильтра или длины волны (нм); размер кюветы (мм); время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фотометрирования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>. Кроме того, должна быть указана дата построения калибровочного графика. Калибровочный график необходимо периодически проверять по 2-3 концентрациям.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Рассчитывают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Сmax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и остальные значения С (1,2,3,4, и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расчитывают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Еmax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и остальные значения</w:t>
      </w:r>
      <w:proofErr w:type="gramStart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(1,2,3,4, и т.д.)</w:t>
      </w:r>
    </w:p>
    <w:p w:rsidR="39BA4A74" w:rsidRDefault="39BA4A74" w:rsidP="39BA4A74">
      <w:r>
        <w:rPr>
          <w:noProof/>
          <w:lang w:eastAsia="ru-RU"/>
        </w:rPr>
        <w:drawing>
          <wp:inline distT="0" distB="0" distL="0" distR="0">
            <wp:extent cx="5703261" cy="3457602"/>
            <wp:effectExtent l="0" t="0" r="0" b="0"/>
            <wp:docPr id="11415480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261" cy="345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Рис 1. пример калибровочного графика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калибровочному графику: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График начинается от 0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proofErr w:type="gramStart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Прямая</w:t>
      </w:r>
      <w:proofErr w:type="gramEnd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 углом 45°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Общий масштаб 20 клеток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proofErr w:type="gramStart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точного построения не менее 3-хточек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proofErr w:type="gramStart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proofErr w:type="gramEnd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тобы кривая располагалась под углом 45° к осям, берут максимальное значение </w:t>
      </w:r>
      <w:proofErr w:type="spellStart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экстенции</w:t>
      </w:r>
      <w:proofErr w:type="spellEnd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концентрации, если между ними в пределах этих значений сохраняется противоположность зависимости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proofErr w:type="gramStart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осле того, как построена система координат, приступить к нанесению результатов исследования серии калибровочных растворов к каждой из осей координат, в отмеченных точках восстанавливается перпендикуляр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proofErr w:type="gramStart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месте пересечения двух перпендикуляров из каждой взаимосвязанной парой становится карандашом точка.</w:t>
      </w:r>
    </w:p>
    <w:p w:rsidR="39BA4A74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и последовательность работы на приборе ФЭК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1) Присоединить колориметр к сети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2) Включить тумблер «Сеть»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3) Открыть крышку кюветного отделения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4) Выдержать колориметр во включенном состоянии 15 мин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5) Нажать клавишу «Ш» (0), измерить нулевой отсчет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6)Установить в кюветное отделение кюветы с контрольным раствором (в дальнее гнездо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кюветодержателя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>) и исследуемый раствор (в ближнее гнездо)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7) Установить необходимый светофильтр и соответствующий фотоприемник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8) Ручку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кюветодержателя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установить в правое положение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9) Закрыть крышку кюветного отделения, нажать клавишу «К» (1)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10) Ручку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кюветодержателя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установить в правое положение</w:t>
      </w:r>
    </w:p>
    <w:p w:rsidR="39BA4A74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11) Нажать клавишу «Д» (5). Отсчет на цифровом табло справа от мигающей запятой соответствует оптической плотности исследуемого раствора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39BA4A74" w:rsidRDefault="39BA4A74" w:rsidP="39BA4A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39BA4A74" w:rsidRDefault="39BA4A74" w:rsidP="39BA4A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5. Определение витаминов в биологической жидкости</w:t>
      </w:r>
    </w:p>
    <w:p w:rsidR="39BA4A74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витамина</w:t>
      </w:r>
      <w:proofErr w:type="gramStart"/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моче </w:t>
      </w:r>
      <w:proofErr w:type="spellStart"/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титриметрическим</w:t>
      </w:r>
      <w:proofErr w:type="spellEnd"/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методом</w:t>
      </w:r>
    </w:p>
    <w:p w:rsidR="39BA4A74" w:rsidRDefault="39BA4A74" w:rsidP="39BA4A7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Принцип метода.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 основан на окислении аскорбиновой кислоты в дегидроаскорбиновую кислоту 2,6-дихлорфенолиндофенолом, который в кислой среде восстанавливается в </w:t>
      </w:r>
      <w:proofErr w:type="gramStart"/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>бесцветное</w:t>
      </w:r>
      <w:proofErr w:type="gramEnd"/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>лейкосоединение</w:t>
      </w:r>
      <w:proofErr w:type="spellEnd"/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39BA4A74" w:rsidRDefault="39BA4A74" w:rsidP="39BA4A74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>Реактивы.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Моча 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Концентрированная уксусная кислота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>Дистиллированная вода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0,001 </w:t>
      </w:r>
      <w:proofErr w:type="spellStart"/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раствор натриевой соли 2,6-дихлорфенолиндофенола</w:t>
      </w:r>
    </w:p>
    <w:p w:rsidR="39BA4A74" w:rsidRDefault="39BA4A74" w:rsidP="39BA4A74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Оборудование: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колба на 50 мл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пипетки на 5 мл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бюретка.</w:t>
      </w:r>
    </w:p>
    <w:p w:rsidR="39BA4A74" w:rsidRDefault="39BA4A74" w:rsidP="39BA4A74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>Ход исследования.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Наливают в коническую колбочку 10 мл мочи, добавляют 10 мл дистиллированной воды и 1 мл концентрированной уксусной кислоты. Содержимое колбы титруют из микробюретки 0,001 </w:t>
      </w:r>
      <w:proofErr w:type="spellStart"/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раствором натриевой соли 2,6-дихлорфенолиндофенола до получения устойчивой розовой окраски.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 витамина</w:t>
      </w:r>
      <w:proofErr w:type="gramStart"/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суточном количестве мочи вычисляют по формуле:</w:t>
      </w:r>
    </w:p>
    <w:p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89944" cy="414232"/>
            <wp:effectExtent l="0" t="0" r="0" b="0"/>
            <wp:docPr id="68325099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44" cy="41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где </w:t>
      </w:r>
      <w:proofErr w:type="spellStart"/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spellEnd"/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количество аскорбиновой кислоты, выделенное с мочой за сутки, мг; 0,088 - количество аскорбиновой кислоты, соответствующее 1 мл 0,001 </w:t>
      </w:r>
      <w:proofErr w:type="spellStart"/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раствора натриевой соли 2,6-дихлорфенолиндофенола, мг; V</w:t>
      </w:r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общий объем мочи, собранной за сутки, мл; V</w:t>
      </w:r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количество мочи, взятое для титрования, мл. Для женщин суточное количество мочи в среднем 1200 мл, для мужчин – 1500 мл.</w:t>
      </w:r>
    </w:p>
    <w:p w:rsidR="39BA4A74" w:rsidRDefault="39BA4A74" w:rsidP="39BA4A74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Норма: с мочой за сутки выделяется от 20 до 40 мг витамина С.</w:t>
      </w:r>
    </w:p>
    <w:p w:rsidR="39BA4A74" w:rsidRDefault="39BA4A74" w:rsidP="39BA4A74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Диагностическое значение: определение содержания витамина</w:t>
      </w:r>
      <w:proofErr w:type="gramStart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моче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дает представление о запасах этого витамина в организме.</w:t>
      </w:r>
    </w:p>
    <w:p w:rsidR="39BA4A74" w:rsidRDefault="39BA4A74" w:rsidP="39BA4A74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Утилизация отработанного материала, дезинфекция и стерилизация использованной лабораторной посуды, инструментария, средств защиты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212121"/>
          <w:sz w:val="24"/>
          <w:szCs w:val="24"/>
        </w:rPr>
        <w:t>Жидкие отходы класса</w:t>
      </w:r>
      <w:proofErr w:type="gramStart"/>
      <w:r w:rsidRPr="39BA4A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</w:t>
      </w:r>
      <w:proofErr w:type="gramEnd"/>
      <w:r w:rsidRPr="39BA4A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(рвотные массы, моча, фекалии) и аналогичные биологические жидкости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39BA4A74" w:rsidRDefault="39BA4A74" w:rsidP="39BA4A74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39BA4A74" w:rsidRDefault="39BA4A74" w:rsidP="39BA4A74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День 6. Выполнение мер санитарно-эпидемиологического режима в КДЛ.  </w:t>
      </w:r>
    </w:p>
    <w:p w:rsidR="39BA4A74" w:rsidRDefault="39BA4A74" w:rsidP="39BA4A74">
      <w:p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Выполнение мер санитарно-эпидемиологического режима в КДЛ</w:t>
      </w:r>
    </w:p>
    <w:p w:rsidR="39BA4A74" w:rsidRDefault="39BA4A74" w:rsidP="39BA4A74">
      <w:pPr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Основные правила работы.</w:t>
      </w:r>
    </w:p>
    <w:p w:rsidR="39BA4A74" w:rsidRDefault="39BA4A74" w:rsidP="39BA4A74">
      <w:pPr>
        <w:pStyle w:val="a4"/>
        <w:numPr>
          <w:ilvl w:val="0"/>
          <w:numId w:val="1"/>
        </w:numPr>
        <w:rPr>
          <w:rFonts w:eastAsiaTheme="minorEastAsia"/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lastRenderedPageBreak/>
        <w:t xml:space="preserve">Уборка всех помещений лаборатории производится до начала и после окончания работы с использованием дезинфицирующих средств. Поверхности лабораторных столов, оборудование протираются 3% раствором хлорамина, хлорной извести, или 6% перекисью водорода, 0.5% ДП-2, пол моется с использованием 1% раствора хлорамина, хлорной извести. Один раз в месяц в помещениях, где проводится работа с </w:t>
      </w:r>
      <w:proofErr w:type="spellStart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нативной</w:t>
      </w:r>
      <w:proofErr w:type="spellEnd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кровью, сывороткой, делают генеральную уборку с использованием 3% раствора хлорамина (хлорной извести). Во время генеральной уборки тщательно моются стены, оборудование, мебель, проводится очистка полов от пятен с помощью моющего раствора (50 г моющего средства на 10 л раствора), затем те же объекты увлажняются (или орошаются) дезинфекционным раствором. Через 1 час дезинфекционный раствор смывается чистой водой.</w:t>
      </w:r>
    </w:p>
    <w:p w:rsidR="39BA4A74" w:rsidRDefault="39BA4A74" w:rsidP="39BA4A74">
      <w:pPr>
        <w:pStyle w:val="a4"/>
        <w:numPr>
          <w:ilvl w:val="0"/>
          <w:numId w:val="1"/>
        </w:numPr>
        <w:rPr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Персонал должен работать в специальной одежде (халат, сменная обувь, при работе с </w:t>
      </w:r>
      <w:proofErr w:type="spellStart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нативным</w:t>
      </w:r>
      <w:proofErr w:type="spellEnd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материалом - в перчатках, при опасности разбрызгивания крови или других биологических жидкостей следует работать в масках).</w:t>
      </w:r>
    </w:p>
    <w:p w:rsidR="39BA4A74" w:rsidRDefault="39BA4A74" w:rsidP="39BA4A74">
      <w:pPr>
        <w:pStyle w:val="a4"/>
        <w:numPr>
          <w:ilvl w:val="0"/>
          <w:numId w:val="1"/>
        </w:numPr>
        <w:rPr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Запрещается принимать пищу, пить, курить, пользоваться косметикой в рабочих помещениях клинико-диагностических лабораторий.</w:t>
      </w:r>
    </w:p>
    <w:p w:rsidR="39BA4A74" w:rsidRDefault="39BA4A74" w:rsidP="39BA4A74">
      <w:pPr>
        <w:pStyle w:val="a4"/>
        <w:numPr>
          <w:ilvl w:val="0"/>
          <w:numId w:val="1"/>
        </w:numPr>
        <w:rPr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Каждый специалист клинико-диагностической лаборатории должен иметь индивидуальное полотенце для рук, сменяемое ежедневно, медицинский халат, меняющийся не реже 2 раз в неделю, в случаях загрязнения - немедленно.</w:t>
      </w:r>
    </w:p>
    <w:p w:rsidR="39BA4A74" w:rsidRDefault="39BA4A74" w:rsidP="39BA4A74">
      <w:pPr>
        <w:pStyle w:val="a4"/>
        <w:numPr>
          <w:ilvl w:val="0"/>
          <w:numId w:val="1"/>
        </w:numPr>
        <w:rPr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Специальную одежду перед стиркой дезинфицируют, замачивая в 1% растворе хлорамина или 3% растворе перекиси водорода с 0.5% моющим средством (температура раствора 50 градусов C), на 3 часа или </w:t>
      </w:r>
      <w:proofErr w:type="spellStart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автоклавируются</w:t>
      </w:r>
      <w:proofErr w:type="spellEnd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при температуре 120 градусов C +2, давлении 1.1 кг с/кв. см (0.1 МПа) в течение 45 минут. </w:t>
      </w:r>
      <w:proofErr w:type="gramStart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Пятна крови, попавшие на специальную одежду сразу же дезинфицируют</w:t>
      </w:r>
      <w:proofErr w:type="gramEnd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3% раствором хлорамина, промывают через 2 часа. Стирка халатов и другой специальной одежды на дому категорически запрещается.</w:t>
      </w:r>
    </w:p>
    <w:p w:rsidR="39BA4A74" w:rsidRDefault="39BA4A74" w:rsidP="39BA4A74">
      <w:pPr>
        <w:pStyle w:val="a4"/>
        <w:numPr>
          <w:ilvl w:val="0"/>
          <w:numId w:val="1"/>
        </w:numPr>
        <w:rPr>
          <w:color w:val="0A0A0A"/>
          <w:sz w:val="24"/>
          <w:szCs w:val="24"/>
        </w:rPr>
      </w:pPr>
      <w:proofErr w:type="gramStart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Иглы, капилляры, предметные стекла, пробирки, меланжеры, кюветы </w:t>
      </w:r>
      <w:proofErr w:type="spellStart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фотоэлектрокалориметров</w:t>
      </w:r>
      <w:proofErr w:type="spellEnd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, пипетки, наконечники, другая лабораторная посуда и инструменты после каждого использования подлежат дезинфекции в соответствии с приказом МЗ СССР от 12.07.1989 N 408 . Исключение составляют инструменты, используемые только для дозировки химических реактивов, не соприкасающиеся с биологическим материалом, которые следует обрабатывать в соответствии с технологическими требованиями.</w:t>
      </w:r>
      <w:proofErr w:type="gramEnd"/>
    </w:p>
    <w:p w:rsidR="39BA4A74" w:rsidRDefault="39BA4A74" w:rsidP="39BA4A74">
      <w:pPr>
        <w:pStyle w:val="a4"/>
        <w:numPr>
          <w:ilvl w:val="0"/>
          <w:numId w:val="1"/>
        </w:numPr>
        <w:rPr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Инструменты, загрязненные кровью, сывороткой перед дезинфекцией, подлежат предварительному промыванию в дезинфицирующем растворе той же концентрации. При дезинфекции изделий, имеющих внутренние каналы, раствор дезинфицирующего средства в объеме 5 - 10 мл пропускают через канал для удаления остатков крови, сыворотки и заполняют канал этим же раствором с помощью груши.</w:t>
      </w:r>
    </w:p>
    <w:p w:rsidR="39BA4A74" w:rsidRDefault="39BA4A74" w:rsidP="39BA4A74">
      <w:pPr>
        <w:pStyle w:val="a4"/>
        <w:numPr>
          <w:ilvl w:val="0"/>
          <w:numId w:val="1"/>
        </w:numPr>
        <w:rPr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Емкости для проведения дезинфекции должны быть четко маркированы (указывается название дезинфицирующего раствора, его концентрация, дата приготовления).</w:t>
      </w:r>
    </w:p>
    <w:p w:rsidR="39BA4A74" w:rsidRDefault="39BA4A74" w:rsidP="39BA4A74">
      <w:pPr>
        <w:pStyle w:val="a4"/>
        <w:numPr>
          <w:ilvl w:val="0"/>
          <w:numId w:val="1"/>
        </w:numPr>
        <w:rPr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В качестве дезинфицирующих растворов для изделий, указанных в п. 4.6 используются: 3% раствор хлорамина, хлорной извести, 6% перекиси водорода, </w:t>
      </w: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lastRenderedPageBreak/>
        <w:t>0.5% раствор ДП-2, экспозиция 60 минут. Дезинфицирующий раствор меняется по мере загрязнения, но не реже 1 раза в сутки.</w:t>
      </w:r>
    </w:p>
    <w:p w:rsidR="39BA4A74" w:rsidRDefault="39BA4A74" w:rsidP="39BA4A74">
      <w:pPr>
        <w:pStyle w:val="a4"/>
        <w:numPr>
          <w:ilvl w:val="0"/>
          <w:numId w:val="1"/>
        </w:numPr>
        <w:rPr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Предметные стекла с фиксированным и окрашенным мазком после проведения микроскопии, подлежат дезинфекции в 6% растворе перекиси водорода 60 мин., и необходимой технологической обработке.</w:t>
      </w:r>
    </w:p>
    <w:p w:rsidR="39BA4A74" w:rsidRDefault="39BA4A74" w:rsidP="39BA4A74">
      <w:pPr>
        <w:pStyle w:val="a4"/>
        <w:numPr>
          <w:ilvl w:val="0"/>
          <w:numId w:val="1"/>
        </w:numPr>
        <w:rPr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Остатки крови, мочи, других биологических жидкостей после исследования подлежат дезинфекции в специальной таре. Дезинфекция производится методом засыпания сухой хлорной известью, (нейтральным гипохлоритом кальция) в соотношении препарата и отходов 1:5 с экспозицией 60 мин.</w:t>
      </w:r>
    </w:p>
    <w:p w:rsidR="39BA4A74" w:rsidRDefault="39BA4A74" w:rsidP="39BA4A74">
      <w:pPr>
        <w:pStyle w:val="a4"/>
        <w:numPr>
          <w:ilvl w:val="0"/>
          <w:numId w:val="1"/>
        </w:numPr>
        <w:rPr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При удалении сгустков крови следует предварительно отделить материал от пробирки металлическим или из другого материала, подвергающегося дезинфекции, шпателем, который затем обеззараживается погружением в 3% раствор хлорамина на 1 час.</w:t>
      </w:r>
    </w:p>
    <w:p w:rsidR="39BA4A74" w:rsidRDefault="39BA4A74" w:rsidP="39BA4A74">
      <w:pPr>
        <w:pStyle w:val="a4"/>
        <w:numPr>
          <w:ilvl w:val="0"/>
          <w:numId w:val="1"/>
        </w:numPr>
        <w:rPr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После дезинфекции </w:t>
      </w:r>
      <w:proofErr w:type="gramStart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лабораторный инструментарий, соприкасающийся с раневой поверхностью или слизистыми оболочками подлежит</w:t>
      </w:r>
      <w:proofErr w:type="gramEnd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предстерилизационной</w:t>
      </w:r>
      <w:proofErr w:type="spellEnd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обработке, стерилизации. Посуда, соприкасающаяся с кровью или сывороткой и не предназначенная для последующего контакта с </w:t>
      </w:r>
      <w:proofErr w:type="gramStart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обследуемым</w:t>
      </w:r>
      <w:proofErr w:type="gramEnd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, после дезинфекции промывается под проточной водой и проходит необходимую технологическую обработку.</w:t>
      </w:r>
    </w:p>
    <w:p w:rsidR="39BA4A74" w:rsidRDefault="39BA4A74" w:rsidP="39BA4A74">
      <w:pPr>
        <w:pStyle w:val="a4"/>
        <w:numPr>
          <w:ilvl w:val="0"/>
          <w:numId w:val="1"/>
        </w:numPr>
        <w:rPr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Качество </w:t>
      </w:r>
      <w:proofErr w:type="spellStart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предстерилизационной</w:t>
      </w:r>
      <w:proofErr w:type="spellEnd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очистки изделий оценивают путем постановки </w:t>
      </w:r>
      <w:proofErr w:type="spellStart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азопирамовой</w:t>
      </w:r>
      <w:proofErr w:type="spellEnd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(</w:t>
      </w:r>
      <w:proofErr w:type="spellStart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амидопириновой</w:t>
      </w:r>
      <w:proofErr w:type="spellEnd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) пробы на наличие скрытой крови, фенолфталеиновой - на наличие остаточного количества моющего средства ежедневно. Контролю подлежит 1% обработанного инструментария, но не менее 3 - 5 единиц.</w:t>
      </w:r>
    </w:p>
    <w:p w:rsidR="39BA4A74" w:rsidRDefault="39BA4A74" w:rsidP="39BA4A74">
      <w:pPr>
        <w:pStyle w:val="a4"/>
        <w:numPr>
          <w:ilvl w:val="0"/>
          <w:numId w:val="1"/>
        </w:numPr>
        <w:rPr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При положительной пробе на кровь или моющее средство, всю группу контролируемых изделий подвергают повторной обработке.</w:t>
      </w:r>
    </w:p>
    <w:p w:rsidR="39BA4A74" w:rsidRDefault="39BA4A74" w:rsidP="39BA4A74">
      <w:pPr>
        <w:pStyle w:val="a4"/>
        <w:numPr>
          <w:ilvl w:val="0"/>
          <w:numId w:val="1"/>
        </w:numPr>
        <w:rPr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Результаты контроля качества </w:t>
      </w:r>
      <w:proofErr w:type="spellStart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предстерилизационной</w:t>
      </w:r>
      <w:proofErr w:type="spellEnd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обработки фиксируются в "Журнале учета </w:t>
      </w:r>
      <w:proofErr w:type="spellStart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предстерилизационной</w:t>
      </w:r>
      <w:proofErr w:type="spellEnd"/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обработки" по ф. 366у, утвержденной Приказом МЗ СССР N 1030 от 04.10.1980.</w:t>
      </w:r>
    </w:p>
    <w:p w:rsidR="39BA4A74" w:rsidRDefault="39BA4A74" w:rsidP="39BA4A74">
      <w:pPr>
        <w:pStyle w:val="a4"/>
        <w:numPr>
          <w:ilvl w:val="0"/>
          <w:numId w:val="1"/>
        </w:numPr>
        <w:rPr>
          <w:color w:val="0A0A0A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A0A0A"/>
          <w:sz w:val="24"/>
          <w:szCs w:val="24"/>
        </w:rPr>
        <w:t>Блоки кювет - анализатора ФП, кюветы измерительной аппаратуры, пластиковые пробирки обеззараживаются только 6% раствором перекиси водорода и промываются проточной водой.</w:t>
      </w:r>
    </w:p>
    <w:p w:rsidR="39BA4A74" w:rsidRDefault="39BA4A74" w:rsidP="39BA4A74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Качественные реакции на органические вещества</w:t>
      </w:r>
    </w:p>
    <w:tbl>
      <w:tblPr>
        <w:tblStyle w:val="a3"/>
        <w:tblW w:w="0" w:type="auto"/>
        <w:jc w:val="center"/>
        <w:tblLayout w:type="fixed"/>
        <w:tblLook w:val="06A0"/>
      </w:tblPr>
      <w:tblGrid>
        <w:gridCol w:w="1545"/>
        <w:gridCol w:w="2100"/>
        <w:gridCol w:w="3120"/>
        <w:gridCol w:w="2385"/>
      </w:tblGrid>
      <w:tr w:rsidR="39BA4A74" w:rsidTr="39BA4A74">
        <w:trPr>
          <w:jc w:val="center"/>
        </w:trPr>
        <w:tc>
          <w:tcPr>
            <w:tcW w:w="154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Вещество, функциональная группа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Реактив</w:t>
            </w:r>
          </w:p>
        </w:tc>
        <w:tc>
          <w:tcPr>
            <w:tcW w:w="312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Схема реакции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Характерные признаки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  <w:vMerge w:val="restart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Непредельные углеводороды (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алкены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алкины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диены), кратные связи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KMnO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(розовый)</w:t>
            </w:r>
          </w:p>
        </w:tc>
        <w:tc>
          <w:tcPr>
            <w:tcW w:w="312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=СН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Н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+ КMnO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→ КОН + MnO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↓+ СН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(ОН</w:t>
            </w:r>
            <w:proofErr w:type="gram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)-</w:t>
            </w:r>
            <w:proofErr w:type="gram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(ОН)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обесцвечивание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р-ра</w:t>
            </w:r>
            <w:proofErr w:type="spellEnd"/>
          </w:p>
        </w:tc>
      </w:tr>
      <w:tr w:rsidR="39BA4A74" w:rsidTr="39BA4A74">
        <w:trPr>
          <w:jc w:val="center"/>
        </w:trPr>
        <w:tc>
          <w:tcPr>
            <w:tcW w:w="1545" w:type="dxa"/>
            <w:vMerge/>
          </w:tcPr>
          <w:p w:rsidR="00583C79" w:rsidRDefault="00583C79"/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(бурый)</w:t>
            </w:r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</w:t>
            </w:r>
            <w:proofErr w:type="gramStart"/>
            <w:r w:rsidRPr="006F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proofErr w:type="gramEnd"/>
            <w:r w:rsidRPr="006F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</w:t>
            </w:r>
            <w:r w:rsidRPr="006F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-C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F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6F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+ I</w:t>
            </w:r>
            <w:r w:rsidRPr="006F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→ 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</w:t>
            </w:r>
            <w:r w:rsidRPr="006F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(I)-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</w:t>
            </w:r>
            <w:r w:rsidRPr="006F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(I)-CH</w:t>
            </w:r>
            <w:r w:rsidRPr="006F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обесцвечивание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р-ра</w:t>
            </w:r>
            <w:proofErr w:type="spellEnd"/>
          </w:p>
        </w:tc>
      </w:tr>
      <w:tr w:rsidR="39BA4A74" w:rsidTr="39BA4A74">
        <w:trPr>
          <w:jc w:val="center"/>
        </w:trPr>
        <w:tc>
          <w:tcPr>
            <w:tcW w:w="1545" w:type="dxa"/>
            <w:vMerge/>
          </w:tcPr>
          <w:p w:rsidR="00583C79" w:rsidRDefault="00583C79"/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Br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(желтый)</w:t>
            </w:r>
          </w:p>
        </w:tc>
        <w:tc>
          <w:tcPr>
            <w:tcW w:w="312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</w:t>
            </w:r>
            <w:proofErr w:type="gram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proofErr w:type="gram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=СН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Br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→ СН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)-СН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обесцвечивание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р-ра</w:t>
            </w:r>
            <w:proofErr w:type="spellEnd"/>
          </w:p>
        </w:tc>
      </w:tr>
      <w:tr w:rsidR="39BA4A74" w:rsidTr="39BA4A74">
        <w:trPr>
          <w:jc w:val="center"/>
        </w:trPr>
        <w:tc>
          <w:tcPr>
            <w:tcW w:w="154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Ацетилен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аммиачныйр-р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Ag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312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СН≡СН + [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Ag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(NH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]OH →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AgC≡CAg↓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+ NH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↑ + H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осадка желтого цвета 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proofErr w:type="gram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взрывоопасен</w:t>
            </w:r>
            <w:proofErr w:type="gram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Бензол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нитрующая смесь HNO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H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t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0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C, </w:t>
            </w:r>
            <w:proofErr w:type="gramStart"/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SO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конц</w:t>
            </w:r>
            <w:proofErr w:type="spellEnd"/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.)</w:t>
            </w:r>
          </w:p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HNO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 xml:space="preserve">3     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   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-NO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тяжелой жидкости светло-желтого цвета с запахом горького миндаля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Толуол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KMnO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(розовый)</w:t>
            </w:r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-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СН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KMnO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SO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-COOH + 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 + K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SO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MnSO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обесцвечивание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р-ра</w:t>
            </w:r>
            <w:proofErr w:type="spellEnd"/>
          </w:p>
        </w:tc>
      </w:tr>
      <w:tr w:rsidR="39BA4A74" w:rsidTr="39BA4A74">
        <w:trPr>
          <w:jc w:val="center"/>
        </w:trPr>
        <w:tc>
          <w:tcPr>
            <w:tcW w:w="1545" w:type="dxa"/>
            <w:vMerge w:val="restart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Фенол (карболовая кислота)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FeCl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(светло-желтый)</w:t>
            </w:r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OH + FeCl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(C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O)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Fe + </w:t>
            </w:r>
            <w:proofErr w:type="spellStart"/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окрашиваниер-ра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фиолетовый цвет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  <w:vMerge/>
          </w:tcPr>
          <w:p w:rsidR="00583C79" w:rsidRDefault="00583C79"/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насыщенный</w:t>
            </w:r>
            <w:proofErr w:type="gram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Br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(бромная вода)</w:t>
            </w:r>
          </w:p>
        </w:tc>
        <w:tc>
          <w:tcPr>
            <w:tcW w:w="312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OH + Br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→ C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Br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OH↓ +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HBr</w:t>
            </w:r>
            <w:proofErr w:type="spellEnd"/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белого осадка со специфическим запахом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Анилин (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аминобензол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хлорной извести CaOCl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бесцветный</w:t>
            </w:r>
            <w:proofErr w:type="gram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2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окрашиваниер-ра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фиолетовый цвет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  <w:vMerge w:val="restart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Этанол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насыщенный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OH + I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NaOH</w:t>
            </w:r>
            <w:proofErr w:type="spellEnd"/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CHI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↓ + </w:t>
            </w:r>
            <w:proofErr w:type="spellStart"/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HCOONa</w:t>
            </w:r>
            <w:proofErr w:type="spellEnd"/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NaI</w:t>
            </w:r>
            <w:proofErr w:type="spellEnd"/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мелкокристаллического осадка СНI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светло-желтого цвета со специфическим запахом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  <w:vMerge/>
          </w:tcPr>
          <w:p w:rsidR="00583C79" w:rsidRDefault="00583C79"/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CuO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(прокаленная медная проволока)</w:t>
            </w:r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</w:t>
            </w:r>
            <w:r w:rsidRPr="006F0315">
              <w:rPr>
                <w:lang w:val="en-US"/>
              </w:rPr>
              <w:br/>
            </w:r>
          </w:p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OH + </w:t>
            </w:r>
            <w:proofErr w:type="spellStart"/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CuO</w:t>
            </w:r>
            <w:proofErr w:type="spellEnd"/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Cu↓ + CH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-CHO + 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выделение металлической меди, специфический запах ацетальдегида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Гидроксогруппа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(спирты, фенол,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гидроксикислоты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Металлический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br/>
            </w:r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R-OH + Na → R-O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—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Na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↑</w:t>
            </w:r>
          </w:p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-OH + Na → 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-O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—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Na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↑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выделение  пузырьков газа (Н</w:t>
            </w:r>
            <w:proofErr w:type="gram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proofErr w:type="gram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образование бесцветной студенистой массы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Эфиры (простые и сложные)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(гидролиз) в присутствии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NaOH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нагревании</w:t>
            </w:r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-C(O)-O-C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 ↔ CH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COOH + 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OH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специфический запах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Многоатомные спирты, глюкоза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Свежеосажденный</w:t>
            </w:r>
            <w:proofErr w:type="gram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гидроксид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меди (II) в сильно щелочной среде</w:t>
            </w:r>
          </w:p>
        </w:tc>
        <w:tc>
          <w:tcPr>
            <w:tcW w:w="312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32041" cy="984738"/>
                  <wp:effectExtent l="0" t="0" r="0" b="0"/>
                  <wp:docPr id="1959356802" name="" descr="глицерат меди, качественная реакция на многоатомные спи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041" cy="98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ярко-синее окрашивание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р-ра</w:t>
            </w:r>
            <w:proofErr w:type="spellEnd"/>
          </w:p>
        </w:tc>
      </w:tr>
      <w:tr w:rsidR="39BA4A74" w:rsidTr="39BA4A74">
        <w:trPr>
          <w:jc w:val="center"/>
        </w:trPr>
        <w:tc>
          <w:tcPr>
            <w:tcW w:w="1545" w:type="dxa"/>
            <w:vMerge w:val="restart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Карбонильная группа  – СНО (альдегиды, глюкоза)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Аммиачный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Ag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R-CHO + [Ag(NH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]OH →  R-COOH + Ag↓ + NH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↑ + 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блестящего налета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(«серебряное зеркало») на стенках сосудов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  <w:vMerge/>
          </w:tcPr>
          <w:p w:rsidR="00583C79" w:rsidRDefault="00583C79"/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Свежеосажденный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proofErr w:type="spellEnd"/>
            <w:proofErr w:type="gram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(OH)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315">
              <w:rPr>
                <w:lang w:val="en-US"/>
              </w:rPr>
              <w:br/>
            </w:r>
          </w:p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R-CHO + Cu(OH)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R-COOH + Cu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O↓ + 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красного осадка Сu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  <w:vMerge w:val="restart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Карбоновые кислоты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лакмус</w:t>
            </w:r>
          </w:p>
        </w:tc>
        <w:tc>
          <w:tcPr>
            <w:tcW w:w="312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окрашивание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р-ра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розовый цвет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  <w:vMerge/>
          </w:tcPr>
          <w:p w:rsidR="00583C79" w:rsidRDefault="00583C79"/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R-COOH + Na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CO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R-COO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—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Na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 + CO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↑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выделение СО</w:t>
            </w:r>
            <w:proofErr w:type="gram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39BA4A74" w:rsidTr="39BA4A74">
        <w:trPr>
          <w:jc w:val="center"/>
        </w:trPr>
        <w:tc>
          <w:tcPr>
            <w:tcW w:w="1545" w:type="dxa"/>
            <w:vMerge/>
          </w:tcPr>
          <w:p w:rsidR="00583C79" w:rsidRDefault="00583C79"/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спирт +H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 (КОНЦ.)</w:t>
            </w:r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R-COOH + HO-R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↔ RC(O)OR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специфический запах образующегося сложного эфира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  <w:vMerge w:val="restart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Муравьиная кислота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лакмус</w:t>
            </w:r>
          </w:p>
        </w:tc>
        <w:tc>
          <w:tcPr>
            <w:tcW w:w="312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окрашивание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р-ра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розовый цвет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  <w:vMerge/>
          </w:tcPr>
          <w:p w:rsidR="00583C79" w:rsidRDefault="00583C79"/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Свежеосажденный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proofErr w:type="spellEnd"/>
            <w:proofErr w:type="gram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(OH)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315">
              <w:rPr>
                <w:lang w:val="en-US"/>
              </w:rPr>
              <w:br/>
            </w:r>
          </w:p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HCOOH + Cu(OH)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 Cu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O↓  + 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 + CO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↑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красного осадка Сu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  <w:vMerge/>
          </w:tcPr>
          <w:p w:rsidR="00583C79" w:rsidRDefault="00583C79"/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аммиачныйр-р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Ag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315">
              <w:rPr>
                <w:lang w:val="en-US"/>
              </w:rPr>
              <w:br/>
            </w:r>
          </w:p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HCOOH + [Ag(NH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]OH  →  Ag↓  + 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 + CO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↑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«серебряное зеркало» на стенках сосуда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Олеиновая кислота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KMnO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(розовый) или I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(бурый) или Br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(желтый)</w:t>
            </w:r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17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COOH + KMnO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 →</w:t>
            </w:r>
          </w:p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8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17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-CH(OH)-CH(OH)-(CH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7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-COOH + MnO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↓ + KOH</w:t>
            </w:r>
          </w:p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17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COOH + I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8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17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-CH(I)-CH(I)-(CH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7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-COOH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обесцвечивание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р-ра</w:t>
            </w:r>
            <w:proofErr w:type="spellEnd"/>
          </w:p>
        </w:tc>
      </w:tr>
      <w:tr w:rsidR="39BA4A74" w:rsidTr="39BA4A74">
        <w:trPr>
          <w:jc w:val="center"/>
        </w:trPr>
        <w:tc>
          <w:tcPr>
            <w:tcW w:w="154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Ацетаты (соли уксусной кислоты)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FeCl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COONa + FeCl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(CH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COO)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Fe + </w:t>
            </w:r>
            <w:proofErr w:type="spellStart"/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окрашивание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р-ра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красно-бурый цвет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  <w:vMerge w:val="restart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Стеарат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натрия (мыло)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(гидролиз) + фенолфталеин</w:t>
            </w:r>
          </w:p>
        </w:tc>
        <w:tc>
          <w:tcPr>
            <w:tcW w:w="312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17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35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COONa + H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 ↔ C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17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35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COOH↓ +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окрашивание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р-ра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малиновый цвет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  <w:vMerge/>
          </w:tcPr>
          <w:p w:rsidR="00583C79" w:rsidRDefault="00583C79"/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насыщенный</w:t>
            </w:r>
            <w:proofErr w:type="gram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соли кальция</w:t>
            </w:r>
          </w:p>
        </w:tc>
        <w:tc>
          <w:tcPr>
            <w:tcW w:w="3120" w:type="dxa"/>
          </w:tcPr>
          <w:p w:rsidR="39BA4A74" w:rsidRPr="006F0315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17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35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COONa + Ca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2+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↔ (C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17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35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COO)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Ca↓ + Na</w:t>
            </w:r>
            <w:r w:rsidRPr="006F03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серого осадка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  <w:vMerge/>
          </w:tcPr>
          <w:p w:rsidR="00583C79" w:rsidRDefault="00583C79"/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Концентрированная неорганическая кислота</w:t>
            </w:r>
          </w:p>
        </w:tc>
        <w:tc>
          <w:tcPr>
            <w:tcW w:w="312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17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35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COONa + H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↔ C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17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35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COOH↓ +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</w:t>
            </w: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>+</w:t>
            </w:r>
            <w:proofErr w:type="spellEnd"/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белого осадка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  <w:vMerge w:val="restart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Белок</w:t>
            </w:r>
          </w:p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пламя</w:t>
            </w:r>
          </w:p>
        </w:tc>
        <w:tc>
          <w:tcPr>
            <w:tcW w:w="312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реакция горения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запах «паленого», жженых перьев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  <w:vMerge/>
          </w:tcPr>
          <w:p w:rsidR="00583C79" w:rsidRDefault="00583C79"/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НNO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 (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конц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.)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°С</w:t>
            </w:r>
          </w:p>
        </w:tc>
        <w:tc>
          <w:tcPr>
            <w:tcW w:w="312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ксантопротеиновая реакция (происходит нитрование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бензольных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колец в молекуле белка)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без нагревания – появляется желтое окрашивание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р-ра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при нагревании и добавлении раствора аммиака белок окрашивается в 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желтый цвет</w:t>
            </w:r>
          </w:p>
        </w:tc>
      </w:tr>
      <w:tr w:rsidR="39BA4A74" w:rsidTr="39BA4A74">
        <w:trPr>
          <w:jc w:val="center"/>
        </w:trPr>
        <w:tc>
          <w:tcPr>
            <w:tcW w:w="1545" w:type="dxa"/>
            <w:vMerge/>
          </w:tcPr>
          <w:p w:rsidR="00583C79" w:rsidRDefault="00583C79"/>
        </w:tc>
        <w:tc>
          <w:tcPr>
            <w:tcW w:w="210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Свежеосажденный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proofErr w:type="spellEnd"/>
            <w:proofErr w:type="gramEnd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(OH)</w:t>
            </w: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20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биуретовая</w:t>
            </w:r>
            <w:proofErr w:type="spellEnd"/>
            <w:r w:rsidRPr="39BA4A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реакция (образуется комплексное соединение)</w:t>
            </w:r>
          </w:p>
        </w:tc>
        <w:tc>
          <w:tcPr>
            <w:tcW w:w="2385" w:type="dxa"/>
          </w:tcPr>
          <w:p w:rsidR="39BA4A74" w:rsidRDefault="39BA4A74" w:rsidP="39BA4A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сине-фиолетовое окрашивание </w:t>
            </w:r>
            <w:proofErr w:type="spellStart"/>
            <w:r w:rsidRPr="39BA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р-ра</w:t>
            </w:r>
            <w:proofErr w:type="spellEnd"/>
          </w:p>
        </w:tc>
      </w:tr>
    </w:tbl>
    <w:p w:rsidR="39BA4A74" w:rsidRDefault="39BA4A74" w:rsidP="39BA4A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39BA4A74" w:rsidRDefault="39BA4A74" w:rsidP="39BA4A74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39BA4A74" w:rsidRDefault="39BA4A74" w:rsidP="39BA4A74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39BA4A74" w:rsidRDefault="39BA4A74" w:rsidP="39BA4A74">
      <w:r w:rsidRPr="39BA4A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sectPr w:rsidR="39BA4A74" w:rsidSect="00583C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E7A"/>
    <w:multiLevelType w:val="hybridMultilevel"/>
    <w:tmpl w:val="618A4AF8"/>
    <w:lvl w:ilvl="0" w:tplc="6916E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C4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E4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AD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AB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0F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86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2F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2E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4FBE"/>
    <w:multiLevelType w:val="hybridMultilevel"/>
    <w:tmpl w:val="E2A2066A"/>
    <w:lvl w:ilvl="0" w:tplc="721C3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62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41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6F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21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65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C2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AF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EC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209B"/>
    <w:multiLevelType w:val="hybridMultilevel"/>
    <w:tmpl w:val="29CCD48E"/>
    <w:lvl w:ilvl="0" w:tplc="EE5AA028">
      <w:start w:val="1"/>
      <w:numFmt w:val="decimal"/>
      <w:lvlText w:val="%1."/>
      <w:lvlJc w:val="left"/>
      <w:pPr>
        <w:ind w:left="720" w:hanging="360"/>
      </w:pPr>
    </w:lvl>
    <w:lvl w:ilvl="1" w:tplc="AF747CD6">
      <w:start w:val="1"/>
      <w:numFmt w:val="lowerLetter"/>
      <w:lvlText w:val="%2."/>
      <w:lvlJc w:val="left"/>
      <w:pPr>
        <w:ind w:left="1440" w:hanging="360"/>
      </w:pPr>
    </w:lvl>
    <w:lvl w:ilvl="2" w:tplc="93A6DDDC">
      <w:start w:val="1"/>
      <w:numFmt w:val="lowerRoman"/>
      <w:lvlText w:val="%3."/>
      <w:lvlJc w:val="right"/>
      <w:pPr>
        <w:ind w:left="2160" w:hanging="180"/>
      </w:pPr>
    </w:lvl>
    <w:lvl w:ilvl="3" w:tplc="FC725220">
      <w:start w:val="1"/>
      <w:numFmt w:val="decimal"/>
      <w:lvlText w:val="%4."/>
      <w:lvlJc w:val="left"/>
      <w:pPr>
        <w:ind w:left="2880" w:hanging="360"/>
      </w:pPr>
    </w:lvl>
    <w:lvl w:ilvl="4" w:tplc="F67226B0">
      <w:start w:val="1"/>
      <w:numFmt w:val="lowerLetter"/>
      <w:lvlText w:val="%5."/>
      <w:lvlJc w:val="left"/>
      <w:pPr>
        <w:ind w:left="3600" w:hanging="360"/>
      </w:pPr>
    </w:lvl>
    <w:lvl w:ilvl="5" w:tplc="7B68CC98">
      <w:start w:val="1"/>
      <w:numFmt w:val="lowerRoman"/>
      <w:lvlText w:val="%6."/>
      <w:lvlJc w:val="right"/>
      <w:pPr>
        <w:ind w:left="4320" w:hanging="180"/>
      </w:pPr>
    </w:lvl>
    <w:lvl w:ilvl="6" w:tplc="7ECA7C92">
      <w:start w:val="1"/>
      <w:numFmt w:val="decimal"/>
      <w:lvlText w:val="%7."/>
      <w:lvlJc w:val="left"/>
      <w:pPr>
        <w:ind w:left="5040" w:hanging="360"/>
      </w:pPr>
    </w:lvl>
    <w:lvl w:ilvl="7" w:tplc="61020460">
      <w:start w:val="1"/>
      <w:numFmt w:val="lowerLetter"/>
      <w:lvlText w:val="%8."/>
      <w:lvlJc w:val="left"/>
      <w:pPr>
        <w:ind w:left="5760" w:hanging="360"/>
      </w:pPr>
    </w:lvl>
    <w:lvl w:ilvl="8" w:tplc="2CBA692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ACC"/>
    <w:multiLevelType w:val="hybridMultilevel"/>
    <w:tmpl w:val="0602EB46"/>
    <w:lvl w:ilvl="0" w:tplc="5E9E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C4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A2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4A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3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08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C2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02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40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C5AC3"/>
    <w:multiLevelType w:val="hybridMultilevel"/>
    <w:tmpl w:val="8B12BD7E"/>
    <w:lvl w:ilvl="0" w:tplc="FD764D7E">
      <w:start w:val="1"/>
      <w:numFmt w:val="decimal"/>
      <w:lvlText w:val="%1."/>
      <w:lvlJc w:val="left"/>
      <w:pPr>
        <w:ind w:left="720" w:hanging="360"/>
      </w:pPr>
    </w:lvl>
    <w:lvl w:ilvl="1" w:tplc="69208CE0">
      <w:start w:val="1"/>
      <w:numFmt w:val="lowerLetter"/>
      <w:lvlText w:val="%2."/>
      <w:lvlJc w:val="left"/>
      <w:pPr>
        <w:ind w:left="1440" w:hanging="360"/>
      </w:pPr>
    </w:lvl>
    <w:lvl w:ilvl="2" w:tplc="14648E22">
      <w:start w:val="1"/>
      <w:numFmt w:val="lowerRoman"/>
      <w:lvlText w:val="%3."/>
      <w:lvlJc w:val="right"/>
      <w:pPr>
        <w:ind w:left="2160" w:hanging="180"/>
      </w:pPr>
    </w:lvl>
    <w:lvl w:ilvl="3" w:tplc="32A66B4A">
      <w:start w:val="1"/>
      <w:numFmt w:val="decimal"/>
      <w:lvlText w:val="%4."/>
      <w:lvlJc w:val="left"/>
      <w:pPr>
        <w:ind w:left="2880" w:hanging="360"/>
      </w:pPr>
    </w:lvl>
    <w:lvl w:ilvl="4" w:tplc="5EB23778">
      <w:start w:val="1"/>
      <w:numFmt w:val="lowerLetter"/>
      <w:lvlText w:val="%5."/>
      <w:lvlJc w:val="left"/>
      <w:pPr>
        <w:ind w:left="3600" w:hanging="360"/>
      </w:pPr>
    </w:lvl>
    <w:lvl w:ilvl="5" w:tplc="499675DE">
      <w:start w:val="1"/>
      <w:numFmt w:val="lowerRoman"/>
      <w:lvlText w:val="%6."/>
      <w:lvlJc w:val="right"/>
      <w:pPr>
        <w:ind w:left="4320" w:hanging="180"/>
      </w:pPr>
    </w:lvl>
    <w:lvl w:ilvl="6" w:tplc="69EE51F4">
      <w:start w:val="1"/>
      <w:numFmt w:val="decimal"/>
      <w:lvlText w:val="%7."/>
      <w:lvlJc w:val="left"/>
      <w:pPr>
        <w:ind w:left="5040" w:hanging="360"/>
      </w:pPr>
    </w:lvl>
    <w:lvl w:ilvl="7" w:tplc="7B46904A">
      <w:start w:val="1"/>
      <w:numFmt w:val="lowerLetter"/>
      <w:lvlText w:val="%8."/>
      <w:lvlJc w:val="left"/>
      <w:pPr>
        <w:ind w:left="5760" w:hanging="360"/>
      </w:pPr>
    </w:lvl>
    <w:lvl w:ilvl="8" w:tplc="DFC051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773E2"/>
    <w:multiLevelType w:val="hybridMultilevel"/>
    <w:tmpl w:val="FFDC5092"/>
    <w:lvl w:ilvl="0" w:tplc="50D8F710">
      <w:start w:val="1"/>
      <w:numFmt w:val="decimal"/>
      <w:lvlText w:val="%1."/>
      <w:lvlJc w:val="left"/>
      <w:pPr>
        <w:ind w:left="720" w:hanging="360"/>
      </w:pPr>
    </w:lvl>
    <w:lvl w:ilvl="1" w:tplc="E83616F6">
      <w:start w:val="1"/>
      <w:numFmt w:val="lowerLetter"/>
      <w:lvlText w:val="%2."/>
      <w:lvlJc w:val="left"/>
      <w:pPr>
        <w:ind w:left="1440" w:hanging="360"/>
      </w:pPr>
    </w:lvl>
    <w:lvl w:ilvl="2" w:tplc="561E270A">
      <w:start w:val="1"/>
      <w:numFmt w:val="lowerRoman"/>
      <w:lvlText w:val="%3."/>
      <w:lvlJc w:val="right"/>
      <w:pPr>
        <w:ind w:left="2160" w:hanging="180"/>
      </w:pPr>
    </w:lvl>
    <w:lvl w:ilvl="3" w:tplc="FD38CF90">
      <w:start w:val="1"/>
      <w:numFmt w:val="decimal"/>
      <w:lvlText w:val="%4."/>
      <w:lvlJc w:val="left"/>
      <w:pPr>
        <w:ind w:left="2880" w:hanging="360"/>
      </w:pPr>
    </w:lvl>
    <w:lvl w:ilvl="4" w:tplc="441E7E22">
      <w:start w:val="1"/>
      <w:numFmt w:val="lowerLetter"/>
      <w:lvlText w:val="%5."/>
      <w:lvlJc w:val="left"/>
      <w:pPr>
        <w:ind w:left="3600" w:hanging="360"/>
      </w:pPr>
    </w:lvl>
    <w:lvl w:ilvl="5" w:tplc="7E4ED5CE">
      <w:start w:val="1"/>
      <w:numFmt w:val="lowerRoman"/>
      <w:lvlText w:val="%6."/>
      <w:lvlJc w:val="right"/>
      <w:pPr>
        <w:ind w:left="4320" w:hanging="180"/>
      </w:pPr>
    </w:lvl>
    <w:lvl w:ilvl="6" w:tplc="E300F150">
      <w:start w:val="1"/>
      <w:numFmt w:val="decimal"/>
      <w:lvlText w:val="%7."/>
      <w:lvlJc w:val="left"/>
      <w:pPr>
        <w:ind w:left="5040" w:hanging="360"/>
      </w:pPr>
    </w:lvl>
    <w:lvl w:ilvl="7" w:tplc="1B002424">
      <w:start w:val="1"/>
      <w:numFmt w:val="lowerLetter"/>
      <w:lvlText w:val="%8."/>
      <w:lvlJc w:val="left"/>
      <w:pPr>
        <w:ind w:left="5760" w:hanging="360"/>
      </w:pPr>
    </w:lvl>
    <w:lvl w:ilvl="8" w:tplc="EA0A23D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70C0"/>
    <w:multiLevelType w:val="hybridMultilevel"/>
    <w:tmpl w:val="98080860"/>
    <w:lvl w:ilvl="0" w:tplc="97F4E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2E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E2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C5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07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6B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0D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04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084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42064"/>
    <w:multiLevelType w:val="hybridMultilevel"/>
    <w:tmpl w:val="86A6105E"/>
    <w:lvl w:ilvl="0" w:tplc="5A6A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4A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0E9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83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66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48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60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E7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8D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5693A"/>
    <w:multiLevelType w:val="hybridMultilevel"/>
    <w:tmpl w:val="2C8C48CC"/>
    <w:lvl w:ilvl="0" w:tplc="23A0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4B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4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8D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60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2B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81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44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AA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30B45"/>
    <w:multiLevelType w:val="hybridMultilevel"/>
    <w:tmpl w:val="2DD21CFA"/>
    <w:lvl w:ilvl="0" w:tplc="EBE8C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AC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66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CE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E1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A4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47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23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81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A66F8"/>
    <w:multiLevelType w:val="hybridMultilevel"/>
    <w:tmpl w:val="0BE0F9B2"/>
    <w:lvl w:ilvl="0" w:tplc="DB980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64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01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EB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6E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A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66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27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229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F4729"/>
    <w:multiLevelType w:val="hybridMultilevel"/>
    <w:tmpl w:val="71E4BD88"/>
    <w:lvl w:ilvl="0" w:tplc="8D52F99A">
      <w:start w:val="1"/>
      <w:numFmt w:val="decimal"/>
      <w:lvlText w:val="%1."/>
      <w:lvlJc w:val="left"/>
      <w:pPr>
        <w:ind w:left="720" w:hanging="360"/>
      </w:pPr>
    </w:lvl>
    <w:lvl w:ilvl="1" w:tplc="2C1213E8">
      <w:start w:val="1"/>
      <w:numFmt w:val="lowerLetter"/>
      <w:lvlText w:val="%2."/>
      <w:lvlJc w:val="left"/>
      <w:pPr>
        <w:ind w:left="1440" w:hanging="360"/>
      </w:pPr>
    </w:lvl>
    <w:lvl w:ilvl="2" w:tplc="F7423C92">
      <w:start w:val="1"/>
      <w:numFmt w:val="lowerRoman"/>
      <w:lvlText w:val="%3."/>
      <w:lvlJc w:val="right"/>
      <w:pPr>
        <w:ind w:left="2160" w:hanging="180"/>
      </w:pPr>
    </w:lvl>
    <w:lvl w:ilvl="3" w:tplc="12EC465C">
      <w:start w:val="1"/>
      <w:numFmt w:val="decimal"/>
      <w:lvlText w:val="%4."/>
      <w:lvlJc w:val="left"/>
      <w:pPr>
        <w:ind w:left="2880" w:hanging="360"/>
      </w:pPr>
    </w:lvl>
    <w:lvl w:ilvl="4" w:tplc="CE7AA670">
      <w:start w:val="1"/>
      <w:numFmt w:val="lowerLetter"/>
      <w:lvlText w:val="%5."/>
      <w:lvlJc w:val="left"/>
      <w:pPr>
        <w:ind w:left="3600" w:hanging="360"/>
      </w:pPr>
    </w:lvl>
    <w:lvl w:ilvl="5" w:tplc="7FE03E14">
      <w:start w:val="1"/>
      <w:numFmt w:val="lowerRoman"/>
      <w:lvlText w:val="%6."/>
      <w:lvlJc w:val="right"/>
      <w:pPr>
        <w:ind w:left="4320" w:hanging="180"/>
      </w:pPr>
    </w:lvl>
    <w:lvl w:ilvl="6" w:tplc="F0F8FC10">
      <w:start w:val="1"/>
      <w:numFmt w:val="decimal"/>
      <w:lvlText w:val="%7."/>
      <w:lvlJc w:val="left"/>
      <w:pPr>
        <w:ind w:left="5040" w:hanging="360"/>
      </w:pPr>
    </w:lvl>
    <w:lvl w:ilvl="7" w:tplc="7EC8654A">
      <w:start w:val="1"/>
      <w:numFmt w:val="lowerLetter"/>
      <w:lvlText w:val="%8."/>
      <w:lvlJc w:val="left"/>
      <w:pPr>
        <w:ind w:left="5760" w:hanging="360"/>
      </w:pPr>
    </w:lvl>
    <w:lvl w:ilvl="8" w:tplc="5D16A9F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C502E"/>
    <w:multiLevelType w:val="hybridMultilevel"/>
    <w:tmpl w:val="717E9286"/>
    <w:lvl w:ilvl="0" w:tplc="84FC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28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C2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CA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68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00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47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62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87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C0835"/>
    <w:multiLevelType w:val="hybridMultilevel"/>
    <w:tmpl w:val="0218BE7E"/>
    <w:lvl w:ilvl="0" w:tplc="676C0988">
      <w:start w:val="1"/>
      <w:numFmt w:val="decimal"/>
      <w:lvlText w:val="%1."/>
      <w:lvlJc w:val="left"/>
      <w:pPr>
        <w:ind w:left="720" w:hanging="360"/>
      </w:pPr>
    </w:lvl>
    <w:lvl w:ilvl="1" w:tplc="F7700624">
      <w:start w:val="1"/>
      <w:numFmt w:val="lowerLetter"/>
      <w:lvlText w:val="%2."/>
      <w:lvlJc w:val="left"/>
      <w:pPr>
        <w:ind w:left="1440" w:hanging="360"/>
      </w:pPr>
    </w:lvl>
    <w:lvl w:ilvl="2" w:tplc="1700B468">
      <w:start w:val="1"/>
      <w:numFmt w:val="lowerRoman"/>
      <w:lvlText w:val="%3."/>
      <w:lvlJc w:val="right"/>
      <w:pPr>
        <w:ind w:left="2160" w:hanging="180"/>
      </w:pPr>
    </w:lvl>
    <w:lvl w:ilvl="3" w:tplc="9D86BA74">
      <w:start w:val="1"/>
      <w:numFmt w:val="decimal"/>
      <w:lvlText w:val="%4."/>
      <w:lvlJc w:val="left"/>
      <w:pPr>
        <w:ind w:left="2880" w:hanging="360"/>
      </w:pPr>
    </w:lvl>
    <w:lvl w:ilvl="4" w:tplc="73260A60">
      <w:start w:val="1"/>
      <w:numFmt w:val="lowerLetter"/>
      <w:lvlText w:val="%5."/>
      <w:lvlJc w:val="left"/>
      <w:pPr>
        <w:ind w:left="3600" w:hanging="360"/>
      </w:pPr>
    </w:lvl>
    <w:lvl w:ilvl="5" w:tplc="5CE0784C">
      <w:start w:val="1"/>
      <w:numFmt w:val="lowerRoman"/>
      <w:lvlText w:val="%6."/>
      <w:lvlJc w:val="right"/>
      <w:pPr>
        <w:ind w:left="4320" w:hanging="180"/>
      </w:pPr>
    </w:lvl>
    <w:lvl w:ilvl="6" w:tplc="5F6E84F8">
      <w:start w:val="1"/>
      <w:numFmt w:val="decimal"/>
      <w:lvlText w:val="%7."/>
      <w:lvlJc w:val="left"/>
      <w:pPr>
        <w:ind w:left="5040" w:hanging="360"/>
      </w:pPr>
    </w:lvl>
    <w:lvl w:ilvl="7" w:tplc="874296EC">
      <w:start w:val="1"/>
      <w:numFmt w:val="lowerLetter"/>
      <w:lvlText w:val="%8."/>
      <w:lvlJc w:val="left"/>
      <w:pPr>
        <w:ind w:left="5760" w:hanging="360"/>
      </w:pPr>
    </w:lvl>
    <w:lvl w:ilvl="8" w:tplc="6408FB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61028434"/>
    <w:rsid w:val="00094AA8"/>
    <w:rsid w:val="00150201"/>
    <w:rsid w:val="00552653"/>
    <w:rsid w:val="00583C79"/>
    <w:rsid w:val="006F0315"/>
    <w:rsid w:val="007672EF"/>
    <w:rsid w:val="008A0459"/>
    <w:rsid w:val="00DA3431"/>
    <w:rsid w:val="39BA4A74"/>
    <w:rsid w:val="4332E1E3"/>
    <w:rsid w:val="61028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C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3C7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ocs.cntd.ru/document/52002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6082</Words>
  <Characters>34673</Characters>
  <Application>Microsoft Office Word</Application>
  <DocSecurity>0</DocSecurity>
  <Lines>288</Lines>
  <Paragraphs>81</Paragraphs>
  <ScaleCrop>false</ScaleCrop>
  <Company/>
  <LinksUpToDate>false</LinksUpToDate>
  <CharactersWithSpaces>40674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Шалагина Арина</dc:creator>
  <cp:keywords/>
  <dc:description/>
  <cp:lastModifiedBy>Sveta</cp:lastModifiedBy>
  <cp:revision>5</cp:revision>
  <dcterms:created xsi:type="dcterms:W3CDTF">2020-06-16T06:02:00Z</dcterms:created>
  <dcterms:modified xsi:type="dcterms:W3CDTF">2020-06-19T04:55:00Z</dcterms:modified>
</cp:coreProperties>
</file>