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Министерства здравоохранения России</w:t>
      </w: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Кафедра поликлинической терапии и семейной медицины с курсом </w:t>
      </w:r>
      <w:proofErr w:type="gramStart"/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Реферат на тему:</w:t>
      </w:r>
    </w:p>
    <w:p w:rsidR="002F0FA9" w:rsidRPr="00B833DD" w:rsidRDefault="00B833DD" w:rsidP="002F0FA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33DD">
        <w:rPr>
          <w:rFonts w:ascii="Times New Roman" w:hAnsi="Times New Roman" w:cs="Times New Roman"/>
          <w:sz w:val="28"/>
          <w:szCs w:val="28"/>
        </w:rPr>
        <w:t>«Диагностика когнитивных расстройств, связанных с цереброваскулярными заболеваниями»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A23082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Выполнил: ординатор 2 года,2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 группы, </w:t>
      </w:r>
    </w:p>
    <w:p w:rsidR="002F0FA9" w:rsidRPr="002F0FA9" w:rsidRDefault="002F0FA9" w:rsidP="002F0FA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специальности «Общая врачебная практика»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Гринев А.П.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Красноярск 2022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Содержание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1.Введение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понятие, классификация…………….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Диагностика………….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</w:t>
      </w:r>
      <w:r w:rsidR="00B82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</w:t>
      </w: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342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Критерии диагностики когнитивных нарушений……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……………………………………………………………………………....5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Данные МРТ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..................................……………………………………</w:t>
      </w:r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….</w:t>
      </w:r>
      <w:bookmarkStart w:id="0" w:name="_GoBack"/>
      <w:bookmarkEnd w:id="0"/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</w:p>
    <w:p w:rsidR="002F0FA9" w:rsidRPr="002F0FA9" w:rsidRDefault="00235FBD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2F0FA9" w:rsidRPr="002F0F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Список литературы…………………………………………………</w:t>
      </w:r>
      <w:r w:rsidR="00B109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</w:t>
      </w:r>
      <w:r w:rsidR="00C50A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..</w:t>
      </w:r>
      <w:r w:rsidR="00B109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1E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Pr="002F0FA9" w:rsidRDefault="002F0FA9" w:rsidP="002F0F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B01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rPr>
          <w:rFonts w:ascii="Times New Roman" w:hAnsi="Times New Roman" w:cs="Times New Roman"/>
          <w:sz w:val="28"/>
          <w:szCs w:val="28"/>
        </w:rPr>
      </w:pPr>
    </w:p>
    <w:p w:rsidR="002F0FA9" w:rsidRDefault="002F0FA9" w:rsidP="002F0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833DD" w:rsidRPr="00B833DD" w:rsidRDefault="00B833DD" w:rsidP="00B833D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Как неприятно отмечать у себя или близких людей ухудшение способности запоминать информацию, появление быстрой утомляемости, снижение интеллекта. Такие расстройства в работе головного мозга в медицине получили название «когнитивные нарушения». Однако не следует отчаиваться. Большое значение для людей с таким заболеванием играет адекватная терапия. Современная медицина способна обеспечить должное лечение и добиться стабильной ремиссии.</w:t>
      </w:r>
    </w:p>
    <w:p w:rsidR="00B833DD" w:rsidRPr="00B833DD" w:rsidRDefault="00B833DD" w:rsidP="00B833DD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Что такое когнитивные нарушения</w:t>
      </w:r>
    </w:p>
    <w:p w:rsidR="00B833DD" w:rsidRDefault="00B833DD" w:rsidP="00B833D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Когнитивные функции – это восприятие, сообразительность, способность знакомиться с новой информацией и запоминать ее, внимание, речь, ориентация в пространстве и времени, двигательные навыки. Со временем у человека начинают проявляться нарушения повседневного поведения из-за сбоев в работе когнитивных функций. Единичные случаи забывчивости – это еще не повод переживать, но если человек начинает регулярно забывать события, имена или названия предметов, то это может указывать на нарушения в деятельности мозга, тогда пациенту требуется помощь невролога.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 w:rsidRPr="00B833DD">
        <w:rPr>
          <w:rFonts w:ascii="inherit" w:eastAsia="Times New Roman" w:hAnsi="inherit" w:cs="Times New Roman"/>
          <w:b/>
          <w:bCs/>
          <w:spacing w:val="-1"/>
          <w:sz w:val="24"/>
          <w:szCs w:val="24"/>
          <w:lang w:eastAsia="ru-RU"/>
        </w:rPr>
        <w:t>Гипокинезия</w:t>
      </w:r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 - облигатный признак паркинсонизма, который включает 3 </w:t>
      </w:r>
      <w:proofErr w:type="gramStart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основных</w:t>
      </w:r>
      <w:proofErr w:type="gram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 компонента:</w:t>
      </w:r>
    </w:p>
    <w:p w:rsidR="00B833DD" w:rsidRPr="00B833DD" w:rsidRDefault="00B833DD" w:rsidP="001E2A45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proofErr w:type="spellStart"/>
      <w:r w:rsidRPr="00B833DD">
        <w:rPr>
          <w:rFonts w:ascii="inherit" w:eastAsia="Times New Roman" w:hAnsi="inherit" w:cs="Times New Roman"/>
          <w:i/>
          <w:iCs/>
          <w:spacing w:val="-2"/>
          <w:sz w:val="24"/>
          <w:szCs w:val="24"/>
          <w:lang w:eastAsia="ru-RU"/>
        </w:rPr>
        <w:t>брадикинезию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 – замедленность движений, истощаемость повторяющихся движений;</w:t>
      </w:r>
    </w:p>
    <w:p w:rsidR="00B833DD" w:rsidRPr="00B833DD" w:rsidRDefault="00B833DD" w:rsidP="001E2A45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proofErr w:type="spellStart"/>
      <w:r w:rsidRPr="00B833DD">
        <w:rPr>
          <w:rFonts w:ascii="inherit" w:eastAsia="Times New Roman" w:hAnsi="inherit" w:cs="Times New Roman"/>
          <w:i/>
          <w:iCs/>
          <w:spacing w:val="-2"/>
          <w:sz w:val="24"/>
          <w:szCs w:val="24"/>
          <w:lang w:eastAsia="ru-RU"/>
        </w:rPr>
        <w:t>олигокинезию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 – обеднение рисунка движений (отсутствие </w:t>
      </w:r>
      <w:proofErr w:type="spellStart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содружественных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 движений рук при ходьбе - </w:t>
      </w:r>
      <w:proofErr w:type="spellStart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ахейрокинез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гипомимия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микробазия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гипофония</w:t>
      </w:r>
      <w:proofErr w:type="spellEnd"/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),</w:t>
      </w:r>
    </w:p>
    <w:p w:rsidR="00B833DD" w:rsidRPr="00B833DD" w:rsidRDefault="00B833DD" w:rsidP="001E2A45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  <w:r w:rsidRPr="00B833DD">
        <w:rPr>
          <w:rFonts w:ascii="inherit" w:eastAsia="Times New Roman" w:hAnsi="inherit" w:cs="Times New Roman"/>
          <w:i/>
          <w:iCs/>
          <w:spacing w:val="-2"/>
          <w:sz w:val="24"/>
          <w:szCs w:val="24"/>
          <w:lang w:eastAsia="ru-RU"/>
        </w:rPr>
        <w:t>акинезию</w:t>
      </w:r>
      <w:r w:rsidRPr="00B833DD"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  <w:t> - затруднение инициации движений, застывания.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Тремор покоя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ритмичное дрожание с частотой 3 - 6 Гц, вовлекающий дистальные отделы, уменьшающееся или исчезающее при движении.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Мышечная ригидность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повышение мышечного тонуса по пластическому типу, определяемое как сопротивление при пассивных движениях.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Постуральная неустойчивость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- неспособность удерживать равновесие при изменении позы.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Нарушения ходьбы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ходьба медленная, «шаркающая», с укорочение длины шага, наличием застываний и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пропульсий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Застывания при ходьбе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затруднение инициации движений, «залипания» при ходьбе.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Феномен «истощение конца дозы»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препаратов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производных - значительное усиление выраженности моторных симптомов к окончанию действия очередной дозы препарата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производные.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Феномен «включения-выключения»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резкие чередования состояний активности (действия препаратов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производных) и обездвиженности (отсутствие действия препаратов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производных).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Феномен непредсказуемых флуктуаций эффекта разовой дозы препаратов </w:t>
      </w: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 ее производных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развитие периодов «выключения» без очевидной связи со временем приёма препарата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производные.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Феномен замедленного наступления или отсутствие эффекта разовой дозы препаратов </w:t>
      </w: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 ее производных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отсроченное наступление действия (&gt; 60 минут) препарата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производные.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Дискинезии пика дозы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быстрые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хореиформные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дистонические движения, обычно, более выраженные в верхней части тела, возникающие на фоне максимального действия принятой дозы препарата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производные.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Двухфазные дискинезии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дискинезии в начале и в конце действия каждой дозы препарата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производные и исчезают в период ее максимального эффекта.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Дистония периода «выключения»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дистония в периоде «выключения» с развитием фиксированных, болезненных патологических поз и наиболее часто наблюдаются в стопах, может носить сегментарный или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генерализованный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характер.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Трансфер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перемещение с одной поверхности на другую или из одного исходного положения в другое (повороты в кровати,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присаживание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 </w:t>
      </w:r>
      <w:proofErr w:type="gram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положения</w:t>
      </w:r>
      <w:proofErr w:type="gram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лежа, вставание, пересаживание на другое кресло и др.).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Глубокая стимуляция мозга (</w:t>
      </w: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deep</w:t>
      </w:r>
      <w:proofErr w:type="spellEnd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brain</w:t>
      </w:r>
      <w:proofErr w:type="spellEnd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stimulation</w:t>
      </w:r>
      <w:proofErr w:type="spellEnd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метод нейрохирургического лечения болезни Паркинсона, заключающийся в воздействии импульсным электрическим током при помощи автономной полностью имплантируемой системы, состоящей из электродов, соединенных с генератором импульсов.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Таламотомия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метод деструктивного нейрохирургического вмешательства при болезни Паркинсона, </w:t>
      </w:r>
      <w:proofErr w:type="gram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заключающаяся</w:t>
      </w:r>
      <w:proofErr w:type="gram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разрушении определенных ядер таламуса.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Паллидотомия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метод деструктивного нейрохирургического вмешательства при болезни Паркинсона, </w:t>
      </w:r>
      <w:proofErr w:type="gram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заключающаяся</w:t>
      </w:r>
      <w:proofErr w:type="gram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разрушении внутреннего сегмента бледного шара.</w:t>
      </w:r>
    </w:p>
    <w:p w:rsidR="00B833DD" w:rsidRPr="00B833DD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Радиохирургия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- метод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неинвазивного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деструктивного воздействия на подкорковые структуры головного мозга при помощи </w:t>
      </w:r>
      <w:proofErr w:type="gram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Гамма-ножа</w:t>
      </w:r>
      <w:proofErr w:type="gram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833DD" w:rsidRPr="008E5E76" w:rsidRDefault="00B833DD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B83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Фокусированный ультразвук</w:t>
      </w:r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— это современная малоинвазивная медицинская технология, используемая для ультразвуковой </w:t>
      </w:r>
      <w:proofErr w:type="spellStart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термодеструкции</w:t>
      </w:r>
      <w:proofErr w:type="spellEnd"/>
      <w:r w:rsidRPr="00B833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определенных структур головного мозга.</w:t>
      </w:r>
      <w:proofErr w:type="gramEnd"/>
    </w:p>
    <w:p w:rsidR="008E5E76" w:rsidRPr="008E5E76" w:rsidRDefault="008E5E76" w:rsidP="001E2A45">
      <w:pPr>
        <w:numPr>
          <w:ilvl w:val="0"/>
          <w:numId w:val="2"/>
        </w:numPr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Критерии диагностики </w:t>
      </w:r>
      <w:r w:rsidRPr="008E5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синдрома паркинсонизма</w:t>
      </w: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8E5E76" w:rsidRPr="008E5E76" w:rsidRDefault="008E5E76" w:rsidP="001E2A45">
      <w:pPr>
        <w:numPr>
          <w:ilvl w:val="0"/>
          <w:numId w:val="3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Диагностика синдрома паркинсонизма возможна при наличии не менее двух симптомов из числа четырех основных: гипокинезии, ригидности, тремора покоя, постуральной неустойчивости. При этом гипокинезию (как ведущее проявление паркинсонизма, обычно определяющее тяжесть состояния больного) нередко выделяют в качестве </w:t>
      </w:r>
      <w:r w:rsidRPr="008E5E7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облигатного</w:t>
      </w: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симптома.</w:t>
      </w:r>
    </w:p>
    <w:p w:rsidR="008E5E76" w:rsidRPr="008E5E76" w:rsidRDefault="008E5E76" w:rsidP="001E2A45">
      <w:pPr>
        <w:numPr>
          <w:ilvl w:val="0"/>
          <w:numId w:val="4"/>
        </w:numPr>
        <w:shd w:val="clear" w:color="auto" w:fill="FFFBE1"/>
        <w:spacing w:after="150" w:line="240" w:lineRule="auto"/>
        <w:ind w:left="4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Критерии диагностики </w:t>
      </w:r>
      <w:r w:rsidRPr="008E5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цереброваскулярного заболевания</w:t>
      </w: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8E5E76" w:rsidRPr="008E5E76" w:rsidRDefault="008E5E76" w:rsidP="001E2A45">
      <w:pPr>
        <w:numPr>
          <w:ilvl w:val="1"/>
          <w:numId w:val="4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Наличие цереброваскулярного заболевания подтверждается выявлением сосудистых факторов риска (в частности артериальной гипертензии, сахарного диабета,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гиперлипидемии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курения и т.д.), признаков сердечно-сосудистых заболеваний (например, ишемической болезни сердца, заболеваний сердца с высоким риском кардиогенной эмболии, облитерирующего поражения сосудов нижних конечностей, и т.д.),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стенозирующего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поражения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прецеребральных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церебральных артерий (сосудистый шум над сонными артериями при аускультации, данные ультразвуковых методов исследования, ангиографии или</w:t>
      </w:r>
      <w:proofErr w:type="gram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МР-ангиографии), наличие в анамнезе эпизодов ОНМК.</w:t>
      </w:r>
      <w:proofErr w:type="gram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Однако </w:t>
      </w:r>
      <w:r w:rsidRPr="008E5E7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решающее</w:t>
      </w: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значение имеют данные КТ и МРТ, позволяющие подтвердить факт сосудистого повреждения мозга, уточнить его локализацию и распространенность.</w:t>
      </w:r>
    </w:p>
    <w:p w:rsidR="008E5E76" w:rsidRPr="008E5E76" w:rsidRDefault="008E5E76" w:rsidP="001E2A45">
      <w:pPr>
        <w:numPr>
          <w:ilvl w:val="0"/>
          <w:numId w:val="5"/>
        </w:numPr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Выявление причинно-следственной связи между паркинсонизмом и цереброваскулярным заболеванием, доказываемой</w:t>
      </w:r>
    </w:p>
    <w:p w:rsidR="008E5E76" w:rsidRPr="008E5E76" w:rsidRDefault="008E5E76" w:rsidP="001E2A45">
      <w:pPr>
        <w:numPr>
          <w:ilvl w:val="1"/>
          <w:numId w:val="5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особенностями течения паркинсонизма</w:t>
      </w:r>
    </w:p>
    <w:p w:rsidR="008E5E76" w:rsidRPr="008E5E76" w:rsidRDefault="008E5E76" w:rsidP="001E2A45">
      <w:pPr>
        <w:numPr>
          <w:ilvl w:val="2"/>
          <w:numId w:val="5"/>
        </w:numPr>
        <w:shd w:val="clear" w:color="auto" w:fill="FFFFFF"/>
        <w:spacing w:after="150" w:line="240" w:lineRule="auto"/>
        <w:ind w:left="10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острое или подострое начало, флуктуирующее течение с периодами длительной стабилизации и регресса, начало в первые шесть месяцев после инсульта</w:t>
      </w:r>
    </w:p>
    <w:p w:rsidR="008E5E76" w:rsidRPr="008E5E76" w:rsidRDefault="008E5E76" w:rsidP="001E2A45">
      <w:pPr>
        <w:numPr>
          <w:ilvl w:val="1"/>
          <w:numId w:val="5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соответствием между клиническими и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нейровизуализационными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данными: выявление при КТ и МРТ изменений в «стратегических» для паркинсонизма зонах [двусторонние ишемические и/или геморрагические очаги в скорлупе и бледном шаре, двустороннего сливающегося субкортикального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лейкоареоза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ишемического или </w:t>
      </w: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геморрагического очагов в лобных долях (обычно с двух сторон), таламусе и среднем мозга (с одной или двух сторон)]</w:t>
      </w:r>
      <w:proofErr w:type="gramEnd"/>
    </w:p>
    <w:p w:rsidR="008E5E76" w:rsidRPr="008E5E76" w:rsidRDefault="008E5E76" w:rsidP="001E2A45">
      <w:pPr>
        <w:numPr>
          <w:ilvl w:val="0"/>
          <w:numId w:val="6"/>
        </w:numPr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Отсутствие</w:t>
      </w: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анамнестических, клинических,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нейровизуализационных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признаков, указывающих на иную этиологию паркинсонизма, таких как: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Отсутствие изменений сосудистого генеза при МРТ,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Несоответствие характера и степени клинических проявлений локализации и распространенности сосудистого повреждения мозга (по данным МРТ): отсутствие поражения «стратегических зон»,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Стойкая высокая эффективность препарата </w:t>
      </w:r>
      <w:proofErr w:type="spellStart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допа</w:t>
      </w:r>
      <w:proofErr w:type="spellEnd"/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ее производные на протяжении нескольких лет,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паралича взора вниз в отсутствие паралича взора вверх,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Признаки прогрессирующей вегетативной недостаточности,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Раннее развитие зрительных галлюцинаций,</w:t>
      </w:r>
    </w:p>
    <w:p w:rsidR="008E5E76" w:rsidRPr="008E5E76" w:rsidRDefault="008E5E76" w:rsidP="001E2A45">
      <w:pPr>
        <w:numPr>
          <w:ilvl w:val="1"/>
          <w:numId w:val="6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E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Наличие атрофии среднего мозга и скорлупы и других признаков ПНП и МСА (по данным МРТ).</w:t>
      </w:r>
    </w:p>
    <w:tbl>
      <w:tblPr>
        <w:tblW w:w="14550" w:type="dxa"/>
        <w:tblCellSpacing w:w="15" w:type="dxa"/>
        <w:tblInd w:w="-1671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668"/>
        <w:gridCol w:w="4428"/>
        <w:gridCol w:w="7454"/>
      </w:tblGrid>
      <w:tr w:rsidR="003420F0" w:rsidRPr="003420F0" w:rsidTr="003420F0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8F7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20F0" w:rsidRDefault="003420F0" w:rsidP="003420F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</w:pPr>
            <w:proofErr w:type="gramStart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 xml:space="preserve">Критерии клинической диагностики деменции с тельцами Леви (по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>McKeith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>et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>al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>.,</w:t>
            </w:r>
            <w:proofErr w:type="gramEnd"/>
          </w:p>
          <w:p w:rsidR="003420F0" w:rsidRPr="003420F0" w:rsidRDefault="003420F0" w:rsidP="003420F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i/>
                <w:iCs/>
                <w:color w:val="7A2518"/>
                <w:sz w:val="28"/>
                <w:szCs w:val="28"/>
                <w:lang w:eastAsia="ru-RU"/>
              </w:rPr>
              <w:t xml:space="preserve"> 2017)</w:t>
            </w:r>
          </w:p>
        </w:tc>
      </w:tr>
      <w:tr w:rsidR="003420F0" w:rsidRPr="003420F0" w:rsidTr="003420F0">
        <w:trPr>
          <w:tblHeader/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признаков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признаков</w:t>
            </w:r>
          </w:p>
        </w:tc>
        <w:tc>
          <w:tcPr>
            <w:tcW w:w="740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Диагностическая значимость</w:t>
            </w:r>
          </w:p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признаков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7"/>
              </w:numPr>
              <w:spacing w:after="150" w:line="240" w:lineRule="auto"/>
              <w:ind w:left="4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Ключевой (центральный) признак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Деменция, определяемая как прогрессирующее когнитивное снижение, нарушающее социальную или профессиональную деятельность*</w:t>
            </w:r>
          </w:p>
        </w:tc>
        <w:tc>
          <w:tcPr>
            <w:tcW w:w="740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Необходим для возможного</w:t>
            </w:r>
          </w:p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или вероятного диагноза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8"/>
              </w:numPr>
              <w:spacing w:after="150" w:line="240" w:lineRule="auto"/>
              <w:ind w:left="4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Основные клинические признаки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Когнитивные флуктуации с выраженными колебаниями внимания и уровня бодрствования</w:t>
            </w:r>
          </w:p>
          <w:p w:rsidR="003420F0" w:rsidRPr="003420F0" w:rsidRDefault="003420F0" w:rsidP="001E2A45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Повторяющиеся зрительные галлюцинации, обычно четко оформленные и детализированные</w:t>
            </w:r>
          </w:p>
          <w:p w:rsidR="003420F0" w:rsidRPr="003420F0" w:rsidRDefault="003420F0" w:rsidP="001E2A45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РПБДГ, 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которое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может предшествовать развитию когнитивных нарушений</w:t>
            </w:r>
          </w:p>
          <w:p w:rsidR="003420F0" w:rsidRPr="003420F0" w:rsidRDefault="003420F0" w:rsidP="001E2A45">
            <w:pPr>
              <w:numPr>
                <w:ilvl w:val="0"/>
                <w:numId w:val="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Спонтанно возникающие признаки паркинсонизма: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брадикинезия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тремор покоя или ригидность</w:t>
            </w:r>
          </w:p>
        </w:tc>
        <w:tc>
          <w:tcPr>
            <w:tcW w:w="740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Default="003420F0" w:rsidP="00342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Первые три признака могут </w:t>
            </w:r>
          </w:p>
          <w:p w:rsidR="003420F0" w:rsidRPr="003420F0" w:rsidRDefault="003420F0" w:rsidP="00342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встречаться на ранней стадии</w:t>
            </w:r>
          </w:p>
          <w:p w:rsidR="003420F0" w:rsidRDefault="003420F0" w:rsidP="00342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 основной признак достаточен </w:t>
            </w:r>
          </w:p>
          <w:p w:rsidR="003420F0" w:rsidRPr="003420F0" w:rsidRDefault="003420F0" w:rsidP="00342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для возможного диагноза,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2 и более – для вероятного диагноза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0"/>
              </w:numPr>
              <w:spacing w:after="150" w:line="240" w:lineRule="auto"/>
              <w:ind w:left="4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>Клинические признаки, поддерживающие диагноз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Выраженная гиперчувствительность к нейролептикам</w:t>
            </w:r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Постуральная неустойчивость</w:t>
            </w:r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Повторяющиеся падения, обмороки или другие преходящие необъяснимые эпизоды утраты сознания</w:t>
            </w:r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Тяжелая вегетативная дисфункция (ортостатическая гипотензия, недержание мочи, запоры)</w:t>
            </w:r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Гиперсомния</w:t>
            </w:r>
            <w:proofErr w:type="spellEnd"/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Гипосмия</w:t>
            </w:r>
            <w:proofErr w:type="spellEnd"/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Галлюцинации иных модальностей</w:t>
            </w:r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Систематизированный бред</w:t>
            </w:r>
          </w:p>
          <w:p w:rsidR="003420F0" w:rsidRPr="003420F0" w:rsidRDefault="003420F0" w:rsidP="001E2A45">
            <w:pPr>
              <w:numPr>
                <w:ilvl w:val="0"/>
                <w:numId w:val="11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Апатия, тревога, депрессия</w:t>
            </w:r>
          </w:p>
        </w:tc>
        <w:tc>
          <w:tcPr>
            <w:tcW w:w="740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Часто присутствуют, иногда на ранней стадии, но не имеют доказанной диагностической специфичности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2"/>
              </w:numPr>
              <w:spacing w:after="150" w:line="240" w:lineRule="auto"/>
              <w:ind w:left="4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Биомаркеры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указывающие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на диагноз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3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Низкий захват в базальных ганглиях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радиофармпрепарата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связывающегося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дофаминовым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транспортером (по данным ОФЭКТ или ПЭТ)</w:t>
            </w:r>
          </w:p>
          <w:p w:rsidR="003420F0" w:rsidRPr="003420F0" w:rsidRDefault="003420F0" w:rsidP="001E2A45">
            <w:pPr>
              <w:numPr>
                <w:ilvl w:val="0"/>
                <w:numId w:val="13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Аномальный (низкий) захват МИБГ при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сцинтиграфии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сердца</w:t>
            </w:r>
          </w:p>
          <w:p w:rsidR="003420F0" w:rsidRPr="003420F0" w:rsidRDefault="003420F0" w:rsidP="001E2A45">
            <w:pPr>
              <w:numPr>
                <w:ilvl w:val="0"/>
                <w:numId w:val="13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Подтверждение наличия фазы сна с быстрыми движениями глаз без атонии с помощью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полисомнографии</w:t>
            </w:r>
            <w:proofErr w:type="spellEnd"/>
          </w:p>
        </w:tc>
        <w:tc>
          <w:tcPr>
            <w:tcW w:w="740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Наличие хотя бы 1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биомаркера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достаточно для вероятного диагноза 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 наличии хотя бы 1 основного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признака; в отсутствие 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основных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достаточно для возможного диагноза**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4"/>
              </w:numPr>
              <w:spacing w:after="150" w:line="240" w:lineRule="auto"/>
              <w:ind w:left="4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>Биомаркеры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поддерживающие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диагноз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Относительная сохранность медиальных структур височных долей при КТ/МРТ</w:t>
            </w:r>
          </w:p>
          <w:p w:rsidR="003420F0" w:rsidRPr="003420F0" w:rsidRDefault="003420F0" w:rsidP="001E2A45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Снижение перфузии или метаболизма в затылочной коре (по данным ОФЭКТ или ПЭТ) ± относительная сохранность метаболизма в задних отделах поясной коры (по данным ПЭТ с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флуородезоксиглюкозой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  <w:p w:rsidR="003420F0" w:rsidRPr="003420F0" w:rsidRDefault="003420F0" w:rsidP="001E2A45">
            <w:pPr>
              <w:numPr>
                <w:ilvl w:val="0"/>
                <w:numId w:val="15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Выраженная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медленноволновая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активность на ЭЭГ с транзиторными острыми волнами в височных отведениях</w:t>
            </w:r>
          </w:p>
        </w:tc>
        <w:tc>
          <w:tcPr>
            <w:tcW w:w="7409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0F0" w:rsidRPr="003420F0" w:rsidTr="003420F0">
        <w:trPr>
          <w:tblCellSpacing w:w="15" w:type="dxa"/>
        </w:trPr>
        <w:tc>
          <w:tcPr>
            <w:tcW w:w="2623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6"/>
              </w:numPr>
              <w:spacing w:after="150" w:line="240" w:lineRule="auto"/>
              <w:ind w:left="4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Признаки, снижающие вероятность диагноза</w:t>
            </w:r>
          </w:p>
        </w:tc>
        <w:tc>
          <w:tcPr>
            <w:tcW w:w="4398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1E2A45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Любое соматическое или церебральное заболевание, включая цереброваскулярное, способное частично или полностью объяснит клиническую картину. Однако это не исключает диагноз ДТЛ и может указывать на смешанную или множественную патологию, приводящую к атипичным клиническим проявлениям</w:t>
            </w:r>
          </w:p>
          <w:p w:rsidR="003420F0" w:rsidRPr="003420F0" w:rsidRDefault="003420F0" w:rsidP="001E2A45">
            <w:pPr>
              <w:numPr>
                <w:ilvl w:val="0"/>
                <w:numId w:val="17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Появление симптомов 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паркинсонизма на стадии тяжелой деменции</w:t>
            </w:r>
          </w:p>
        </w:tc>
        <w:tc>
          <w:tcPr>
            <w:tcW w:w="7409" w:type="dxa"/>
            <w:shd w:val="clear" w:color="auto" w:fill="F8F8F7"/>
            <w:vAlign w:val="center"/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0F0" w:rsidRPr="003420F0" w:rsidRDefault="003420F0" w:rsidP="0034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Нейровизуализационные</w:t>
      </w:r>
      <w:proofErr w:type="spellEnd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признаки </w:t>
      </w:r>
      <w:proofErr w:type="spellStart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мультисистемной</w:t>
      </w:r>
      <w:proofErr w:type="spellEnd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атрофии по данным МРТ (II, III уровни доказательности):</w:t>
      </w:r>
    </w:p>
    <w:tbl>
      <w:tblPr>
        <w:tblW w:w="14550" w:type="dxa"/>
        <w:tblCellSpacing w:w="15" w:type="dxa"/>
        <w:tblInd w:w="-166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261"/>
        <w:gridCol w:w="10289"/>
      </w:tblGrid>
      <w:tr w:rsidR="003420F0" w:rsidRPr="003420F0" w:rsidTr="003420F0">
        <w:trPr>
          <w:tblHeader/>
          <w:tblCellSpacing w:w="15" w:type="dxa"/>
        </w:trPr>
        <w:tc>
          <w:tcPr>
            <w:tcW w:w="421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7F8F7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МСА</w:t>
            </w:r>
          </w:p>
        </w:tc>
        <w:tc>
          <w:tcPr>
            <w:tcW w:w="1024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7F8F7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МРТ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421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Стриатонигральная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дегенерация</w:t>
            </w:r>
          </w:p>
        </w:tc>
        <w:tc>
          <w:tcPr>
            <w:tcW w:w="10244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Супратенториальные изменения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Томографы 1,5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: снижение интенсивности сигнала от 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скорлупы ± 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гиперинтенсивная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щелевидная полоска 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наружному краю скорлупы (в Т2-режиме).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Атрофия скорлупы.</w:t>
            </w:r>
          </w:p>
        </w:tc>
      </w:tr>
      <w:tr w:rsidR="003420F0" w:rsidRPr="003420F0" w:rsidTr="003420F0">
        <w:trPr>
          <w:tblCellSpacing w:w="15" w:type="dxa"/>
        </w:trPr>
        <w:tc>
          <w:tcPr>
            <w:tcW w:w="4216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6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Оливопонтоцеребеллярная атрофия</w:t>
            </w:r>
          </w:p>
        </w:tc>
        <w:tc>
          <w:tcPr>
            <w:tcW w:w="10244" w:type="dxa"/>
            <w:tcBorders>
              <w:top w:val="single" w:sz="2" w:space="0" w:color="DEDEDE"/>
              <w:left w:val="single" w:sz="2" w:space="0" w:color="DEDEDE"/>
              <w:bottom w:val="single" w:sz="2" w:space="0" w:color="DEDEDE"/>
              <w:right w:val="single" w:sz="2" w:space="0" w:color="DEDEDE"/>
            </w:tcBorders>
            <w:shd w:val="clear" w:color="auto" w:fill="F8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Инфратенториальные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изменения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Атрофия червя и полушарий мозжечка.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Атрофия основания моста и средних ножек мозжечка,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реже среднего мозга.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Расширение базальных цистерн (</w:t>
            </w:r>
            <w:proofErr w:type="spell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препонтинной</w:t>
            </w:r>
            <w:proofErr w:type="spell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латеральных </w:t>
            </w:r>
            <w:proofErr w:type="gramEnd"/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мозжечковых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 и IV желудочка.</w:t>
            </w: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Повышение интенсивности сигнала от основания моста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средней ножки мозжечка, коры мозжечка и прилегающего</w:t>
            </w:r>
          </w:p>
          <w:p w:rsid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белого вещества (в режимах Т</w:t>
            </w:r>
            <w:proofErr w:type="gramStart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proofErr w:type="gramEnd"/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протонной плотности).</w:t>
            </w:r>
          </w:p>
          <w:p w:rsidR="003420F0" w:rsidRPr="003420F0" w:rsidRDefault="003420F0" w:rsidP="003420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42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Симптом решетки на основании моста (креста)</w:t>
            </w:r>
          </w:p>
        </w:tc>
      </w:tr>
    </w:tbl>
    <w:p w:rsidR="001E2A45" w:rsidRDefault="001E2A45" w:rsidP="0034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420F0" w:rsidRPr="003420F0" w:rsidRDefault="003420F0" w:rsidP="003420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Нейровизуализационные</w:t>
      </w:r>
      <w:proofErr w:type="spellEnd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признаки прогрессирующего </w:t>
      </w:r>
      <w:proofErr w:type="spellStart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надъядерного</w:t>
      </w:r>
      <w:proofErr w:type="spellEnd"/>
      <w:r w:rsidRPr="003420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паралича по данным МРТ (II, III уровни доказательности):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Атрофия среднего мозга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Косвенные признаки атрофии: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Снижение диаметра среднего мозга (&lt; 14 мм </w:t>
      </w:r>
      <w:proofErr w:type="spellStart"/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референтных</w:t>
      </w:r>
      <w:proofErr w:type="spellEnd"/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значений)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Аномальная форма среднего мозга (вогнутая по сравнению с </w:t>
      </w:r>
      <w:proofErr w:type="gramStart"/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выпуклой</w:t>
      </w:r>
      <w:proofErr w:type="gramEnd"/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здоровых людей)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Форма покрышки среднего мозга (профиль тела пингвина или голова колибри)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Снижение соотношения между средним мозгом и областью моста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Расширение части третьего желудочка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Атрофия верхних и средних мозжечковых ножек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Усиление сигнала с верхних мозжечковых ножек (режим FLAIR)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Усиление сигнала с бледного шара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Усиление сигнала с красного ядра</w:t>
      </w:r>
    </w:p>
    <w:p w:rsidR="003420F0" w:rsidRP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Атрофия скорлупы</w:t>
      </w:r>
    </w:p>
    <w:p w:rsidR="003420F0" w:rsidRDefault="003420F0" w:rsidP="001E2A45">
      <w:pPr>
        <w:numPr>
          <w:ilvl w:val="0"/>
          <w:numId w:val="18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20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Лобная и теменная атрофии</w:t>
      </w:r>
    </w:p>
    <w:p w:rsidR="003420F0" w:rsidRDefault="003420F0" w:rsidP="003420F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420F0" w:rsidRDefault="003420F0" w:rsidP="003420F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420F0" w:rsidRDefault="003420F0" w:rsidP="003420F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Список литературы:</w:t>
      </w:r>
    </w:p>
    <w:p w:rsidR="003420F0" w:rsidRDefault="003420F0" w:rsidP="001E2A45">
      <w:pPr>
        <w:pStyle w:val="a9"/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Клинические рекомендации  Министерства здравоохранения 2021</w:t>
      </w:r>
    </w:p>
    <w:p w:rsidR="003420F0" w:rsidRPr="003420F0" w:rsidRDefault="003420F0" w:rsidP="003420F0">
      <w:pPr>
        <w:pStyle w:val="a9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420F0" w:rsidRDefault="003420F0" w:rsidP="003420F0">
      <w:p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3420F0" w:rsidRPr="003420F0" w:rsidRDefault="003420F0" w:rsidP="003420F0">
      <w:pPr>
        <w:shd w:val="clear" w:color="auto" w:fill="FFFFFF"/>
        <w:spacing w:after="150" w:line="240" w:lineRule="auto"/>
        <w:ind w:left="360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8E5E76" w:rsidRPr="00B833DD" w:rsidRDefault="008E5E76" w:rsidP="00B83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pacing w:val="-2"/>
          <w:sz w:val="24"/>
          <w:szCs w:val="24"/>
          <w:lang w:eastAsia="ru-RU"/>
        </w:rPr>
      </w:pPr>
    </w:p>
    <w:p w:rsidR="00B833DD" w:rsidRPr="00B833DD" w:rsidRDefault="00B833DD" w:rsidP="00B833DD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D608F" w:rsidRPr="00BA2FEA" w:rsidRDefault="00CD608F" w:rsidP="00BA2FE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608F" w:rsidRPr="00B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07"/>
    <w:multiLevelType w:val="multilevel"/>
    <w:tmpl w:val="56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046"/>
    <w:multiLevelType w:val="multilevel"/>
    <w:tmpl w:val="D7F68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728E"/>
    <w:multiLevelType w:val="multilevel"/>
    <w:tmpl w:val="1F289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6FB7"/>
    <w:multiLevelType w:val="multilevel"/>
    <w:tmpl w:val="154A07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42869"/>
    <w:multiLevelType w:val="multilevel"/>
    <w:tmpl w:val="D86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6435C"/>
    <w:multiLevelType w:val="multilevel"/>
    <w:tmpl w:val="B6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A6FD2"/>
    <w:multiLevelType w:val="multilevel"/>
    <w:tmpl w:val="584A92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3B7"/>
    <w:multiLevelType w:val="multilevel"/>
    <w:tmpl w:val="2E1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078C5"/>
    <w:multiLevelType w:val="multilevel"/>
    <w:tmpl w:val="ECE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C75B9"/>
    <w:multiLevelType w:val="multilevel"/>
    <w:tmpl w:val="26866B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81AA8"/>
    <w:multiLevelType w:val="multilevel"/>
    <w:tmpl w:val="AA9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C5F1C"/>
    <w:multiLevelType w:val="multilevel"/>
    <w:tmpl w:val="1C203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935CD"/>
    <w:multiLevelType w:val="multilevel"/>
    <w:tmpl w:val="6BDE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D253B"/>
    <w:multiLevelType w:val="multilevel"/>
    <w:tmpl w:val="DDBA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C6C5E"/>
    <w:multiLevelType w:val="multilevel"/>
    <w:tmpl w:val="57EED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52A72"/>
    <w:multiLevelType w:val="multilevel"/>
    <w:tmpl w:val="364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5662D"/>
    <w:multiLevelType w:val="multilevel"/>
    <w:tmpl w:val="312E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02CA0"/>
    <w:multiLevelType w:val="multilevel"/>
    <w:tmpl w:val="52E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"/>
  </w:num>
  <w:num w:numId="17">
    <w:abstractNumId w:val="15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A"/>
    <w:rsid w:val="00173620"/>
    <w:rsid w:val="001B5595"/>
    <w:rsid w:val="001E2A45"/>
    <w:rsid w:val="001E603B"/>
    <w:rsid w:val="00207652"/>
    <w:rsid w:val="00235FBD"/>
    <w:rsid w:val="0027479D"/>
    <w:rsid w:val="00291DA9"/>
    <w:rsid w:val="002F0FA9"/>
    <w:rsid w:val="00326A1A"/>
    <w:rsid w:val="003420F0"/>
    <w:rsid w:val="00356C81"/>
    <w:rsid w:val="003A085A"/>
    <w:rsid w:val="003F6107"/>
    <w:rsid w:val="00530E83"/>
    <w:rsid w:val="006E3A14"/>
    <w:rsid w:val="006F17A9"/>
    <w:rsid w:val="00753382"/>
    <w:rsid w:val="007A5A9D"/>
    <w:rsid w:val="00842E95"/>
    <w:rsid w:val="008505C7"/>
    <w:rsid w:val="008842A3"/>
    <w:rsid w:val="008E5E76"/>
    <w:rsid w:val="00904961"/>
    <w:rsid w:val="00917F02"/>
    <w:rsid w:val="009F5443"/>
    <w:rsid w:val="00A21718"/>
    <w:rsid w:val="00A23082"/>
    <w:rsid w:val="00A8279C"/>
    <w:rsid w:val="00B01DB8"/>
    <w:rsid w:val="00B10994"/>
    <w:rsid w:val="00B82FAE"/>
    <w:rsid w:val="00B833DD"/>
    <w:rsid w:val="00BA2FEA"/>
    <w:rsid w:val="00BE2A09"/>
    <w:rsid w:val="00C50A15"/>
    <w:rsid w:val="00CD5B51"/>
    <w:rsid w:val="00CD608F"/>
    <w:rsid w:val="00CF01C1"/>
    <w:rsid w:val="00D86125"/>
    <w:rsid w:val="00DB4B7D"/>
    <w:rsid w:val="00E13D30"/>
    <w:rsid w:val="00E93C88"/>
    <w:rsid w:val="00EA4464"/>
    <w:rsid w:val="00EC3E77"/>
    <w:rsid w:val="00EC50EB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line">
    <w:name w:val="underline"/>
    <w:basedOn w:val="a0"/>
    <w:rsid w:val="00753382"/>
  </w:style>
  <w:style w:type="character" w:styleId="a3">
    <w:name w:val="Strong"/>
    <w:basedOn w:val="a0"/>
    <w:uiPriority w:val="22"/>
    <w:qFormat/>
    <w:rsid w:val="00753382"/>
    <w:rPr>
      <w:b/>
      <w:bCs/>
    </w:rPr>
  </w:style>
  <w:style w:type="paragraph" w:styleId="a4">
    <w:name w:val="Normal (Web)"/>
    <w:basedOn w:val="a"/>
    <w:uiPriority w:val="99"/>
    <w:semiHidden/>
    <w:unhideWhenUsed/>
    <w:rsid w:val="003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08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603B"/>
    <w:rPr>
      <w:i/>
      <w:iCs/>
    </w:rPr>
  </w:style>
  <w:style w:type="paragraph" w:styleId="a9">
    <w:name w:val="List Paragraph"/>
    <w:basedOn w:val="a"/>
    <w:uiPriority w:val="34"/>
    <w:qFormat/>
    <w:rsid w:val="007A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4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497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0752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10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2022-06-09T10:15:00Z</dcterms:created>
  <dcterms:modified xsi:type="dcterms:W3CDTF">2022-09-27T21:32:00Z</dcterms:modified>
</cp:coreProperties>
</file>