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544856">
        <w:rPr>
          <w:rFonts w:ascii="Times New Roman" w:eastAsia="TimesNewRomanPSMT" w:hAnsi="Times New Roman" w:cs="Times New Roman"/>
          <w:sz w:val="36"/>
          <w:szCs w:val="36"/>
        </w:rPr>
        <w:t>Войно-Ясенецкого</w:t>
      </w:r>
      <w:proofErr w:type="spellEnd"/>
      <w:r w:rsidRPr="00544856">
        <w:rPr>
          <w:rFonts w:ascii="Times New Roman" w:eastAsia="TimesNewRomanPSMT" w:hAnsi="Times New Roman" w:cs="Times New Roman"/>
          <w:sz w:val="36"/>
          <w:szCs w:val="36"/>
        </w:rPr>
        <w:t>"</w:t>
      </w: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>Министерства здравоохранения Российской Федерации</w:t>
      </w: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 xml:space="preserve">Кафедра патологической анатомии имени профессора </w:t>
      </w:r>
      <w:proofErr w:type="spellStart"/>
      <w:r w:rsidRPr="00544856">
        <w:rPr>
          <w:rFonts w:ascii="Times New Roman" w:eastAsia="TimesNewRomanPSMT" w:hAnsi="Times New Roman" w:cs="Times New Roman"/>
          <w:sz w:val="36"/>
          <w:szCs w:val="36"/>
        </w:rPr>
        <w:t>П.Г.Подзолкова</w:t>
      </w:r>
      <w:proofErr w:type="spellEnd"/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>РЕФЕРАТ</w:t>
      </w: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A7839" w:rsidRPr="00544856" w:rsidRDefault="004A7839" w:rsidP="004A783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«Патологическая анатомия болезни </w:t>
      </w:r>
      <w:proofErr w:type="spellStart"/>
      <w:r w:rsidRPr="00544856">
        <w:rPr>
          <w:rFonts w:ascii="Times New Roman" w:eastAsia="TimesNewRomanPSMT" w:hAnsi="Times New Roman" w:cs="Times New Roman"/>
          <w:b/>
          <w:bCs/>
          <w:sz w:val="36"/>
          <w:szCs w:val="36"/>
        </w:rPr>
        <w:t>Вальденстрема</w:t>
      </w:r>
      <w:proofErr w:type="spellEnd"/>
      <w:r w:rsidRPr="00544856">
        <w:rPr>
          <w:rFonts w:ascii="Times New Roman" w:eastAsia="TimesNewRomanPSMT" w:hAnsi="Times New Roman" w:cs="Times New Roman"/>
          <w:b/>
          <w:bCs/>
          <w:sz w:val="36"/>
          <w:szCs w:val="36"/>
        </w:rPr>
        <w:t>»</w:t>
      </w:r>
    </w:p>
    <w:p w:rsidR="004A7839" w:rsidRPr="00544856" w:rsidRDefault="004A7839" w:rsidP="004A783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A7839" w:rsidRPr="00544856" w:rsidRDefault="004A7839" w:rsidP="004A78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Выполнил: </w:t>
      </w:r>
      <w:r w:rsidRPr="00544856">
        <w:rPr>
          <w:rFonts w:ascii="Times New Roman" w:eastAsia="TimesNewRomanPSMT" w:hAnsi="Times New Roman" w:cs="Times New Roman"/>
          <w:sz w:val="36"/>
          <w:szCs w:val="36"/>
        </w:rPr>
        <w:t>ординатор 2-го года</w:t>
      </w:r>
    </w:p>
    <w:p w:rsidR="004A7839" w:rsidRPr="00544856" w:rsidRDefault="004A7839" w:rsidP="004A78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proofErr w:type="spellStart"/>
      <w:r w:rsidRPr="00544856">
        <w:rPr>
          <w:rFonts w:ascii="Times New Roman" w:eastAsia="TimesNewRomanPSMT" w:hAnsi="Times New Roman" w:cs="Times New Roman"/>
          <w:sz w:val="36"/>
          <w:szCs w:val="36"/>
        </w:rPr>
        <w:t>Воробович</w:t>
      </w:r>
      <w:proofErr w:type="spellEnd"/>
      <w:r w:rsidRPr="00544856">
        <w:rPr>
          <w:rFonts w:ascii="Times New Roman" w:eastAsia="TimesNewRomanPSMT" w:hAnsi="Times New Roman" w:cs="Times New Roman"/>
          <w:sz w:val="36"/>
          <w:szCs w:val="36"/>
        </w:rPr>
        <w:t xml:space="preserve"> Никита Сергеевич</w:t>
      </w:r>
    </w:p>
    <w:p w:rsidR="004A7839" w:rsidRPr="00544856" w:rsidRDefault="004A7839" w:rsidP="004A78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b/>
          <w:sz w:val="36"/>
          <w:szCs w:val="36"/>
        </w:rPr>
        <w:t xml:space="preserve">Специальность: </w:t>
      </w:r>
      <w:r w:rsidRPr="00544856">
        <w:rPr>
          <w:rFonts w:ascii="Times New Roman" w:eastAsia="TimesNewRomanPSMT" w:hAnsi="Times New Roman" w:cs="Times New Roman"/>
          <w:sz w:val="36"/>
          <w:szCs w:val="36"/>
        </w:rPr>
        <w:t>патологическая анатомия</w:t>
      </w:r>
    </w:p>
    <w:p w:rsidR="004A7839" w:rsidRPr="00544856" w:rsidRDefault="004A7839" w:rsidP="004A783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Руководитель: </w:t>
      </w:r>
      <w:r w:rsidRPr="00544856">
        <w:rPr>
          <w:rFonts w:ascii="Times New Roman" w:eastAsia="TimesNewRomanPSMT" w:hAnsi="Times New Roman" w:cs="Times New Roman"/>
          <w:bCs/>
          <w:sz w:val="36"/>
          <w:szCs w:val="36"/>
        </w:rPr>
        <w:t xml:space="preserve">зав. кафедрой, </w:t>
      </w:r>
      <w:r w:rsidRPr="00544856">
        <w:rPr>
          <w:rFonts w:ascii="Times New Roman" w:eastAsia="TimesNewRomanPSMT" w:hAnsi="Times New Roman" w:cs="Times New Roman"/>
          <w:sz w:val="36"/>
          <w:szCs w:val="36"/>
        </w:rPr>
        <w:t xml:space="preserve">К.М.Н., </w:t>
      </w:r>
    </w:p>
    <w:p w:rsidR="004A7839" w:rsidRPr="00544856" w:rsidRDefault="004A7839" w:rsidP="004A7839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  <w:hyperlink r:id="rId4" w:history="1">
        <w:proofErr w:type="spellStart"/>
        <w:r w:rsidRPr="00544856">
          <w:rPr>
            <w:rFonts w:ascii="Times New Roman" w:eastAsia="TimesNewRomanPSMT" w:hAnsi="Times New Roman" w:cs="Times New Roman"/>
            <w:sz w:val="36"/>
            <w:szCs w:val="36"/>
          </w:rPr>
          <w:t>Хоржевский</w:t>
        </w:r>
        <w:proofErr w:type="spellEnd"/>
        <w:r w:rsidRPr="00544856">
          <w:rPr>
            <w:rFonts w:ascii="Times New Roman" w:eastAsia="TimesNewRomanPSMT" w:hAnsi="Times New Roman" w:cs="Times New Roman"/>
            <w:sz w:val="36"/>
            <w:szCs w:val="36"/>
          </w:rPr>
          <w:t xml:space="preserve"> Владимир Алексеевич</w:t>
        </w:r>
      </w:hyperlink>
    </w:p>
    <w:p w:rsidR="004A7839" w:rsidRPr="00544856" w:rsidRDefault="004A7839" w:rsidP="004A7839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A7839" w:rsidRPr="00544856" w:rsidRDefault="004A7839" w:rsidP="004A7839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A7839" w:rsidRPr="00544856" w:rsidRDefault="004A7839" w:rsidP="004A7839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A7839" w:rsidRPr="00544856" w:rsidRDefault="004A7839" w:rsidP="004A7839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544856">
        <w:rPr>
          <w:rFonts w:ascii="Times New Roman" w:eastAsia="TimesNewRomanPSMT" w:hAnsi="Times New Roman" w:cs="Times New Roman"/>
          <w:sz w:val="36"/>
          <w:szCs w:val="36"/>
        </w:rPr>
        <w:t>Красноярск, 2022</w:t>
      </w:r>
    </w:p>
    <w:p w:rsidR="00544856" w:rsidRDefault="00544856" w:rsidP="004A783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7839" w:rsidRPr="004A7839" w:rsidRDefault="004A7839" w:rsidP="004A783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ВВЕДЕНИЕ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4A7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болезнь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 (J.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G.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Waldenstrom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, род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1906 г., шведский терапевт;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.: 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макроглобулинемия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макроглобулинемический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ретикулез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макроглобулинемический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ретикулолимфоматоз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макроглобулиновый</w:t>
      </w:r>
      <w:proofErr w:type="spellEnd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ретикулез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системное заболевание органов кроветворения, характеризующееся неопластической пролиферацией лимфоидных элементов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клеточной системы в костном мозге, лимфатических узлах, селезенке, а также в других органах и тканях и сопровождающееся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гиперпродукцией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иммуноглобулина класса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IgM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Заболевание развивается в возрасте 40—70 лет, преимущественно у мужчин. Частота его среди населения не уточнена.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ЭТИОЛОГИЯ И ПАТОГЕНЕЗ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Этиология и патогенез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рассматриваются в общем аспекте этиологии и патогенеза лейкозов. В сообщениях последних лет о семейной предрасположенности к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диспротеинемиям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числе которых описывается 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болезнь) приводятся данные о нарушении генетической регуляции синтеза иммуноглобулинов и наличии мутаций в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клеточной системе.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Кариологические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исследования не выявляют специфических геномных нарушений, хотя некоторые авторы обнаруживают в клетках костного мозга больных большую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экстрахромосому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(Mg-хромосома); последнюю рассматривают как маркер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макроглобулинсекретирующего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клеточного клона.</w:t>
      </w:r>
    </w:p>
    <w:p w:rsidR="004A7839" w:rsidRPr="004A7839" w:rsidRDefault="004A7839" w:rsidP="004A7839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ПАТОЛОГИЧЕСКАЯ АНАТОМИЯ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Характерна распространенная пролиферация клеток, наиболее выраженная в лимфатических узлах, костном мозге, селезенке, печени, желудке, кишечнике, а также в подкожной и жировой клетчатке, веществе и оболочках головного мозга и в других органах.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аутопсии обнаруживается умеренное увеличение лимфатических узлов, чаще глубоких, размер которых редко превышает 20 мм; иногда — их универсальное увеличение. Встречаются узловатые разрастания в области средостения, в брыжейке. Часто отмечают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гепатоспленомегалию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множественные кровоизлияния в головном мозге, слизистых оболочках и серозных покровах, легких и других органах. При микроскопии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лимф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узлах наблюдается стирание рисунка в связи с массивной пролиферацией клеток типа лимфоидных, число фолликулов резко уменьшено; при обзорных окрасках фолликулы полностью не различимы; капсула лимф, узла и окружающая жировая клетчатка также инфильтрированы лимфоидными клетками.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импрегнации серебром по Папу, Гомори или Футу выявляется относительно сохраненная строма, представленная утолщенными ретикулиновыми волокнами с резко выраженной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аргентофилией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особенно 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перифе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рии лимфатических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узлов.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участках инфильтрации выявляются лимфоциты разной зрелости, лимфоидно-ретикулярные (по классификации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Рора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плазматические клетки. Обнаруживаются также гистиоциты, тучные клетки, макрофаги, в цитоплазме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последних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нередко содержатся шаровидные коагуляты, окрашивающиеся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гематоксилин-эозином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ШИК-реакции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розовый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иногда в зеленоватый цвет. Характерны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глыбчатые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аморфные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ШИК-положительные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включения в ядрах и цитоплазме лимфоцитов, плазматических и ретикулярных клеток. Пролиферация клеток в костном мозге и селезенке носит очаговый или диффузный характер.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отличие от миеломы, массивное разрушение костной ткани при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наблюдается редко. Пролиферация клеток в строме почек сочетается с утолщением мембран клубочков, наличием аморфных белковых масс, иногда закрывающих просвет капилляров. В таких случаях при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флюоресцентной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микроскопии со специфическими сыворотками в области сосудистых петель клубочков обнаруживается свечение. В просветах канальцев — белковые цилиндры; в клетках эпителия — выраженные дистрофические изменения. В сосудах различных органов можно видеть белковые преципитаты с пропитыванием сосудистой стенки и окружающих тканей белком.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Клиническая картина заболевания слагается из признаков системной гиперплазии лимфоидной ткани и симптомов, связанных с циркуляцией в кровеносном русле избытка высокомолекулярного белка —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IgM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 Больные часто отмечают кровоточивость из носа, десен, кровоизлияния в кожу, ослабление зрения, чувство тяжести в голове. Иногда жалобы ограничиваются указанием на общую слабость и недомогание. Обнаруживается умеренное увеличение подкожных лимфатических узлов, увеличение селезенки и печени. Костные изменения редки.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Рентгенологически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иногда выявляются мелкие очаги деструкции в плоских и трубчатых костях на фоне общего пороза; редко деструктивный процесс напоминает множественную миелому. Картина крови не типична: часто наблюдается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нормохромная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нормоцитарная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анемия, нерезкий лейкоцитоз с лимфоцитозом и умеренным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моноцитозом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в ряде случаев — лейкоцитарная формула нормальна.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Характерна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 ускоренная РОЭ: 50—70 мм/час.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пунктате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костного мозга — до 40—70% клеток лимфоидного ряда, которые под световым микроскопом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отличимы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первый взгляд от нормальных лимфоцитов. Однако многие из них характеризуются эксцентрично расположенным ядром (рис. 1) с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нежнопетлистой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сетью хроматина. Цитоплазма клеток резко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базофильна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наличием зоны просветления; в ней часто видны мелкие вакуоли, иногда, светлые включения; если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пос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ледние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занимают почти всю цитоплазму, оттесняя ядро к периферии, клетка приобретает вид виноградной грозди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grape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cell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Сочетание в одной клетке морфологических признаков ретикулярной, 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плазматической клетки и лимфоцита дало основание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авторам обозначить ее как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лимфо-ретикулярную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клетку,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лимфоплазмоцит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гистолимфоплазмоцит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протеинлимфоцит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исследовании под электронным микроскопом в указанных лимфоидных элементах обнаруживают развитые структуры эндоплазматической сети с «сидящими» на мембранах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полирибосомами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свидетельствует об активной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белковообразующей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функции этих клеток.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Зрелость ядер (по распределению хроматина и наличию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нуклеол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неодинакова в различных клетках. Характерно увеличение в сыворотке крови общего белка (до 9—12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г%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однако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увеличение не достигает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гиперпротеинемии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Циркуляция в кровяном русле большого количества (до 4—5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г%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грубодисперсного белка обусловливает повышенную вязкость крови, что ведет к замедлению скорости кровотока и развитию стазов в мелких сосудах с последующим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тромбообразованием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разрывом сосудистой стенки. Последнее клинически проявляется возникновением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ретинопатии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церебропатии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кровоточивости и др. При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офтальмоскопировании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глазного дна можно увидеть расширенные извитые сосуды с перетяжками,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микроаневризмами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множественными кровоизлияниями по их ходу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fundus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paraproteinaemicus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Аналогичные стазы в сосудах головного мозга могут привести к так наз.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макроглобулинемической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парапротеинемической коме — развитию сопорозного состояния при отсутствии очаговой неврологической симптоматики.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Обычно при этом состоянии усиливаются проявления геморрагического синдрома. Кровоточивость может быть обусловлена как функциональной неполноценностью тромбоцитов, окутанных «муфтой» из белка, так и торможением активности отдельных факторов свертывающей системы избытком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течению заболевания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Мак-Каллистер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(В. D.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McCallister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с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выделяет три формы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болезни: прогрессирующую, медленно прогрессирующую и бессимптомную.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первых двух форм характерна вся вышеизложенная симптоматика, различается она только по времени появления их. Продолжительность заболевания составляет в среднем 3—5 лет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Мак-Каллистер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.), по отдельным наблюдениям — до 10 и более лет. Бессимптомная форма наблюдается, как правило, у лиц в возрасте старше 60 лет и отличается отсутствием клинических признаков заболевания, сравнительно невысоким содержанием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IgM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крови выявляется ускоренная РОЭ, иногда умеренная анемия. В костном мозге — незначительнее увеличение количества лимфоцитов и плазматических клеток. Длительное доброкачественное течение позволяет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авторам выделить эту форму В. б. под названием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эссенциальной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доброкачественной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макроглобулинемии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Однако иногда, после более чем 10 лет бессимптомною течения, развивается типичная картина В. б., что дает основание считать эту форму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преклинической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стадией заболевания. Некоторые авторы выделяют 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злокачественную форму В. б., продолжительность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к-рой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превышает 2,5 лет.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Осложнения возникают на фоне и в связи со специфической инфильтрацией органов лейкозными (лимфоидными) клетками, нарушением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микроциркуляции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крови в кровеносных сосудах и дефицитом нормальных иммуноглобулинов. Последнее обусловливает так наз. синдром недостаточности антител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иммунодефицитный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синдром, «иммунный парез» по Пенни).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ночек выражается в нарушении клубочковой фильтрации и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канальцевой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реабсорбции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 Редко наблюдается почечная недостаточность с уремической интоксикацией.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дыхательного аппарата связано с лимфоидными инфильтрациями,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легочным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диспротеинозом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присоединяющимися инфекциями.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Боллинелли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(R.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Bollinelli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различает специфические инфильтративные, инфекционные и смешанные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пневмопатии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поражается печень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гепатомегалия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желтуха), что, возможно, связано с агломерацией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макроглобулинов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сосудах печени в сочетании с лимфоидной интерстициальной инфильтрацией. Нередко отмечают генерализацию инфекционного процесса с развитием общего сепсиса.</w:t>
      </w:r>
    </w:p>
    <w:p w:rsidR="004A7839" w:rsidRPr="004A7839" w:rsidRDefault="004A7839" w:rsidP="004A7839">
      <w:pPr>
        <w:shd w:val="clear" w:color="auto" w:fill="FFFFFF"/>
        <w:spacing w:before="335" w:after="167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ДИАГНОЗ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наличии клинических симптомов и увеличении количества общего белка сыворотки решающим в диагностике является выявление М-градиента на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электрофореграмме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сывороточных белков.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электрофорезе белков на бумаге или полиакриламидном геле выявляется узкая полоса, а при электрофорезе со свободной границей — узкий высокий пик в зоне гамм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бета-глобулинов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между ними. Идентификация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IgM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производится с помощью иммунного электрофореза с моноспецифической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 w:rsidR="00544856">
        <w:rPr>
          <w:rFonts w:ascii="Times New Roman" w:eastAsia="Times New Roman" w:hAnsi="Times New Roman" w:cs="Times New Roman"/>
          <w:color w:val="333333"/>
          <w:sz w:val="28"/>
          <w:szCs w:val="28"/>
        </w:rPr>
        <w:t>тисывороткой</w:t>
      </w:r>
      <w:proofErr w:type="spellEnd"/>
      <w:r w:rsidR="005448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против </w:t>
      </w:r>
      <w:proofErr w:type="spellStart"/>
      <w:r w:rsidR="00544856">
        <w:rPr>
          <w:rFonts w:ascii="Times New Roman" w:eastAsia="Times New Roman" w:hAnsi="Times New Roman" w:cs="Times New Roman"/>
          <w:color w:val="333333"/>
          <w:sz w:val="28"/>
          <w:szCs w:val="28"/>
        </w:rPr>
        <w:t>IgM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методом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седиментационного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анализа (мол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ес 900 000 и более, константа седиментации 19S).</w:t>
      </w:r>
    </w:p>
    <w:p w:rsidR="004A7839" w:rsidRDefault="004A7839" w:rsidP="004A783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ДИФФЕРЕНЦИАЛЬНАЯ ДИАГНОСТИКА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аще всего проводится с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болезнью. При </w:t>
      </w:r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последней</w:t>
      </w:r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выявляется М-градиент, однако он относится и к другим классам иммуноглобулинов (G, A, D, Е). Кроме того, для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характерны изменения в костях, выраженное увеличение плазматических клеток в костном мозге.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различать вторичную (симптоматическую, факультативную)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макроглобулинемию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к-рая</w:t>
      </w:r>
      <w:proofErr w:type="spellEnd"/>
      <w:proofErr w:type="gram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иногда наблюдается при раке, различных формах коллагенозов,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аутоагрессивных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люпоидный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гепатитах, </w:t>
      </w: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циррозах печени и др. Дифференциальная диагностика строится на преобладании клинических симптомов основного заболевания и отсутствии клинических и морфологических признаков (по данным пункции костного мозга,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трепанобиопсии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биопсии лимфатических узлов) </w:t>
      </w:r>
      <w:proofErr w:type="spellStart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болезни.</w:t>
      </w:r>
    </w:p>
    <w:p w:rsidR="004A7839" w:rsidRDefault="004A7839" w:rsidP="004A783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ПРОГНОЗ</w:t>
      </w:r>
    </w:p>
    <w:p w:rsidR="004A7839" w:rsidRPr="004A7839" w:rsidRDefault="004A7839" w:rsidP="004A7839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7839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Прогноз в значительной мере определяется характером течения, выраженностью геморрагических и инфекционных осложнений. Полного выздоровления при В. б., как и при всяком лейкозном процессе, не наблюдается, однако при отсутствии выраженных геморрагий и септических осложнений больные длительное время (до 9 —13 лет) остаются ограниченно трудоспособными.</w:t>
      </w:r>
    </w:p>
    <w:p w:rsidR="00B45756" w:rsidRPr="004A7839" w:rsidRDefault="00B45756">
      <w:pPr>
        <w:rPr>
          <w:rFonts w:ascii="Times New Roman" w:hAnsi="Times New Roman" w:cs="Times New Roman"/>
          <w:sz w:val="28"/>
          <w:szCs w:val="28"/>
        </w:rPr>
      </w:pPr>
    </w:p>
    <w:sectPr w:rsidR="00B45756" w:rsidRPr="004A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7839"/>
    <w:rsid w:val="004A7839"/>
    <w:rsid w:val="00544856"/>
    <w:rsid w:val="00B4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A7839"/>
  </w:style>
  <w:style w:type="character" w:styleId="a4">
    <w:name w:val="Hyperlink"/>
    <w:basedOn w:val="a0"/>
    <w:uiPriority w:val="99"/>
    <w:semiHidden/>
    <w:unhideWhenUsed/>
    <w:rsid w:val="004A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4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03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6007263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80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1413818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27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7429923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08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57910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57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980264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09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common%5d=user&amp;id=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1699</Words>
  <Characters>9685</Characters>
  <Application>Microsoft Office Word</Application>
  <DocSecurity>0</DocSecurity>
  <Lines>80</Lines>
  <Paragraphs>22</Paragraphs>
  <ScaleCrop>false</ScaleCrop>
  <Company>Grizli777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2022-01-24T11:25:00Z</dcterms:created>
  <dcterms:modified xsi:type="dcterms:W3CDTF">2022-01-24T11:32:00Z</dcterms:modified>
</cp:coreProperties>
</file>