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8D" w:rsidRPr="00A705C6" w:rsidRDefault="00B8048D" w:rsidP="00A705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C6">
        <w:rPr>
          <w:rFonts w:ascii="Times New Roman" w:eastAsia="Times New Roman" w:hAnsi="Times New Roman" w:cs="Times New Roman"/>
          <w:sz w:val="28"/>
          <w:szCs w:val="28"/>
        </w:rPr>
        <w:t>Тема № 2.  (18 часов)</w:t>
      </w:r>
    </w:p>
    <w:p w:rsidR="00FF32DD" w:rsidRPr="00A705C6" w:rsidRDefault="00B8048D" w:rsidP="00A705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C6">
        <w:rPr>
          <w:rFonts w:ascii="Times New Roman" w:eastAsia="Times New Roman" w:hAnsi="Times New Roman" w:cs="Times New Roman"/>
          <w:bCs/>
          <w:sz w:val="28"/>
          <w:szCs w:val="28"/>
        </w:rPr>
        <w:t>Лекарственные средства. Анализ ассортимента. Хранение. Реализация.</w:t>
      </w:r>
    </w:p>
    <w:p w:rsidR="001D38A7" w:rsidRPr="00A705C6" w:rsidRDefault="00AE6403" w:rsidP="00A70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5C6">
        <w:rPr>
          <w:rFonts w:ascii="Times New Roman" w:hAnsi="Times New Roman" w:cs="Times New Roman"/>
          <w:sz w:val="28"/>
          <w:szCs w:val="28"/>
        </w:rPr>
        <w:t>Задание 1.</w:t>
      </w:r>
    </w:p>
    <w:p w:rsidR="00AE6403" w:rsidRPr="00A705C6" w:rsidRDefault="00AE6403" w:rsidP="00A705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5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Фармакотерапевтическая</w:t>
      </w:r>
      <w:r w:rsidRPr="00A705C6">
        <w:rPr>
          <w:rFonts w:ascii="Times New Roman" w:hAnsi="Times New Roman" w:cs="Times New Roman"/>
          <w:sz w:val="28"/>
          <w:szCs w:val="28"/>
          <w:shd w:val="clear" w:color="auto" w:fill="FFFFFF"/>
        </w:rPr>
        <w:t> классификация – </w:t>
      </w:r>
      <w:r w:rsidRPr="00A705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A705C6">
        <w:rPr>
          <w:rFonts w:ascii="Times New Roman" w:hAnsi="Times New Roman" w:cs="Times New Roman"/>
          <w:sz w:val="28"/>
          <w:szCs w:val="28"/>
          <w:shd w:val="clear" w:color="auto" w:fill="FFFFFF"/>
        </w:rPr>
        <w:t> специальный перечень, в него входят разные виды лекарственных средств, которые используют для лечения разных видов заболеваний. </w:t>
      </w:r>
    </w:p>
    <w:p w:rsidR="00AE6403" w:rsidRPr="00A705C6" w:rsidRDefault="00AE6403" w:rsidP="00A70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5C6">
        <w:rPr>
          <w:rFonts w:ascii="Times New Roman" w:hAnsi="Times New Roman" w:cs="Times New Roman"/>
          <w:sz w:val="28"/>
          <w:szCs w:val="28"/>
        </w:rPr>
        <w:t>Анализ ассортимента лекарственных групп</w:t>
      </w:r>
    </w:p>
    <w:tbl>
      <w:tblPr>
        <w:tblStyle w:val="a3"/>
        <w:tblW w:w="9842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220"/>
        <w:gridCol w:w="1560"/>
      </w:tblGrid>
      <w:tr w:rsidR="00A705C6" w:rsidRPr="00A705C6" w:rsidTr="00877A46">
        <w:tc>
          <w:tcPr>
            <w:tcW w:w="3510" w:type="dxa"/>
          </w:tcPr>
          <w:p w:rsidR="00877A46" w:rsidRPr="00A705C6" w:rsidRDefault="00877A46" w:rsidP="00B8048D">
            <w:pPr>
              <w:pStyle w:val="a4"/>
              <w:suppressAutoHyphens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/>
                <w:b/>
                <w:sz w:val="24"/>
                <w:szCs w:val="24"/>
              </w:rPr>
              <w:t>Фармако</w:t>
            </w:r>
            <w:proofErr w:type="spellEnd"/>
            <w:r w:rsidRPr="00A705C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877A46" w:rsidRPr="00A705C6" w:rsidRDefault="00877A46" w:rsidP="00B8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группа</w:t>
            </w:r>
          </w:p>
        </w:tc>
        <w:tc>
          <w:tcPr>
            <w:tcW w:w="2552" w:type="dxa"/>
          </w:tcPr>
          <w:p w:rsidR="00877A46" w:rsidRPr="00A705C6" w:rsidRDefault="00877A46" w:rsidP="0087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</w:p>
        </w:tc>
        <w:tc>
          <w:tcPr>
            <w:tcW w:w="2220" w:type="dxa"/>
          </w:tcPr>
          <w:p w:rsidR="00877A46" w:rsidRPr="00A705C6" w:rsidRDefault="00877A46" w:rsidP="0087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b/>
                <w:sz w:val="24"/>
                <w:szCs w:val="24"/>
              </w:rPr>
              <w:t>Код АТХ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 w:rsidP="0039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Поливитаминные средства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Комбилипен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табс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А11АВ</w:t>
            </w:r>
            <w:r w:rsidRPr="00A70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05C6" w:rsidRPr="00A705C6" w:rsidTr="00877A46">
        <w:trPr>
          <w:trHeight w:val="505"/>
        </w:trPr>
        <w:tc>
          <w:tcPr>
            <w:tcW w:w="3510" w:type="dxa"/>
          </w:tcPr>
          <w:p w:rsidR="00877A46" w:rsidRPr="00A705C6" w:rsidRDefault="00877A46" w:rsidP="00390EC3">
            <w:pPr>
              <w:pStyle w:val="a5"/>
              <w:spacing w:before="29" w:line="216" w:lineRule="atLeast"/>
              <w:ind w:left="72"/>
            </w:pPr>
            <w:r w:rsidRPr="00A705C6">
              <w:t xml:space="preserve">Противомикробные средства, </w:t>
            </w:r>
            <w:proofErr w:type="spellStart"/>
            <w:r w:rsidRPr="00A705C6">
              <w:t>фторхинолон</w:t>
            </w:r>
            <w:proofErr w:type="spellEnd"/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Нолицин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J01MA06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Вазодилатирующие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- 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натраты</w:t>
            </w:r>
            <w:proofErr w:type="spellEnd"/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C01DA02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Ангиопротекторные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ср-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Флебодиа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Диосмин</w:t>
            </w:r>
            <w:proofErr w:type="spellEnd"/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С05СА03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Тироксина синтеза регулятор - йода препарат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Йодомарин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H03CA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НПВП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Кетанов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M01AB15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Отхаркивающие, 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муколитичесие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ср-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R05CB06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Анксиолитические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ср-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(транквилизаторы)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Афобазол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Фабомотизол</w:t>
            </w:r>
            <w:proofErr w:type="spellEnd"/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N05BX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 w:rsidP="001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ср-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Глиатилин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N07AX02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никотиновой зависимости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Никоретте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Никотин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N07BA01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Другие противокашлевые препараты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Ренгалин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R05DB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Местный противовоспалительный анальгезирующий антисептик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Отипакс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S02DA30</w:t>
            </w:r>
          </w:p>
        </w:tc>
      </w:tr>
      <w:tr w:rsidR="00A705C6" w:rsidRPr="00A705C6" w:rsidTr="00877A46">
        <w:trPr>
          <w:trHeight w:val="222"/>
        </w:trPr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заболевания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Офтан</w:t>
            </w:r>
            <w:proofErr w:type="spellEnd"/>
          </w:p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Катахром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S01XA</w:t>
            </w:r>
          </w:p>
        </w:tc>
      </w:tr>
      <w:tr w:rsidR="00A705C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Диуретические ср-</w:t>
            </w: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Диакарб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156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S01EC01</w:t>
            </w:r>
          </w:p>
        </w:tc>
      </w:tr>
      <w:tr w:rsidR="00877A46" w:rsidRPr="00A705C6" w:rsidTr="00877A46">
        <w:tc>
          <w:tcPr>
            <w:tcW w:w="351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Кортикостероиды в</w:t>
            </w:r>
            <w:r w:rsidRPr="00A705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7F7F7"/>
              </w:rPr>
              <w:t xml:space="preserve"> </w:t>
            </w:r>
            <w:r w:rsidRPr="00A705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комбинации с</w:t>
            </w:r>
            <w:r w:rsidRPr="00A705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7F7F7"/>
              </w:rPr>
              <w:t xml:space="preserve"> </w:t>
            </w:r>
            <w:r w:rsidRPr="00A705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противомикробными препаратами</w:t>
            </w:r>
          </w:p>
        </w:tc>
        <w:tc>
          <w:tcPr>
            <w:tcW w:w="2552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Кандибиотик</w:t>
            </w:r>
            <w:proofErr w:type="spellEnd"/>
          </w:p>
        </w:tc>
        <w:tc>
          <w:tcPr>
            <w:tcW w:w="2220" w:type="dxa"/>
          </w:tcPr>
          <w:p w:rsidR="00877A46" w:rsidRPr="00A705C6" w:rsidRDefault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77A46" w:rsidRPr="00A705C6" w:rsidRDefault="00877A46" w:rsidP="0087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7F7F7"/>
              </w:rPr>
              <w:t xml:space="preserve">S02CA </w:t>
            </w:r>
          </w:p>
        </w:tc>
      </w:tr>
    </w:tbl>
    <w:p w:rsidR="00B8048D" w:rsidRPr="00A705C6" w:rsidRDefault="00B8048D">
      <w:pPr>
        <w:rPr>
          <w:rFonts w:ascii="Times New Roman" w:hAnsi="Times New Roman" w:cs="Times New Roman"/>
          <w:sz w:val="28"/>
          <w:szCs w:val="28"/>
        </w:rPr>
      </w:pPr>
    </w:p>
    <w:p w:rsidR="00AE6403" w:rsidRPr="00A705C6" w:rsidRDefault="00AE6403" w:rsidP="00A70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5C6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FF32DD" w:rsidRDefault="00FF32DD" w:rsidP="00A705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C6">
        <w:rPr>
          <w:rFonts w:ascii="Times New Roman" w:eastAsia="Times New Roman" w:hAnsi="Times New Roman" w:cs="Times New Roman"/>
          <w:sz w:val="28"/>
          <w:szCs w:val="28"/>
        </w:rPr>
        <w:t xml:space="preserve">Правила маркировки  ЛС, согласно требованиям </w:t>
      </w:r>
      <w:r w:rsidRPr="00A70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12.04.2010 № 61-ФЗ «Об обращении лекарственных средств»</w:t>
      </w:r>
    </w:p>
    <w:p w:rsidR="00C53A62" w:rsidRPr="00A705C6" w:rsidRDefault="00C53A62" w:rsidP="00A705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2DD" w:rsidRPr="00A705C6" w:rsidRDefault="00FF32DD" w:rsidP="00A705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5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Лекарственные препараты должны поступать в обращение, если:</w:t>
      </w:r>
    </w:p>
    <w:p w:rsidR="00FF32DD" w:rsidRPr="00A705C6" w:rsidRDefault="00FF32DD" w:rsidP="00A705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705C6">
        <w:rPr>
          <w:rFonts w:ascii="Times New Roman" w:hAnsi="Times New Roman"/>
          <w:sz w:val="28"/>
          <w:szCs w:val="28"/>
          <w:shd w:val="clear" w:color="auto" w:fill="FFFFFF"/>
        </w:rPr>
        <w:t xml:space="preserve">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A705C6">
        <w:rPr>
          <w:rFonts w:ascii="Times New Roman" w:hAnsi="Times New Roman"/>
          <w:sz w:val="28"/>
          <w:szCs w:val="28"/>
          <w:shd w:val="clear" w:color="auto" w:fill="FFFFFF"/>
        </w:rPr>
        <w:t>группировочное</w:t>
      </w:r>
      <w:proofErr w:type="spellEnd"/>
      <w:r w:rsidRPr="00A705C6">
        <w:rPr>
          <w:rFonts w:ascii="Times New Roman" w:hAnsi="Times New Roman"/>
          <w:sz w:val="28"/>
          <w:szCs w:val="28"/>
          <w:shd w:val="clear" w:color="auto" w:fill="FFFFFF"/>
        </w:rPr>
        <w:t>, или химическое, или 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  <w:proofErr w:type="gramEnd"/>
    </w:p>
    <w:p w:rsidR="00FF32DD" w:rsidRPr="00A705C6" w:rsidRDefault="00FF32DD" w:rsidP="00A705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705C6">
        <w:rPr>
          <w:rFonts w:ascii="Times New Roman" w:hAnsi="Times New Roman"/>
          <w:sz w:val="28"/>
          <w:szCs w:val="28"/>
          <w:shd w:val="clear" w:color="auto" w:fill="FFFFFF"/>
        </w:rPr>
        <w:t xml:space="preserve">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A705C6">
        <w:rPr>
          <w:rFonts w:ascii="Times New Roman" w:hAnsi="Times New Roman"/>
          <w:sz w:val="28"/>
          <w:szCs w:val="28"/>
          <w:shd w:val="clear" w:color="auto" w:fill="FFFFFF"/>
        </w:rPr>
        <w:t>группировочное</w:t>
      </w:r>
      <w:proofErr w:type="spellEnd"/>
      <w:r w:rsidRPr="00A705C6">
        <w:rPr>
          <w:rFonts w:ascii="Times New Roman" w:hAnsi="Times New Roman"/>
          <w:sz w:val="28"/>
          <w:szCs w:val="28"/>
          <w:shd w:val="clear" w:color="auto" w:fill="FFFFFF"/>
        </w:rPr>
        <w:t>, или химическое и торговое наименования), наименование производителя лекарственного препарата, номер серии, дата выпуска (для 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</w:t>
      </w:r>
      <w:proofErr w:type="gramEnd"/>
      <w:r w:rsidRPr="00A705C6">
        <w:rPr>
          <w:rFonts w:ascii="Times New Roman" w:hAnsi="Times New Roman"/>
          <w:sz w:val="28"/>
          <w:szCs w:val="28"/>
          <w:shd w:val="clear" w:color="auto" w:fill="FFFFFF"/>
        </w:rPr>
        <w:t>, условия хранения, предупредительные надписи.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 xml:space="preserve">2. </w:t>
      </w:r>
      <w:proofErr w:type="gramStart"/>
      <w:r w:rsidRPr="00A705C6">
        <w:rPr>
          <w:sz w:val="28"/>
          <w:szCs w:val="28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A705C6">
        <w:rPr>
          <w:sz w:val="28"/>
          <w:szCs w:val="28"/>
        </w:rPr>
        <w:t>группировочное</w:t>
      </w:r>
      <w:proofErr w:type="spellEnd"/>
      <w:r w:rsidRPr="00A705C6">
        <w:rPr>
          <w:sz w:val="28"/>
          <w:szCs w:val="28"/>
        </w:rPr>
        <w:t>, или химическое и торговое наименования), наименование производителя фармацевтической субстанции, номер </w:t>
      </w:r>
      <w:hyperlink r:id="rId8" w:anchor="block_4025" w:history="1">
        <w:r w:rsidRPr="00A705C6">
          <w:rPr>
            <w:rStyle w:val="a6"/>
            <w:color w:val="auto"/>
            <w:sz w:val="28"/>
            <w:szCs w:val="28"/>
          </w:rPr>
          <w:t>серии</w:t>
        </w:r>
      </w:hyperlink>
      <w:r w:rsidRPr="00A705C6">
        <w:rPr>
          <w:sz w:val="28"/>
          <w:szCs w:val="28"/>
        </w:rPr>
        <w:t> и дата изготовления, количество в упаковке и единицы измерения количества, срок годности и условия хранения.</w:t>
      </w:r>
      <w:proofErr w:type="gramEnd"/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>3.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lastRenderedPageBreak/>
        <w:t>4.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>5. На первичную упаковку и вторичную (потребительскую) упаковку радиофармацевтических лекарственных средств должен наноситься знак радиационной опасности.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>6. На вторичную (потребительскую) упаковку гомеопатических лекарственных препаратов должна наноситься надпись: "Гомеопатический".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>7. На вторичную (потребительскую) упаковку лекарственных растительных препаратов должна наноситься надпись: "Продукция прошла радиационный контроль".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>8.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>9. 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 xml:space="preserve">10. </w:t>
      </w:r>
      <w:proofErr w:type="gramStart"/>
      <w:r w:rsidRPr="00A705C6">
        <w:rPr>
          <w:sz w:val="28"/>
          <w:szCs w:val="28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 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Pr="00A705C6">
        <w:rPr>
          <w:sz w:val="28"/>
          <w:szCs w:val="28"/>
        </w:rPr>
        <w:t xml:space="preserve"> об условиях его хранения и перевозки, необходимые предупредительные надписи и манипуляторные знаки.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>11. На первичную упаковку и вторичную (потребительскую) упаковку лекарственных сре</w:t>
      </w:r>
      <w:proofErr w:type="gramStart"/>
      <w:r w:rsidRPr="00A705C6">
        <w:rPr>
          <w:sz w:val="28"/>
          <w:szCs w:val="28"/>
        </w:rPr>
        <w:t>дств дл</w:t>
      </w:r>
      <w:proofErr w:type="gramEnd"/>
      <w:r w:rsidRPr="00A705C6">
        <w:rPr>
          <w:sz w:val="28"/>
          <w:szCs w:val="28"/>
        </w:rPr>
        <w:t>я ветеринарного применения должна наноситься надпись: "Для ветеринарного применения".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lastRenderedPageBreak/>
        <w:t>12. На вторичную (потребительскую) упаковку лекарственного препарата наносится штриховой код.</w:t>
      </w:r>
    </w:p>
    <w:p w:rsidR="00FF32DD" w:rsidRPr="00A705C6" w:rsidRDefault="00FF32DD" w:rsidP="00A705C6">
      <w:pPr>
        <w:pStyle w:val="s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705C6">
        <w:rPr>
          <w:sz w:val="28"/>
          <w:szCs w:val="28"/>
        </w:rPr>
        <w:t>Задание 3.</w:t>
      </w:r>
    </w:p>
    <w:p w:rsidR="006A4DDE" w:rsidRPr="00A705C6" w:rsidRDefault="006A4DDE" w:rsidP="00A705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5C6">
        <w:rPr>
          <w:sz w:val="28"/>
          <w:szCs w:val="28"/>
        </w:rPr>
        <w:t>Нормативные документы, регламентирующие хранение лекарственных средств в аптеке:</w:t>
      </w:r>
    </w:p>
    <w:p w:rsidR="00CA5FF8" w:rsidRPr="00A624B5" w:rsidRDefault="00CA5FF8" w:rsidP="00A624B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624B5">
        <w:rPr>
          <w:sz w:val="28"/>
          <w:szCs w:val="28"/>
          <w:shd w:val="clear" w:color="auto" w:fill="FFFFFF"/>
        </w:rPr>
        <w:t> Приказ Министерства здравоохранения и социального развития РФ от 23 августа 2010 года N 706н «Об утверждении Правил хранения лекарственных средств»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действия света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Для хранения особо чувствительных к свету фармацевтических субстанций (нитрат серебра,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прозерин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) стеклянную тару оклеивают черной светонепроницаемой бумагой.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воздействия влаги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Фармацевтические субстанции, требующие защиты от воздействия влаги, следует хранить в прохладном месте при температуре до + 15 град. С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Во избежание порчи и потери качества следует организовать хранение лекарственных сре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дств в с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от улетучивания и высыхания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средства, содержащие кристаллизационную воду - кристаллогидраты; лекарственные средства, разлагающиеся с образованием летучих продуктов (йодоформ, перекись водорода, гидрокарбонат натрия);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лекарственные средства с определенным нижним пределом влагосодержания (сульфат магния,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парааминосалицилат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натрия, сульфат натрия), следует хранить в прохладном месте, в герметически укупоренной таре из непроницаемых для улетучивающихся веществ 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материалов (стекла, металла, алюминиевой фольги) или в первичной и вторичной (потребительской) упаковке производителя.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воздействия повышенной температуры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воздействия пониженной температуры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 организации и индивидуальные предприниматели должны осуществлять в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соответствии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Замерзание препаратов инсулина не допускается.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lastRenderedPageBreak/>
        <w:t>Хранение лекарственных средств, требующих защиты от воздействия газов, содержащихся в окружающей среде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барбитал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натрий,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гексенал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пахучих и красящих лекарственных средств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BB2079" w:rsidRPr="00A624B5" w:rsidRDefault="00D04DA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 следует хранить в специальном шкафу в плотно укупоренной таре.</w:t>
      </w:r>
      <w:proofErr w:type="gramEnd"/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дезинфицирующих лекарственных средств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Дезинфицирующие лекарственные средства следует хранить в герметично укупоренной таре в изолированном помещении вдали от 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помещений хранения пластмассовых, резиновых и металлических изделий и помещений получения дистиллированной воды.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препаратов</w:t>
      </w:r>
      <w:r w:rsidR="00D14DDF"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для медицинского применения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лекарственного</w:t>
      </w:r>
      <w:r w:rsidR="00D14DDF"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растительного сырья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Нерасфасованное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Нерасфасованное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Нерасфасованное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  <w:proofErr w:type="gramEnd"/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Нерасфасованное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лекарственное растительное сырье, включенное в списки сильнодействующих и ядовитых веществ, утвержденные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, 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N 2, ст. 89; 2010, N 28, ст. 3703), хранится в отдельном помещении или в отдельном шкафу под замком.</w:t>
      </w:r>
      <w:proofErr w:type="gramEnd"/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Расфасованное лекарственное растительное сырье хранится на стеллажах или в шкафах.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огнеопасных</w:t>
      </w:r>
      <w:r w:rsidR="00D14DDF"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лекарственных средств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Хранение огнеопасных лекарственных средств (лекарственные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клеол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жидкость Новикова, органические масла); лекарственные средства, обладающее легкогорючими свойствами (сера, глицерин, растительные масла, лекарственное растительное сырье) должно осуществляться отдельно от других лекарственных средств.</w:t>
      </w:r>
      <w:proofErr w:type="gramEnd"/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Легковоспламеняющиеся лекарственные средства хранят в плотно укупоренной прочной стеклянной или металлической таре, чтобы предупредить испарение жидкостей из сосудов.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Бутыли, баллоны и другие крупные емкости с легковоспламеняющимися и легкогорючими лекарственными 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баллоно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-опрокидывателях в один ряд.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Не допускается хранение легковоспламеняющихся и легкогорючих лекарственных сре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дств в п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lastRenderedPageBreak/>
        <w:t>Хранение взрывоопасных</w:t>
      </w:r>
      <w:r w:rsidR="00D14DDF"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лекарственных средств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 следует принимать меры против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загрязнения их пылью.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Емкости с взрывоопасными лекарственными средствами (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штангласы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жестяные барабаны, склянки и др.) необходимо плотно закрывать во избежание попадания паров этих сре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дств в в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оздух.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Хранение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нерасфасованного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штангласах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Нерасфасованный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раствор нитро 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BB2079" w:rsidRPr="00A624B5" w:rsidRDefault="00D14DDF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При работе с </w:t>
      </w:r>
      <w:proofErr w:type="spell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диэтиловым</w:t>
      </w:r>
      <w:proofErr w:type="spell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эфиром не допускаются встряхивание, удары, трение.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64. Запрещается хранение взрывоопасных лекарственных сре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дств с к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ислотами и щелочами.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наркотических</w:t>
      </w:r>
      <w:r w:rsidR="00D14DDF"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и психотропных лекарственных средств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65. 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Правилам хранения наркотических средств и психотропных веществ, </w:t>
      </w: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установленных постановлением Правительства Российской Федерации от 31 декабря 2009 г. N 1148 (Собрание законодательства Российской Федерации, 2010, N 4, ст. 394;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N 25, ст. 3178).</w:t>
      </w:r>
      <w:proofErr w:type="gramEnd"/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сильнодействующих и ядовитых лекарственных средств,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лекарственных средств, подлежащих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предметно-количественному учету</w:t>
      </w:r>
    </w:p>
    <w:p w:rsidR="00BB2079" w:rsidRPr="00A624B5" w:rsidRDefault="00A624B5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, </w:t>
      </w:r>
      <w:proofErr w:type="gramStart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включенные в списки сильнодействующих веществ и ядовитых веществ.</w:t>
      </w:r>
      <w:proofErr w:type="gramEnd"/>
    </w:p>
    <w:p w:rsidR="00BB2079" w:rsidRPr="00A624B5" w:rsidRDefault="00A624B5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  <w:proofErr w:type="gramEnd"/>
    </w:p>
    <w:p w:rsidR="00BB2079" w:rsidRPr="00A624B5" w:rsidRDefault="00A624B5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BB2079" w:rsidRPr="00A624B5" w:rsidRDefault="00BB2079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BB2079" w:rsidRPr="00A624B5" w:rsidRDefault="00A624B5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A705C6" w:rsidRPr="00A624B5" w:rsidRDefault="00A624B5" w:rsidP="00A624B5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Лекарственные средства, подлежащие предметно-количественному учету в соответствии с приказом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</w:t>
      </w:r>
      <w:proofErr w:type="gramEnd"/>
      <w:r w:rsidR="00BB2079"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рабочего дня.</w:t>
      </w:r>
    </w:p>
    <w:p w:rsidR="00CA5FF8" w:rsidRPr="00BB2079" w:rsidRDefault="00CA5FF8" w:rsidP="00A705C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705C6">
        <w:rPr>
          <w:bCs/>
          <w:sz w:val="28"/>
          <w:szCs w:val="28"/>
          <w:shd w:val="clear" w:color="auto" w:fill="FFFFFF"/>
        </w:rPr>
        <w:t>Приказ Министерства здравоохранения РФ от 31 августа 2016 г. N 646н</w:t>
      </w:r>
      <w:r w:rsidRPr="00A705C6">
        <w:rPr>
          <w:bCs/>
          <w:sz w:val="28"/>
          <w:szCs w:val="28"/>
        </w:rPr>
        <w:br/>
      </w:r>
      <w:r w:rsidRPr="00A705C6">
        <w:rPr>
          <w:bCs/>
          <w:sz w:val="28"/>
          <w:szCs w:val="28"/>
          <w:shd w:val="clear" w:color="auto" w:fill="FFFFFF"/>
        </w:rPr>
        <w:t>"Об утверждении Правил надлежащей практики хранения и перевозки лекарственных препаратов для медицинского применения"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Помещения и зоны, используемые для хранения лекарственных препаратов, должны быть освещены.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 xml:space="preserve">- </w:t>
      </w:r>
      <w:r w:rsidR="00BB2079" w:rsidRPr="00857C86">
        <w:rPr>
          <w:sz w:val="28"/>
          <w:szCs w:val="28"/>
        </w:rPr>
        <w:t xml:space="preserve">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</w:t>
      </w:r>
      <w:proofErr w:type="spellStart"/>
      <w:r w:rsidR="00BB2079" w:rsidRPr="00857C86">
        <w:rPr>
          <w:sz w:val="28"/>
          <w:szCs w:val="28"/>
        </w:rPr>
        <w:t>валидирована</w:t>
      </w:r>
      <w:proofErr w:type="spellEnd"/>
      <w:r w:rsidR="00BB2079" w:rsidRPr="00857C86">
        <w:rPr>
          <w:sz w:val="28"/>
          <w:szCs w:val="28"/>
        </w:rPr>
        <w:t>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Административно-бытовые помещения отделяются от зон хранения лекарственных препаратов.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В помещениях и (или) зонах должны поддерживаться температурные режимы хранения и влажность, соответствующие условиям хранения, </w:t>
      </w:r>
      <w:r w:rsidR="00BB2079" w:rsidRPr="00857C86">
        <w:rPr>
          <w:sz w:val="28"/>
          <w:szCs w:val="28"/>
        </w:rPr>
        <w:lastRenderedPageBreak/>
        <w:t>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(далее - температурное картирование).</w:t>
      </w:r>
    </w:p>
    <w:p w:rsidR="00BB2079" w:rsidRPr="00857C86" w:rsidRDefault="00BB2079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Оборудование для контроля температуры размещается в помещения (</w:t>
      </w:r>
      <w:proofErr w:type="gramStart"/>
      <w:r w:rsidRPr="00857C86">
        <w:rPr>
          <w:sz w:val="28"/>
          <w:szCs w:val="28"/>
        </w:rPr>
        <w:t>зонах</w:t>
      </w:r>
      <w:proofErr w:type="gramEnd"/>
      <w:r w:rsidRPr="00857C86">
        <w:rPr>
          <w:sz w:val="28"/>
          <w:szCs w:val="28"/>
        </w:rPr>
        <w:t>) в соответствии с результатами температурного картирования, на основании проведенного анализа и оценки рисков.</w:t>
      </w:r>
    </w:p>
    <w:p w:rsidR="00BB2079" w:rsidRPr="00857C86" w:rsidRDefault="00BB2079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Результаты температурного картирования регистрируются в специальном журнале (карте) регистрации на бумажном носителе и (или) в электронном виде ежедневно, в том числе в выходные и праздничные дни. Журнал (карта) регистрации хранится в течение двух лет.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Субъект обращения лекарственных препаратов разрабатывает и утверждает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:rsidR="00BB2079" w:rsidRPr="00857C86" w:rsidRDefault="00BB2079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:rsidR="00BB2079" w:rsidRPr="00857C86" w:rsidRDefault="00BB2079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lastRenderedPageBreak/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Производителям лекарственных препаратов и организациям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:rsidR="00BB2079" w:rsidRPr="00857C86" w:rsidRDefault="00857C86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857C86">
        <w:rPr>
          <w:sz w:val="28"/>
          <w:szCs w:val="28"/>
        </w:rPr>
        <w:t xml:space="preserve">- </w:t>
      </w:r>
      <w:r w:rsidR="00BB2079" w:rsidRPr="00857C86">
        <w:rPr>
          <w:sz w:val="28"/>
          <w:szCs w:val="28"/>
        </w:rPr>
        <w:t>Стеллажи (шкафы)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</w:t>
      </w:r>
      <w:proofErr w:type="gramEnd"/>
      <w:r w:rsidR="00BB2079" w:rsidRPr="00857C86">
        <w:rPr>
          <w:sz w:val="28"/>
          <w:szCs w:val="28"/>
        </w:rPr>
        <w:t xml:space="preserve">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:rsidR="00BB2079" w:rsidRPr="00857C86" w:rsidRDefault="000C444E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 xml:space="preserve">- </w:t>
      </w:r>
      <w:r w:rsidR="00BB2079" w:rsidRPr="00857C86">
        <w:rPr>
          <w:sz w:val="28"/>
          <w:szCs w:val="28"/>
        </w:rPr>
        <w:t>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должны быть помещены в отдельное помещение (зону) или изолированы с применением системы электронной обработки данных, обеспечивающей разделение.</w:t>
      </w:r>
    </w:p>
    <w:p w:rsidR="00BB2079" w:rsidRPr="00857C86" w:rsidRDefault="00BB2079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lastRenderedPageBreak/>
        <w:t>Лекарственные препараты, в отношении которых субъектом обращения лекарственных препаратов принято решение о приостановлении применения или об изъятии из обращения, а также фальсифицированные, недоброкачественные и контрафактные лекарственные препараты должны быть изолированы и размещены в специально выделенном помещении (зоне).</w:t>
      </w:r>
    </w:p>
    <w:p w:rsidR="00BB2079" w:rsidRPr="00857C86" w:rsidRDefault="00BB2079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Предпринятые меры изоляции указанных лекарственных препаратов должны гарантировать исключение их попадания в обращение.</w:t>
      </w:r>
    </w:p>
    <w:p w:rsidR="00BB2079" w:rsidRPr="00857C86" w:rsidRDefault="000C444E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Лекарственные препараты, подлежащие предметно-количественному учету</w:t>
      </w:r>
      <w:r w:rsidR="00BB2079" w:rsidRPr="00857C86">
        <w:rPr>
          <w:sz w:val="28"/>
          <w:szCs w:val="28"/>
          <w:bdr w:val="none" w:sz="0" w:space="0" w:color="auto" w:frame="1"/>
        </w:rPr>
        <w:t>*(2)</w:t>
      </w:r>
      <w:r w:rsidR="00BB2079" w:rsidRPr="00857C86">
        <w:rPr>
          <w:sz w:val="28"/>
          <w:szCs w:val="28"/>
        </w:rPr>
        <w:t>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BB2079" w:rsidRPr="00857C86" w:rsidRDefault="000C444E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Лекарственные препараты, содержащие наркотические средства и психотропные вещества, должны храниться в соответствии с законодательством Российской Федерации о наркотических средствах и психотропных веществах.</w:t>
      </w:r>
    </w:p>
    <w:p w:rsidR="00BB2079" w:rsidRPr="00857C86" w:rsidRDefault="000C444E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Хранение лекарственных препаратов, содержащих сильнодействующие и ядовитые вещества</w:t>
      </w:r>
      <w:r w:rsidR="00BB2079" w:rsidRPr="00857C86">
        <w:rPr>
          <w:sz w:val="28"/>
          <w:szCs w:val="28"/>
          <w:bdr w:val="none" w:sz="0" w:space="0" w:color="auto" w:frame="1"/>
        </w:rPr>
        <w:t>*(3)</w:t>
      </w:r>
      <w:r w:rsidR="00BB2079" w:rsidRPr="00857C86">
        <w:rPr>
          <w:sz w:val="28"/>
          <w:szCs w:val="28"/>
        </w:rPr>
        <w:t>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BB2079" w:rsidRPr="00857C86" w:rsidRDefault="000C444E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Допускается хранение в одном технически укрепленном помещении лекарственных препаратов, предусмотренных </w:t>
      </w:r>
      <w:r w:rsidR="00BB2079" w:rsidRPr="00857C86">
        <w:rPr>
          <w:sz w:val="28"/>
          <w:szCs w:val="28"/>
          <w:bdr w:val="none" w:sz="0" w:space="0" w:color="auto" w:frame="1"/>
        </w:rPr>
        <w:t>пунктом 32</w:t>
      </w:r>
      <w:r w:rsidR="00BB2079" w:rsidRPr="00857C86">
        <w:rPr>
          <w:sz w:val="28"/>
          <w:szCs w:val="28"/>
        </w:rPr>
        <w:t xml:space="preserve"> настоящих Правил, и лекарственных препаратов, содержащих сильнодействующие или ядовитые вещества. При этом хранение таких лекарственных препаратов должно осуществляться (в зависимости от объема запасов) на разных полках сейфа (металлического шкафа) или в разных сейфах </w:t>
      </w:r>
      <w:r w:rsidR="00BB2079" w:rsidRPr="00857C86">
        <w:rPr>
          <w:sz w:val="28"/>
          <w:szCs w:val="28"/>
        </w:rPr>
        <w:lastRenderedPageBreak/>
        <w:t>(металлических шкафах), опечатываемых или пломбируемых в конце рабочего дня.</w:t>
      </w:r>
    </w:p>
    <w:p w:rsidR="00BB2079" w:rsidRPr="00857C86" w:rsidRDefault="000C444E" w:rsidP="00857C86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Субъекту обращения лекарственных препаратов необходимо обеспечить охранную систему, позволяющую предотвращать неправомерное проникновение в любые помещения (зоны) для хранения лекарственных препаратов.</w:t>
      </w:r>
    </w:p>
    <w:p w:rsidR="004E5DB3" w:rsidRPr="00C53A62" w:rsidRDefault="000C444E" w:rsidP="00C53A62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</w:t>
      </w:r>
      <w:r w:rsidR="00BB2079" w:rsidRPr="00857C86">
        <w:rPr>
          <w:sz w:val="28"/>
          <w:szCs w:val="28"/>
        </w:rPr>
        <w:t xml:space="preserve"> Оборудование, оказывающее влияние на хранение и (или) перевозку лекарственных препаратов, должно проектироваться, размещаться и обслуживаться согласно документации по его использованию (эксплуатации).</w:t>
      </w:r>
    </w:p>
    <w:p w:rsidR="00CA5FF8" w:rsidRPr="00A705C6" w:rsidRDefault="00CA5FF8" w:rsidP="00A705C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705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Постановление Правительства </w:t>
      </w:r>
      <w:proofErr w:type="gramStart"/>
      <w:r w:rsidRPr="00A705C6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proofErr w:type="gramEnd"/>
      <w:r w:rsidRPr="00A705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31 декабря 2009 г. N 1148</w:t>
      </w:r>
      <w:r w:rsidRPr="00A705C6">
        <w:rPr>
          <w:rFonts w:ascii="Times New Roman" w:hAnsi="Times New Roman"/>
          <w:bCs/>
          <w:sz w:val="28"/>
          <w:szCs w:val="28"/>
        </w:rPr>
        <w:br/>
      </w:r>
      <w:r w:rsidRPr="00A705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"О порядке хранения наркотических средств, психотропных веществ и их </w:t>
      </w:r>
      <w:proofErr w:type="spellStart"/>
      <w:r w:rsidRPr="00A705C6">
        <w:rPr>
          <w:rFonts w:ascii="Times New Roman" w:hAnsi="Times New Roman"/>
          <w:bCs/>
          <w:sz w:val="28"/>
          <w:szCs w:val="28"/>
          <w:shd w:val="clear" w:color="auto" w:fill="FFFFFF"/>
        </w:rPr>
        <w:t>прекурсоров</w:t>
      </w:r>
      <w:proofErr w:type="spellEnd"/>
      <w:r w:rsidRPr="00A705C6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</w:p>
    <w:p w:rsidR="002009C7" w:rsidRPr="00C53A62" w:rsidRDefault="00CA5FF8" w:rsidP="00C53A6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705C6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A705C6"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 w:rsidRPr="00A705C6">
        <w:rPr>
          <w:rFonts w:ascii="Times New Roman" w:hAnsi="Times New Roman"/>
          <w:bCs/>
          <w:sz w:val="28"/>
          <w:szCs w:val="28"/>
        </w:rPr>
        <w:t xml:space="preserve"> РФ от 16.05.2011 N 397н "Об</w:t>
      </w:r>
      <w:r w:rsidRPr="00A705C6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A705C6">
        <w:rPr>
          <w:rFonts w:ascii="Times New Roman" w:hAnsi="Times New Roman"/>
          <w:bCs/>
          <w:sz w:val="28"/>
          <w:szCs w:val="28"/>
        </w:rPr>
        <w:t>утверждении специальных требований к условиям хранения</w:t>
      </w:r>
      <w:r w:rsidRPr="00A705C6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A705C6">
        <w:rPr>
          <w:rFonts w:ascii="Times New Roman" w:hAnsi="Times New Roman"/>
          <w:bCs/>
          <w:sz w:val="28"/>
          <w:szCs w:val="28"/>
        </w:rPr>
        <w:t>наркотических средств и психотропных веществ, зарегистрированных в</w:t>
      </w:r>
      <w:r w:rsidRPr="00A705C6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A705C6">
        <w:rPr>
          <w:rFonts w:ascii="Times New Roman" w:hAnsi="Times New Roman"/>
          <w:bCs/>
          <w:sz w:val="28"/>
          <w:szCs w:val="28"/>
        </w:rPr>
        <w:t>установленном порядке в Российской Федерации в качестве</w:t>
      </w:r>
      <w:r w:rsidRPr="00A705C6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A705C6">
        <w:rPr>
          <w:rFonts w:ascii="Times New Roman" w:hAnsi="Times New Roman"/>
          <w:bCs/>
          <w:sz w:val="28"/>
          <w:szCs w:val="28"/>
        </w:rPr>
        <w:t>лекарственных средств, предназначенных для медицинского</w:t>
      </w:r>
      <w:r w:rsidRPr="00A705C6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A705C6">
        <w:rPr>
          <w:rFonts w:ascii="Times New Roman" w:hAnsi="Times New Roman"/>
          <w:bCs/>
          <w:sz w:val="28"/>
          <w:szCs w:val="28"/>
        </w:rPr>
        <w:t>применения, в аптечных, лечебно-профилактических учреждениях,</w:t>
      </w:r>
      <w:r w:rsidRPr="00A705C6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A705C6">
        <w:rPr>
          <w:rFonts w:ascii="Times New Roman" w:hAnsi="Times New Roman"/>
          <w:bCs/>
          <w:sz w:val="28"/>
          <w:szCs w:val="28"/>
        </w:rPr>
        <w:t>научно-исследовательских, учебных организациях и организациях</w:t>
      </w:r>
      <w:r w:rsidRPr="00A705C6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A705C6">
        <w:rPr>
          <w:rFonts w:ascii="Times New Roman" w:hAnsi="Times New Roman"/>
          <w:bCs/>
          <w:sz w:val="28"/>
          <w:szCs w:val="28"/>
        </w:rPr>
        <w:t>оптовой торговли лекарственными средствами"</w:t>
      </w:r>
    </w:p>
    <w:p w:rsidR="002009C7" w:rsidRPr="00A705C6" w:rsidRDefault="002009C7" w:rsidP="00C53A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5C6">
        <w:rPr>
          <w:rFonts w:ascii="Times New Roman" w:hAnsi="Times New Roman" w:cs="Times New Roman"/>
          <w:sz w:val="28"/>
          <w:szCs w:val="28"/>
        </w:rPr>
        <w:t>Реализация товара.</w:t>
      </w:r>
    </w:p>
    <w:p w:rsidR="002009C7" w:rsidRPr="00A705C6" w:rsidRDefault="002009C7" w:rsidP="00C53A62">
      <w:pPr>
        <w:pStyle w:val="2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05C6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Министерства здравоохранения РФ от 11 июля 2017 г. № 403н “Об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деятельность”</w:t>
      </w:r>
    </w:p>
    <w:p w:rsidR="002009C7" w:rsidRPr="00A705C6" w:rsidRDefault="002009C7" w:rsidP="002009C7">
      <w:pPr>
        <w:rPr>
          <w:rFonts w:ascii="Times New Roman" w:hAnsi="Times New Roman" w:cs="Times New Roman"/>
          <w:sz w:val="28"/>
          <w:szCs w:val="28"/>
        </w:rPr>
      </w:pPr>
    </w:p>
    <w:p w:rsidR="00CA5FF8" w:rsidRPr="00CA5FF8" w:rsidRDefault="00CA5FF8" w:rsidP="00CA5FF8">
      <w:pPr>
        <w:pStyle w:val="s1"/>
        <w:shd w:val="clear" w:color="auto" w:fill="FFFFFF"/>
        <w:spacing w:before="0" w:beforeAutospacing="0" w:after="300" w:afterAutospacing="0"/>
        <w:ind w:left="720"/>
        <w:rPr>
          <w:color w:val="000000" w:themeColor="text1"/>
          <w:sz w:val="28"/>
          <w:szCs w:val="28"/>
        </w:rPr>
      </w:pPr>
    </w:p>
    <w:p w:rsidR="00FF32DD" w:rsidRDefault="00FF32DD" w:rsidP="00FF32DD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FF32DD" w:rsidRPr="00FF32DD" w:rsidRDefault="00FF32DD" w:rsidP="00FF32DD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FF32DD" w:rsidRPr="00FF32DD" w:rsidRDefault="00FF32D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32DD" w:rsidRPr="00FF32DD" w:rsidRDefault="00FF32D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32DD" w:rsidRPr="00390EC3" w:rsidRDefault="00FF32DD">
      <w:pPr>
        <w:rPr>
          <w:rFonts w:ascii="Times New Roman" w:hAnsi="Times New Roman" w:cs="Times New Roman"/>
          <w:sz w:val="28"/>
          <w:szCs w:val="28"/>
        </w:rPr>
      </w:pPr>
    </w:p>
    <w:sectPr w:rsidR="00FF32DD" w:rsidRPr="00390EC3" w:rsidSect="00A705C6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E2" w:rsidRDefault="000401E2" w:rsidP="00C53A62">
      <w:pPr>
        <w:spacing w:after="0" w:line="240" w:lineRule="auto"/>
      </w:pPr>
      <w:r>
        <w:separator/>
      </w:r>
    </w:p>
  </w:endnote>
  <w:endnote w:type="continuationSeparator" w:id="0">
    <w:p w:rsidR="000401E2" w:rsidRDefault="000401E2" w:rsidP="00C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7599"/>
      <w:docPartObj>
        <w:docPartGallery w:val="Page Numbers (Bottom of Page)"/>
        <w:docPartUnique/>
      </w:docPartObj>
    </w:sdtPr>
    <w:sdtContent>
      <w:p w:rsidR="00C53A62" w:rsidRDefault="00C53A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C53A62" w:rsidRDefault="00C53A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E2" w:rsidRDefault="000401E2" w:rsidP="00C53A62">
      <w:pPr>
        <w:spacing w:after="0" w:line="240" w:lineRule="auto"/>
      </w:pPr>
      <w:r>
        <w:separator/>
      </w:r>
    </w:p>
  </w:footnote>
  <w:footnote w:type="continuationSeparator" w:id="0">
    <w:p w:rsidR="000401E2" w:rsidRDefault="000401E2" w:rsidP="00C5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E50"/>
    <w:multiLevelType w:val="hybridMultilevel"/>
    <w:tmpl w:val="A66E57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C7E3C65"/>
    <w:multiLevelType w:val="hybridMultilevel"/>
    <w:tmpl w:val="B230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D"/>
    <w:rsid w:val="00010C05"/>
    <w:rsid w:val="000401E2"/>
    <w:rsid w:val="000C444E"/>
    <w:rsid w:val="001617BE"/>
    <w:rsid w:val="00166040"/>
    <w:rsid w:val="002009C7"/>
    <w:rsid w:val="00246469"/>
    <w:rsid w:val="0039036A"/>
    <w:rsid w:val="00390EC3"/>
    <w:rsid w:val="00462472"/>
    <w:rsid w:val="004E5DB3"/>
    <w:rsid w:val="004F1FA7"/>
    <w:rsid w:val="00640034"/>
    <w:rsid w:val="006A4DDE"/>
    <w:rsid w:val="00752998"/>
    <w:rsid w:val="007E36E2"/>
    <w:rsid w:val="00857C86"/>
    <w:rsid w:val="00877A46"/>
    <w:rsid w:val="009D19D1"/>
    <w:rsid w:val="00A624B5"/>
    <w:rsid w:val="00A705C6"/>
    <w:rsid w:val="00A86592"/>
    <w:rsid w:val="00AA2C8D"/>
    <w:rsid w:val="00AE6403"/>
    <w:rsid w:val="00B8048D"/>
    <w:rsid w:val="00BB2079"/>
    <w:rsid w:val="00C3023A"/>
    <w:rsid w:val="00C53A62"/>
    <w:rsid w:val="00CA5FF8"/>
    <w:rsid w:val="00D04DAF"/>
    <w:rsid w:val="00D14DDF"/>
    <w:rsid w:val="00D96108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8D"/>
  </w:style>
  <w:style w:type="paragraph" w:styleId="1">
    <w:name w:val="heading 1"/>
    <w:basedOn w:val="a"/>
    <w:link w:val="10"/>
    <w:uiPriority w:val="9"/>
    <w:qFormat/>
    <w:rsid w:val="006A4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048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9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0EC3"/>
    <w:rPr>
      <w:color w:val="0000FF"/>
      <w:u w:val="single"/>
    </w:rPr>
  </w:style>
  <w:style w:type="paragraph" w:customStyle="1" w:styleId="s1">
    <w:name w:val="s_1"/>
    <w:basedOn w:val="a"/>
    <w:rsid w:val="00FF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5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5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A62"/>
  </w:style>
  <w:style w:type="paragraph" w:styleId="a9">
    <w:name w:val="footer"/>
    <w:basedOn w:val="a"/>
    <w:link w:val="aa"/>
    <w:uiPriority w:val="99"/>
    <w:unhideWhenUsed/>
    <w:rsid w:val="00C5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8D"/>
  </w:style>
  <w:style w:type="paragraph" w:styleId="1">
    <w:name w:val="heading 1"/>
    <w:basedOn w:val="a"/>
    <w:link w:val="10"/>
    <w:uiPriority w:val="9"/>
    <w:qFormat/>
    <w:rsid w:val="006A4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048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9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0EC3"/>
    <w:rPr>
      <w:color w:val="0000FF"/>
      <w:u w:val="single"/>
    </w:rPr>
  </w:style>
  <w:style w:type="paragraph" w:customStyle="1" w:styleId="s1">
    <w:name w:val="s_1"/>
    <w:basedOn w:val="a"/>
    <w:rsid w:val="00FF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5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5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A62"/>
  </w:style>
  <w:style w:type="paragraph" w:styleId="a9">
    <w:name w:val="footer"/>
    <w:basedOn w:val="a"/>
    <w:link w:val="aa"/>
    <w:uiPriority w:val="99"/>
    <w:unhideWhenUsed/>
    <w:rsid w:val="00C5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4909/1b93c134b90c6071b4dc3f495464b75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18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burav</dc:creator>
  <cp:lastModifiedBy>User0]</cp:lastModifiedBy>
  <cp:revision>4</cp:revision>
  <dcterms:created xsi:type="dcterms:W3CDTF">2020-05-14T11:18:00Z</dcterms:created>
  <dcterms:modified xsi:type="dcterms:W3CDTF">2020-05-19T13:05:00Z</dcterms:modified>
</cp:coreProperties>
</file>