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7B" w:rsidRPr="00B36D0F" w:rsidRDefault="0055277B" w:rsidP="0055277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55277B" w:rsidRPr="00B36D0F" w:rsidRDefault="0055277B" w:rsidP="0055277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proofErr w:type="gramEnd"/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 "Красноярский государственный медицинский университет имени профессора В. Ф. </w:t>
      </w:r>
      <w:proofErr w:type="spellStart"/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Войно-Ясенецкого</w:t>
      </w:r>
      <w:proofErr w:type="spellEnd"/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" Министерства здравоохранения Российской Федерации</w:t>
      </w:r>
    </w:p>
    <w:p w:rsidR="0055277B" w:rsidRPr="00B36D0F" w:rsidRDefault="0055277B" w:rsidP="0055277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77B" w:rsidRPr="00B36D0F" w:rsidRDefault="0055277B" w:rsidP="0055277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77B" w:rsidRPr="00B36D0F" w:rsidRDefault="0055277B" w:rsidP="005527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</w:pPr>
      <w:r w:rsidRPr="00B36D0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27CC17" wp14:editId="0ACD7CE1">
            <wp:extent cx="17983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7B" w:rsidRPr="00B36D0F" w:rsidRDefault="0055277B" w:rsidP="005527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  <w:lang w:val="en-US"/>
        </w:rPr>
      </w:pPr>
    </w:p>
    <w:p w:rsidR="0055277B" w:rsidRPr="00B36D0F" w:rsidRDefault="0055277B" w:rsidP="005527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55277B" w:rsidRPr="00B36D0F" w:rsidRDefault="0055277B" w:rsidP="0055277B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77B" w:rsidRPr="00B36D0F" w:rsidRDefault="0055277B" w:rsidP="0055277B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Зав.кафедрой</w:t>
      </w:r>
      <w:proofErr w:type="spellEnd"/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: профессор, Матюшин Г.В.</w:t>
      </w:r>
    </w:p>
    <w:p w:rsidR="0055277B" w:rsidRPr="00B36D0F" w:rsidRDefault="0055277B" w:rsidP="0055277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77B" w:rsidRPr="00B36D0F" w:rsidRDefault="0055277B" w:rsidP="0055277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77B" w:rsidRPr="00B36D0F" w:rsidRDefault="0055277B" w:rsidP="0055277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77B" w:rsidRPr="00B36D0F" w:rsidRDefault="0055277B" w:rsidP="005527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Реферат на тему:</w:t>
      </w:r>
    </w:p>
    <w:p w:rsidR="00BA2348" w:rsidRPr="00B36D0F" w:rsidRDefault="00BA2348" w:rsidP="00BA2348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D0F">
        <w:rPr>
          <w:rFonts w:ascii="Times New Roman" w:hAnsi="Times New Roman" w:cs="Times New Roman"/>
          <w:bCs/>
          <w:color w:val="000000"/>
          <w:sz w:val="28"/>
          <w:szCs w:val="28"/>
        </w:rPr>
        <w:t>Методы исследования и показатели внешнего дыхания</w:t>
      </w:r>
      <w:r w:rsidRPr="00B36D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5277B" w:rsidRPr="00B36D0F" w:rsidRDefault="0055277B" w:rsidP="0055277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77B" w:rsidRPr="00B36D0F" w:rsidRDefault="0055277B" w:rsidP="0055277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77B" w:rsidRPr="00B36D0F" w:rsidRDefault="0055277B" w:rsidP="005527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</w:t>
      </w:r>
    </w:p>
    <w:p w:rsidR="0055277B" w:rsidRPr="00B36D0F" w:rsidRDefault="0055277B" w:rsidP="005527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Ординатор:</w:t>
      </w:r>
    </w:p>
    <w:p w:rsidR="0055277B" w:rsidRPr="00B36D0F" w:rsidRDefault="0055277B" w:rsidP="005527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Функциональная диагностика</w:t>
      </w:r>
    </w:p>
    <w:p w:rsidR="00E048A3" w:rsidRPr="00B36D0F" w:rsidRDefault="00E048A3" w:rsidP="00E048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Широн Алёна Константинов</w:t>
      </w:r>
      <w:r w:rsidR="00B36D0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</w:p>
    <w:p w:rsidR="00E048A3" w:rsidRPr="00B36D0F" w:rsidRDefault="00E048A3" w:rsidP="00E048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8A3" w:rsidRPr="00B36D0F" w:rsidRDefault="00E048A3" w:rsidP="00E048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8A3" w:rsidRPr="00B36D0F" w:rsidRDefault="00E048A3" w:rsidP="00E048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8A3" w:rsidRPr="00B36D0F" w:rsidRDefault="00E048A3" w:rsidP="00E048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77B" w:rsidRPr="00B36D0F" w:rsidRDefault="0055277B" w:rsidP="00E04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 2022</w:t>
      </w:r>
    </w:p>
    <w:p w:rsidR="00A545B4" w:rsidRPr="00B36D0F" w:rsidRDefault="0055277B" w:rsidP="00E04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Содержание:</w:t>
      </w:r>
    </w:p>
    <w:p w:rsidR="00BA2348" w:rsidRPr="00B36D0F" w:rsidRDefault="00BA2348" w:rsidP="00BA23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показатели, характеризующие состояние функции внешнего дыхания</w:t>
      </w:r>
    </w:p>
    <w:p w:rsidR="00B36D0F" w:rsidRPr="00B36D0F" w:rsidRDefault="00B36D0F" w:rsidP="00B36D0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Общее </w:t>
      </w:r>
      <w:proofErr w:type="spellStart"/>
      <w:r w:rsidRPr="00B3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спирографическое</w:t>
      </w:r>
      <w:proofErr w:type="spellEnd"/>
      <w:r w:rsidRPr="00B3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исследование</w:t>
      </w:r>
    </w:p>
    <w:p w:rsidR="00BA2348" w:rsidRPr="00B36D0F" w:rsidRDefault="00BA2348" w:rsidP="00BA23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B3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спирографических</w:t>
      </w:r>
      <w:proofErr w:type="spellEnd"/>
      <w:r w:rsidRPr="00B3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показателей</w:t>
      </w:r>
    </w:p>
    <w:p w:rsidR="00B36D0F" w:rsidRPr="00B36D0F" w:rsidRDefault="00BA2348" w:rsidP="00B36D0F">
      <w:pPr>
        <w:pStyle w:val="a4"/>
        <w:numPr>
          <w:ilvl w:val="0"/>
          <w:numId w:val="8"/>
        </w:num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Клинико-физиологические возможности спирографии</w:t>
      </w:r>
    </w:p>
    <w:p w:rsidR="00BA2348" w:rsidRPr="00B36D0F" w:rsidRDefault="00B36D0F" w:rsidP="00B36D0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Анатомия</w:t>
      </w:r>
    </w:p>
    <w:p w:rsidR="004979FB" w:rsidRPr="00B36D0F" w:rsidRDefault="004979FB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9FB" w:rsidRPr="00B36D0F" w:rsidRDefault="004979FB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9FB" w:rsidRPr="00B36D0F" w:rsidRDefault="004979FB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9FB" w:rsidRPr="00B36D0F" w:rsidRDefault="004979FB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9FB" w:rsidRPr="00B36D0F" w:rsidRDefault="004979FB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79FB" w:rsidRPr="00B36D0F" w:rsidRDefault="004979FB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D0F" w:rsidRP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D0F" w:rsidRP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D0F" w:rsidRP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показатели, характеризующие состояние функции внешнего дыхания</w:t>
      </w:r>
    </w:p>
    <w:p w:rsidR="00BA2348" w:rsidRPr="00B36D0F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показатели, характеризующие состояние функции внешнего дыхания, условно можно разделить на четыре группы. 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первой группе относятся показатели, характеризующие легочные объемы и емкости. К легочным объемам относятся: дыхательный объем, резервный объем вдоха, резервный объем вдоха, резервный объем выдоха и остаточный объем (количество воздуха, остающееся в легких после максимального глубокого выдоха). К емкостям легких относятся: общая емкость (количество воздуха, находящегося в легких после максимального вдоха), емкость вдоха (количество воздуха, соответствующее дыхательному объему и резервному объему вдоха), жизненная емкость легких (состоящая из дыхательного объема, резервного объема вдоха и выдоха), функциональная остаточная емкость (количество воздуха, остающееся в легких после спокойного выдоха - остаточный воздух и резервный объем выдоха).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второй группе относятся показатели, характеризующие вентиляцию легких: частота дыхания, дыхательный объем, минутный объем дыхания, минутная альвеолярная вентиляция, максимальная вентиляция легких, резерв дыхания или коэффициент дыхательных резервов.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третьей группе относятся показатели, характеризующие состояние бронхиальной проходимости: форсированная жизненная емкость легких (проба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Тиффно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Вотчала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максимальная объемная скорость дыхания во время вдоха и выдоха (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пневмотахометрия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четвертую группу входят показатели, характеризующие эффективность легочного дыхания или газообмен. К этим показателям относятся: состав альвеолярного воздуха, поглощение кислорода и выделение углекислоты, газовый состав артериальной и венозной крови Указанные показатели должны исследоваться в том или ином комплексе и не только в состоянии покоя, но и под влиянием различных функциональных нагрузок и фармакологических 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воздействий..</w:t>
      </w:r>
      <w:proofErr w:type="gramEnd"/>
    </w:p>
    <w:p w:rsidR="00B36D0F" w:rsidRP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Общее </w:t>
      </w:r>
      <w:proofErr w:type="spellStart"/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спирографическое</w:t>
      </w:r>
      <w:proofErr w:type="spellEnd"/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исследование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спирографическое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дает возможность определить основной обмен по количеству поглощаемого кислорода, глубину и частоту дыхания, минутный объем дыхания, максимальную вентиляцию легких, фракционную жизненную емкость легких (пробу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Тиффно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Вотчала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использования кислорода, дыхательный эквивалент Антони: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</w:t>
      </w:r>
      <w:proofErr w:type="gram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МОД(л)*100/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млмин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Оценка </w:t>
      </w:r>
      <w:proofErr w:type="spellStart"/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спирографических</w:t>
      </w:r>
      <w:proofErr w:type="spellEnd"/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показателей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Количественная оценка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спирографических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производится путем сопоставления их с нормативами, полученными при обследовании здоровых людей. Значительные индивидуальные различия, имеющиеся у здоровых людей, вынуждают, как правило, использовать не общую среднюю того или иного показателя, а учитывать пол, возраст, рост и вес обследуемых.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норматив, рассчитанный с учетом влияния нескольких или всех указанных факторов, принято называть должной величиной. Для большинства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спирографических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разработаны должные величины, для некоторых - определен диапазон индивидуальных различий здоровых людей. Для расчета должных величин многих функциональных показателей наиболее широко используются величины должного основного обмена. Должную величину в каждом конкретном случае принимают за 100%, а полученную экспериментально - выражают в процентах должной. Использование должных величин уменьшает, но не устраняет полностью индивидуальных различий здоровых людей, которые для большинства показателей находятся в пределах 80-120% должной, а для некоторых - в еще более широком диапазоне. Это создает значительные трудности в оценке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спирографических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показателей, особенно при диагностике начальных нарушений. Дело значительно меняется, если имеются данные повторных исследований. Даже небольшие отклонения от результатов предшествующего обследования больного могут указать на величину и направленность происшедших изменений. Правильно их оценка может быть дана только с учетом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показателя. Под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воспроизводимостью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 диапазон повторных измерений с принятой надежностью различает свойственную методу погрешность от фактически происшедших сдвигов. Суммарная погрешность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спирографического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включает случайные и систематические ошибки, связанные с конструктивными особенностями прибора, субъективные ошибки снятия отсчетов по спирограмме и физиологически обусловленные колебания, свойственные исследуемым. Мерой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среднее квадратичное отклонение разброса повторных измерений.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биологических параметров принято оценивать в 95% доверительном интервале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</w:t>
      </w:r>
      <w:proofErr w:type="gram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иметь ввиду, что если в процессе одного исследования в ряде повторных измерений оказывается величина, превышающая предел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она должна быть отброшена, как недостоверный результат.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отметить, что при оценке конечного результата исследования физиологически более оправдано использование наибольшей величины, а не средней нескольких измерений, независимо от числа повторений.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Ниже подробно будут разобраны критерии оценки отдельных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спирографических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одним из основных клинических проявлений легочной недостаточности является учащение и поверхностный характер дыхания. Однако по данным инструментального исследования эти признаки имеют весьма ограниченное диагностическое значение.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дыхания у здоровых людей в условиях основного обмена составляет у мужчин 15 (922), у женщин 17 (1023) в мин. В условиях относительного покоя границей нормы следует считать частоту дыхания 24 дыхания в мин.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дыхания у здоровых людей колеблется в очень широких пределах, в условиях основного обмена у мужчин от 250 до 800, у женщин от 250 до 600, а в условиях относительного покоя соответственно от 300 до 1200 и от 250 до 800 мл, что практически лишает эти показатели диагностической ценности. Так, при хронической пневмонии ЧД более 24 в минуту обычно наблюдается всего лишь у 68% больных, ОД меньше 300 мл - у 13%.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Минутный объем дыхания в условиях основного обмена при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спирографическом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исследовании составляет от 4 до 10 л BTPS. Тесная зависимость уровня вентиляции от интенсивности газообмена позволяет выразить должную величину МОД через должный основной обмен.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Должный МОД STPD= Должный основной обмен ккал/сутки / 7.0740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МОД следует выражать в BTPS за норму следует принимать не 100, а 120% должной. В условиях относительного п</w:t>
      </w:r>
      <w:r w:rsidR="00B36D0F" w:rsidRPr="00B3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окоя МОД составляет 160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должной, хотя потребление кислорода увеличивается всего на 10-20%. Налицо гипервентиляция, связанная с эмоциональным фактором. Выявлению гипервентиляции в покое раньше придавалось большое диагностическое значение. С ее наличием чуть ли не отождествлялось представление о легочной недостаточности. Действительно, у больных при частом и поверхностном дыхании и увеличении мертвого пространства вследствие неравномерного распределения воздуха в легких эффективность вентиляции ухудшается. Доля объема дыхания, участвующего в вентиляции альвеол, снижается до 1/3 против 2/3-4/5 в норме. Для обеспечения нормального уровня альвеолярной вентиляции необходимо увеличить МОД, что приходится наблюдать во всех случаях, даже при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альвеол. При некоторых же патологических состояниях возникает гипервентиляция, компенсаторная реакция в ответ на нарушения в других звеньях системы дыхания. Получается, что представление о гипервентиляции в покое как о ценном диагностическом показателе - справедливо. С этим можно согласиться, при условии, что исключено влияние на вентиляцию эмоционального фактора. Достичь этого удается только при строгом 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соблюдении условий основного обмена. Условия же относительного покоя, о чем упоминалось ранее, никаких гарантий в этом отношении не дают. При относительном покое у больных выявляется тенденция к большему, чем у здоровых увеличению МОД. Так при хронической пневмонии МОД более 200% наблюдается в 35-40% случаях, тогда как у здоровых людей в 15-25%. МОД ниже нормы, но не меньше 90% наблюдается крайне редко - всего лишь в 2-5% всех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случаев.Это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доказывает малую ценность этого показателя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потребление</w:t>
      </w:r>
      <w:proofErr w:type="gram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кислорода в основных условиях составляет от 160 до 300 мл в минуту, или 85-125%. Расчет должного ПО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производится по формуле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Должное ПО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Должный основной обмен / 7.07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относительного покоя ПО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составляет от 115 до 150%. ПО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 уровень энергетического обмена и ни в какой степени не отражает состояние аппарата вентиляции. Количественно газообмен в покое обеспечивается вплоть до крайних степеней нарушения внешнего дыхания. Только при физической нагрузке больные часто оказываются неспособны значительно увеличивать интенсивность газообмена.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использования кислорода в норме в полном покое составляет 40 (2555) мл/л. КИО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значительной мере дублирует МОД в % должного, так как расчет должной МОД исходит из формального КИО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оценке КИО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покое, как показателя эффективности вентиляции, следует подходить с большой осторожностью: он в равной степени может указывать на низкую эффективность вентиляции, связанную с изменением характера дыхания, так и на неадекватный,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относительнео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интенсивности газообмена, уровень вентиляции, обусловленный чаще всего, эмоциональным фактором.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 емкость легких у здоровых составляет от 2.5 до 7.5 л, такой разброс в значениях требует обязательного использования должных величин. Из множества предложенных формул расчета должной ЖЕЛ можно рекомендовать следующие.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Должная ЖЕЛ BTPS = Должный основной обмен 3.0 (для мужчин).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Должная ЖЕЛ BTPS = Должный основной обмен 2.6 (для женщин).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людей старше 50 лет коэффициенты должны быть уменьшены на 0.2. При определении ЖЕЛ в положении лежа коэффициенты уменьшаются на 0.1. Границы нормы находятся в диапазоне 80120% должной.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 составляет 5-7% исходной величины. Следовательно, изменение в указанных пределах при повторных исследованиях не могут рассматриваться как фактически происшедшие сдвиги.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больных с начальной патологией ЖЕЛ ниже нормы регистрируется в 25% случаев. При второй стадии хронической пневмонии этот показатель возрастает почти вдвое и составляет 45-65%.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Т.о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ЖЕЛ имеет высокую диагностическую ценность. Снижение ЖЕЛ до 65% должной следует 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рассматривать как умеренное, от 60 до 50 - как значительное и ниже 50% - как резкое.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Резервный объем вдоха в норме составляет сидя 50 (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3565)%</w:t>
      </w:r>
      <w:proofErr w:type="gram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ЖЕЛ, лежа 65 (5080)% ЖЕЛ. Резервный объем выдоха - сидя 30 (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1050)%</w:t>
      </w:r>
      <w:proofErr w:type="gram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лежа - 15 (525)% ЖЕЛ. При патологии обычно имеет место снижение показателей Ро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вд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выд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% ЖЕЛ.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Форсированная ЖЕЛ у здоровых людей фактически воспроизводит ЖЕЛ и, таким образом, является ее повторением. Различия ЖЕЛ и ФЖЕЛ у мужчин составляют -200 (-600+300) мл, у женщин -130 (-600+300) мл. В случае, если ФЖЕЛ больше ЖЕЛ, что хотя и не часто, но может наблюдаться как в норме, так и при патологии, по общим правилам она должна приниматься в расчет как наибольшая величина ЖЕЛ.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Диагностическое значение приобретают величины, выходящие за предел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кривой форсированного выдоха предложено более десятка количественных показателей. В практической работе используют обычно не более двух из общего числа. Наиболее часто - объем форсированного выдоха за 1 секунду (ОФВ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часто неверно называют ФЖЕЛ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временной ЖЕЛ и так далее.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Общепринятой должной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существует, так как величина показателя в значительной мере зависит от типа используемой аппаратуры. Именно поэтому нормативы, представленные в зарубежной литературе, оказываются непригодными. Для большинства типов отечественных спирографов установлено, что в среднем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мужчин в положении сидя в возрасте 18-30 лет составляет 3.3 л/сек ATSP со снижением в каждом последующем десятилетии на 0.3 л/сек. В положении лежа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на 0.1 л. Нижней границей нормы в возрасте до 50 лет следует принять 2.2 л/сек, в возрасте 51-60 - 2.0 л/сек. У женщин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составляет в положении сидя 2.35 (1.43.0) л/сек.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составляет 10%, при резких нарушениях - 15% исходной величины. Диагностическая значимость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приблизительно равна ЖЕЛ, а при нарушениях, обусловленных ухудшением бронхиальной проходимости, превышает ЖЕЛ. К умеренному должно быть отнесено снижение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мужичин до 1.5 л/сек, у женщин - до 1 л/сек, к значительному - до 1.0 и 0.7 л/сек, к резкому - ниже указанных пределов.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форсированного выдоха находится в тесной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зависиости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объема легких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</w:t>
      </w:r>
      <w:proofErr w:type="gram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ограничить ее оценку абсолютными значениями нельзя. Широко принято относить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объему ЖЕЛ и выражать это отношение в %. Этот показатель получил название теста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Тиффно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при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3.0 л/сек и ЖЕЛ 4.0 л отношение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ЖЕЛ составит 75%. Относительно того, к какому объему следует относить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 ФЖЕЛ, ЖЕЛ или должной ЖЕЛ - единого мнения нет. ЖЕЛ в условиях патологии отражает не объем легких, а 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некую экспираторную позицию, при которой происходит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спадение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бронхов. Физиологически наиболее оправдано использование фактической ЖЕЛ, взятой в системе ATPS.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/ЖЕЛ составляет во всех возрастных группах в равной мере у мужчин и женщин независимо от положения тела 70 (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5590)%</w:t>
      </w:r>
      <w:proofErr w:type="gram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7%. За умеренное отклонение принимают ОФВ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/ЖЕЛ до 45%, за значительное - от 45 до 35%, и ниже 35% - за резкое.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вентиляция легких (МВЛ) у здоровых мужчин составляет 70-170 л/мин, у женщин - 45-120 л/мин BTPS. К сожалению значительное влияние на значение этого показателя методики исследования, положения тела и пр. резко затруднили выработку общепринятых должных величин. Для расчета можно рекомендовать следующую формулу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ДМВЛ BTPS = ДЖЕЛN, где N=25 для мужчин и N=26 для женщин. В возрасте 50-60 лет коэффициент N уменьшается на 2. За норму принимается диапазон 70135 и более % должной.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Т.о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убрать индивидуальные различия с помощью должных величин удается лишь частично. Большое влияние на значение МВЛ имеет частота дыхания при выполнении пробы МВЛ. Хотя методикой предусмотрена произвольная частота дыхания, она не должна быть меньше 40 в мин. Обязательный учет ЧД, при которой выполнялась МВЛ, во многом способствует правильной оценке показателя.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МВЛ составляет около 15% исходной величины. Снижение МВЛ до 50% следует рассматривать как умеренное, от 50 до 35% как значительное, и ниже 35% как резкое.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скорости движения воздуха (ПСДВ) есть отношение МВЛ/ЖЕЛ. ПСДВ принято выражать в л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/мин. У здоровых мужчин он составляет 25(2030), снижаясь в среднем до 22 в возрасте 50-60 лет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proofErr w:type="gram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ПСДВ на 2 л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 больше. С его помощью удается дифференцировать ограничительные нарушения вентиляции от нарушения бронхиальной проходимости. У больных бронхиальной астмой он может быть снижен до 8-10, при ограничительном процессе - увеличен до 40 и более.</w:t>
      </w:r>
    </w:p>
    <w:p w:rsidR="00BA2348" w:rsidRPr="00B36D0F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Клинико-физиологические возможности спирографии</w:t>
      </w:r>
    </w:p>
    <w:p w:rsidR="00B36D0F" w:rsidRPr="00B36D0F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легочного дыхания организма, обеспечивающая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артериализацию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в легких, осуществляется благодаря строгой согласованности между собой трех процессов: </w:t>
      </w:r>
    </w:p>
    <w:p w:rsidR="00B36D0F" w:rsidRPr="00B36D0F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вентиляции альвеол, обеспечивающей постоянство состава альвеолярного воздуха; </w:t>
      </w:r>
    </w:p>
    <w:p w:rsidR="00B36D0F" w:rsidRPr="00B36D0F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непрерывного кровотока через капилляры легкого и распределения крови в строгом соответствии с интенсивностью вентиляции отдельных ее участков; 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диффузии биологических газов через легочную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ммебрану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необходимой скоростью.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спирографическом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исследовании удается судить о состоянии лишь одного из звеньев системы легочного дыхания -аппарата вентиляции. Однако этого вполне достаточно, поскольку именно нарушения вентиляции при подавляющем большинстве заболеваний легких оказываются ведущими в комплексе патофизиологических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растройств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значительной мере определяют клиническую картину легочной недостаточности, снижая функциональные возможности больного с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паталогией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легких.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Анатомия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 человека состоит из тканей и органов, обеспечивающих легочную вентиляцию и легочное дыхание. К воздухоносным путям относятся: нос, полость носа, носоглотка, гортань, трахея, бронхи и бронхиолы. Легкие состоят из бронхиол и альвеолярных мешочков, а также из артерий, капилляров и вен легочного круга кровообращения. К элементам костно-мышечной системы, связанным с дыханием, относятся ребра, межреберные мышцы, диафрагма и вспомогательные дыхательные мышцы.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Воздухоносные пути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полость носа служат проводящими каналами для воздуха, в которых он нагревается, увлажняется и фильтруется. В полости носа заключены также обонятельные рецепторы.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Наружная часть носа образована треугольным костно-хрящевым остовом, который покрыт кожей; два овальных отверстия на нижней поверхности-ноздри-открываются каждое в клиновидную полость носа. Эти полости разделены перегородкой. Три легких губчатых завитка (раковины) выдаются из боковых стенок ноздрей, частично разделяя полости на четыре незамкнутых прохода (носовые ходы). Полость носа выстлана богато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васкуляризованной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слизистой оболочкой. Многочисленные жесткие волоски, а также снабженные ресничками эпителиальные и бокаловидные клетки служат для очистки вдыхаемого воздуха от твердых частиц. В верхней части полости лежат обонятельные клетки.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Гортань лежит между трахеей и корнем языка. Полость гортани разделена двумя складками слизистой оболочки, не полностью сходящимися по средней линии. Пространство между этими складками - голосовая щель защищено пластинкой волокнистого хряща - надгортанником. По краям голосовой щели в слизистой оболочке лежат фиброзные эластичные связки, которые называются нижними, или истинными, голосовыми складками (связками). Над ними находятся ложные голосовые складки, которые защищают истинные голосовые складки и сохраняют их влажными; они помогают также задерживать дыхание, а при глотании препятствуют 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попаданию пищи в гортань. Специализированные мышцы натягивают и расслабляют истинные и ложные голосовые складки. Эти мышцы играют важную роль при фонации, а также препятствуют попаданию каких-либо частиц в дыхательные пути.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Трахея начинается у нижнего конца гортани и спускается в грудную полость, где делится на правый и левый бронхи; стенка ее образована соединительной тканью и хрящом. У большинства млекопитающих хрящи образуют неполные кольца. Части, примыкающие к пищеводу, замещены фиброзной связкой. Правый бронх обычно короче и шире левого. Войдя в легкие, главные бронхи постепенно делятся на все более мелкие трубки (бронхиолы), самые мелкие из которых конечные бронхиолы являются последним элементом воздухоносных путей. От гортани до конечных бронхиол трубки выстланы мерцательным эпителием.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Легкие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легкие имеют вид губчатых, пористых конусовидных образований, лежащих о обеих половинах грудной полости.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Наименьший структурный элемент легкого - долька состоит из конечной бронхиолы, ведущей в легочную бронхиолу и альвеолярный мешок. Стенки легочной бронхиолы и альвеолярного мешка образуют углубления - альвеолы. Такая структура легких увеличивает их дыхательную поверхность, которая в 50-100 раз превышает поверхность тела. Относительная величина поверхности, через которую в легких происходит газообмен, больше у животных с высокой активностью и подвижностью. Стенки альвеол состоят из одного слоя эпителиальных клеток и окружены легочными капиллярами. Внутренняя поверхность альвеолы покрыта поверхностно-активным веществом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сурфактантом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полагают,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сурфактант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продуктом секреции гранулярных клеток. Отдельная альвеола, тесно соприкасающаяся с соседними структурами, имеет форму неправильного многогранника и приблизительные размеры до 250 мкм. Принято считать, что общая поверхность альвеол, через которую осуществляется газообмен, экспоненциально зависит от веса тела. С возрастом отмечается уменьшение площади поверхности альвеол.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Плевра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легкое окружено мешком - плеврой. Наружный (париетальный) листок плевры примыкает к внутренней поверхности грудной стенки и диафрагме, внутренний (висцеральный) покрывает легкое. Щель между листками называется плевральной полостью. При движении грудной клетки внутренний листок обычно легко скользит по наружному. Давление в плевральной полости всегда меньше атмосферного (отрицательное).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Межплевральное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между легкими называется средостением; в 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 находятся трахея, зобная железа (тимус) и сердце с большими сосудами, лимфатические узлы и пищевод.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Кровеносные сосуды легких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Легочная артерия несет кровь от правого желудочка сердца, она делится на правую и левую ветви, которые направляются к легким. Эти артерии ветвятся, следуя за бронхами, снабжают крупные структуры легкого и образуют капилляры, оплетающие стенки альвеол.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 альвеоле отделен от крови в капилляре 1) стенкой альвеолы, 2) стенкой капилляра и в некоторых случаях 3) промежуточным слоем между ними. Из капилляров кровь поступает в мелкие вены, которые в конце концов соединяются и образуют легочные вены, доставляющие кровь в левое предсердие.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Бронхиальные артерии большого круга тоже приносят кровь к легким, а именно снабжают бронхи и бронхиолы, лимфатические узлы, стенки кровеносных сосудов и плевру. Большая часть этой крови оттекает в бронхиальные вены, а оттуда - в непарную (справа) и в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полунепарную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(слева). Очень небольшое количество артериальной бронхиальной крови поступает в легочные вены.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мышцы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мышцы - это те мышцы, сокращения которых изменяют объем грудной клетки. Мышцы, направляющиеся от головы, шеи, рук и некоторых верхних грудных и нижних шейных позвонков, а также наружные межреберные мышцы, соединяющие ребро с ребром, приподнимают ребра и увеличивают объем грудной клетки. Диафрагма-мышечно-сухожильная пластина, прикрепленная к позвонкам, ребрам и грудине, отделяет грудную полость от брюшной. Это главная мышца, участвующая в нормальном вдохе. При усиленном вдохе сокращаются дополнительные группы мышц. При усиленном выдохе действуют мышцы, прикрепленные между ребрами (внутренние межреберные мышцы), к ребрам и нижним грудным и верхним поясничным позвонкам, а также мышцы брюшной полости; они опускают ребра и прижимают брюшные органы к расслабившейся диафрагме, уменьшая таким образом емкость грудной клетки.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Легочная вентиляция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внутриплевральное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 остается ниже атмосферного, размеры легких точно следуют за размерами грудной полости. Движения легких совершаются в результате сокращения дыхательных мышц в сочетании с движением частей грудной стенки и диафрагмы.</w:t>
      </w:r>
    </w:p>
    <w:p w:rsidR="00B36D0F" w:rsidRP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D0F" w:rsidRP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движения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всех связанных с дыханием мышц придает грудной клетке положение пассивного выдоха. Соответствующая мышечная активность может перевести это положение во вдох или же усилить выдох.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создается расширением грудной полости и всегда является активным процессом. Благодаря своему сочленению с позвонками ребра движутся вверх и наружу, увеличивая расстояние от позвоночника до грудины, а также боковые размеры грудной полости (реберный или грудной тип дыхания</w:t>
      </w:r>
      <w:proofErr w:type="gram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).Сокращение</w:t>
      </w:r>
      <w:proofErr w:type="gram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диафрагмы меняет ее форму из куполообразной в более плоскую, что увеличивает размеры грудной полости в продольном направлении (диафрагмальный или брюшной тип дыхания). Обычно главную роль во вдохе играет диафрагмальное дыхание. Поскольку люди-существа двуногие, при каждом движении ребер и грудины меняется центр тяжести тела и возникает необходимость приспособить к этому разные мышцы.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спокойном дыхании у человека обычно достаточно эластических свойств и веса переместившихся тканей, чтобы вернуть их в положение, предшествующее вдоху. Таким образом, выдох в покое происходит пассивно вследствие постепенного снижения активности мышц, создающих условие для вдоха. Активный выдох может возникнуть вследствие сокращения внутренних межреберных мышц в дополнение к другим мышечным группам, которые опускают ребра, уменьшают поперечные размеры грудной полости и расстояние между грудиной и позвоночником. Активный выдох может также произойти вследствие сокращения брюшных мышц, которое прижимает внутренности к расслабленной диафрагме и уменьшает продольный размер грудной полости.</w:t>
      </w:r>
    </w:p>
    <w:p w:rsidR="00BA2348" w:rsidRPr="00BA2348" w:rsidRDefault="00BA2348" w:rsidP="00BA234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легкого снижает (на время) общее внутрилегочное (альвеолярное) давление. Оно равно атмосферному, когда воздух не движется, а голосовая щель открыта. Оно ниже атмосферного, пока легкие не наполнятся при вдохе, и выше атмосферного при выдохе.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Внутриплевральное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 тоже меняется на протяжении дыхательного движения; но оно всегда ниже атмосферного (т. е. всегда отрицательное).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 дыхательных газов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0.3%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содержащегося в артериальной крови большого круга при нормальном РО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растворено в плазме. Все остальное количество находится в непрочном химическом соединении с гемоглобином (НЬ) эритроцитов. Гемоглобин представляет собой белок с присоединенной к нему железосодержащей группой.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Fе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каждой молекулы гемоглобина соединяется непрочно и обратимо с одной молекулой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Полностью насыщенный кислородом гемоглобин содержит 1,39 мл.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1 г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Нb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некоторых источниках указывается 1,34 мл).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Полностью насыщенный кислородом гемоглобин (НbО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обладает более сильными кислотными свойствами, чем восстановленный гемоглобин (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Нb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результате в растворе, имеющем рН 7.25, освобождение 1мМ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НbО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делает возможным усвоение О.7 </w:t>
      </w:r>
      <w:proofErr w:type="spellStart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изменения рН; таким образом, выделение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оказывает буферное действие.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между числом свободных молекул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числом молекул, связанных с гемоглобином (НbО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описывается кривой диссоциации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НbО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представлен в одной из двух форм: или как доля соединенного с кислородом гемоглобина (% НbО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или как объем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100 мл крови во взятой пробе (объемные проценты). В обоих случаях форма кривой диссоциации кислорода остается одной и той же.</w:t>
      </w:r>
    </w:p>
    <w:p w:rsidR="00B36D0F" w:rsidRP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Насыщение тканей кислородом</w:t>
      </w: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крови в те участки ткани, где он используется, происходит путем простой диффузии. Поскольку кислород используется главным образом в митохондриях, расстояния, на которые происходит диффузия в тканях, представляются большими по сравнению с обменом в легких. В мышечной ткани присутствие миоглобина, как полагают, облегчает диффузию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вычисления тканевого PО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созданы теоретически модели, которые предусматривают факторы, влияющие на поступление и потребление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расстояние между капиллярами, кроваток в капиллярах и тканевой метаболизм. Самое низкое О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установлено в венозном конце и на полпути между капиллярами, если принять, что кровоток в капиллярах одинаковый и что они параллельны.</w:t>
      </w:r>
    </w:p>
    <w:p w:rsidR="00B36D0F" w:rsidRP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D0F" w:rsidRDefault="00B36D0F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348" w:rsidRPr="00BA2348" w:rsidRDefault="00BA2348" w:rsidP="00B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411"/>
        <w:gridCol w:w="1344"/>
        <w:gridCol w:w="3827"/>
        <w:gridCol w:w="516"/>
      </w:tblGrid>
      <w:tr w:rsidR="00BA2348" w:rsidRPr="00BA2348" w:rsidTr="00BA2348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indexes</w:t>
            </w:r>
            <w:proofErr w:type="spellEnd"/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definitions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индексы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определения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F,f</w:t>
            </w:r>
            <w:proofErr w:type="spellEnd"/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frequency</w:t>
            </w:r>
            <w:proofErr w:type="spellEnd"/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дыхания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Vt,TV</w:t>
            </w:r>
            <w:proofErr w:type="spellEnd"/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дыхательный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минутный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дыхания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RV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residual</w:t>
            </w:r>
            <w:proofErr w:type="spellEnd"/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volume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остаточный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вдоха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ERV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выд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выдоха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IRV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вд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вдоха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остаточная емкость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FVC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ФЖЕЛ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форсированная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жизненная емкость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TLC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total</w:t>
            </w:r>
            <w:proofErr w:type="spellEnd"/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lung</w:t>
            </w:r>
            <w:proofErr w:type="spell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емкость легких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vital</w:t>
            </w:r>
            <w:proofErr w:type="spellEnd"/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жизненная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емкость легких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MBC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maximal</w:t>
            </w:r>
            <w:proofErr w:type="spellEnd"/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breathing</w:t>
            </w:r>
            <w:proofErr w:type="spell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MBC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вентиляционная способность легких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MVVf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maximal</w:t>
            </w:r>
            <w:proofErr w:type="spellEnd"/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voluntary</w:t>
            </w:r>
            <w:proofErr w:type="spell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ventilation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</w:t>
            </w:r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произвольная вентиляция легких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348" w:rsidRPr="00BA2348" w:rsidTr="00BA2348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TLV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total</w:t>
            </w:r>
            <w:proofErr w:type="spellEnd"/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lung</w:t>
            </w:r>
            <w:proofErr w:type="spell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ventilation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A2348" w:rsidRPr="00BA2348" w:rsidRDefault="00BA2348" w:rsidP="00BA234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общелегочная</w:t>
            </w:r>
            <w:proofErr w:type="spellEnd"/>
            <w:proofErr w:type="gramEnd"/>
            <w:r w:rsidRPr="00B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вентиляция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A2348" w:rsidRPr="00BA2348" w:rsidRDefault="00BA2348" w:rsidP="00BA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9FB" w:rsidRPr="00B36D0F" w:rsidRDefault="004979FB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0F" w:rsidRPr="00B36D0F" w:rsidRDefault="004979FB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6D0F" w:rsidRPr="00B36D0F" w:rsidRDefault="00B36D0F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0F" w:rsidRPr="00B36D0F" w:rsidRDefault="00B36D0F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0F" w:rsidRPr="00B36D0F" w:rsidRDefault="00B36D0F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0F" w:rsidRPr="00B36D0F" w:rsidRDefault="00B36D0F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0F" w:rsidRPr="00B36D0F" w:rsidRDefault="00B36D0F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0F" w:rsidRPr="00B36D0F" w:rsidRDefault="00B36D0F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77B" w:rsidRPr="00B36D0F" w:rsidRDefault="004979FB" w:rsidP="004979F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55277B" w:rsidRPr="00B36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литературы:</w:t>
      </w:r>
    </w:p>
    <w:p w:rsidR="00BA2348" w:rsidRPr="00B36D0F" w:rsidRDefault="00BA2348" w:rsidP="00BA2348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методы диагностики и лечения заболеваний органов дыхания. Сб. </w:t>
      </w:r>
      <w:proofErr w:type="spellStart"/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</w:t>
      </w:r>
      <w:proofErr w:type="spellEnd"/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тр. (Под ред. </w:t>
      </w:r>
      <w:proofErr w:type="spellStart"/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А.Г.Чучелина</w:t>
      </w:r>
      <w:proofErr w:type="spellEnd"/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- М.: Б. и., 1983.</w:t>
      </w:r>
    </w:p>
    <w:p w:rsidR="00BA2348" w:rsidRPr="00B36D0F" w:rsidRDefault="00BA2348" w:rsidP="00BA2348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методы диагностики и лечения заболеваний верхних дыхательных путей. Сб. статей. (Под ред. Б.Ю. Митина). - Киев: Б. и., 1990.</w:t>
      </w:r>
    </w:p>
    <w:p w:rsidR="00BA2348" w:rsidRPr="00B36D0F" w:rsidRDefault="00BA2348" w:rsidP="00BA2348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Спирография (методика исследования и клинического использования). Методическое письмо (ВНИИ </w:t>
      </w:r>
      <w:proofErr w:type="gramStart"/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пульмонологии)/</w:t>
      </w:r>
      <w:proofErr w:type="gramEnd"/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ред. </w:t>
      </w:r>
      <w:proofErr w:type="spellStart"/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Канаева</w:t>
      </w:r>
      <w:proofErr w:type="spellEnd"/>
      <w:r w:rsidRPr="00B36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 - Л.: ВНИИП, 1972.</w:t>
      </w:r>
    </w:p>
    <w:p w:rsidR="004979FB" w:rsidRPr="00B36D0F" w:rsidRDefault="0055277B" w:rsidP="00BA234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6D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979FB" w:rsidRPr="00B36D0F" w:rsidRDefault="004979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79FB" w:rsidRPr="00B3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062"/>
    <w:multiLevelType w:val="hybridMultilevel"/>
    <w:tmpl w:val="659E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1E3"/>
    <w:multiLevelType w:val="multilevel"/>
    <w:tmpl w:val="2A5C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D055D"/>
    <w:multiLevelType w:val="multilevel"/>
    <w:tmpl w:val="BFB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82116"/>
    <w:multiLevelType w:val="hybridMultilevel"/>
    <w:tmpl w:val="6228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27FE"/>
    <w:multiLevelType w:val="multilevel"/>
    <w:tmpl w:val="DE5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05404"/>
    <w:multiLevelType w:val="multilevel"/>
    <w:tmpl w:val="B638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212EA"/>
    <w:multiLevelType w:val="hybridMultilevel"/>
    <w:tmpl w:val="77DA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07C9"/>
    <w:multiLevelType w:val="hybridMultilevel"/>
    <w:tmpl w:val="366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7B"/>
    <w:rsid w:val="00076CCC"/>
    <w:rsid w:val="000D5757"/>
    <w:rsid w:val="004979FB"/>
    <w:rsid w:val="0055277B"/>
    <w:rsid w:val="00793C71"/>
    <w:rsid w:val="00A122A8"/>
    <w:rsid w:val="00A545B4"/>
    <w:rsid w:val="00B36D0F"/>
    <w:rsid w:val="00BA2348"/>
    <w:rsid w:val="00C0070F"/>
    <w:rsid w:val="00E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2E88-C31F-410A-AB3C-FA3C4BA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A2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4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7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7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2022-10-19T10:38:00Z</dcterms:created>
  <dcterms:modified xsi:type="dcterms:W3CDTF">2023-05-11T14:04:00Z</dcterms:modified>
</cp:coreProperties>
</file>