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40" w:rsidRPr="00A869AF" w:rsidRDefault="008F1F40" w:rsidP="00A211D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36"/>
          <w:szCs w:val="36"/>
        </w:rPr>
      </w:pPr>
      <w:r w:rsidRPr="00A869AF">
        <w:rPr>
          <w:rFonts w:ascii="Times New Roman" w:eastAsia="TimesNewRomanPSMT" w:hAnsi="Times New Roman" w:cs="Times New Roman"/>
          <w:sz w:val="36"/>
          <w:szCs w:val="36"/>
        </w:rPr>
        <w:t>Федеральное государственное бюджетное образовательное учреждение высшего образования</w:t>
      </w:r>
    </w:p>
    <w:p w:rsidR="008F1F40" w:rsidRPr="00A869AF" w:rsidRDefault="008F1F40" w:rsidP="008F1F40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36"/>
          <w:szCs w:val="36"/>
        </w:rPr>
      </w:pPr>
      <w:r w:rsidRPr="00A869AF">
        <w:rPr>
          <w:rFonts w:ascii="Times New Roman" w:eastAsia="TimesNewRomanPSMT" w:hAnsi="Times New Roman" w:cs="Times New Roman"/>
          <w:sz w:val="36"/>
          <w:szCs w:val="36"/>
        </w:rPr>
        <w:t xml:space="preserve">"Красноярский государственный медицинский университет имени профессора В.Ф. </w:t>
      </w:r>
      <w:proofErr w:type="spellStart"/>
      <w:r w:rsidRPr="00A869AF">
        <w:rPr>
          <w:rFonts w:ascii="Times New Roman" w:eastAsia="TimesNewRomanPSMT" w:hAnsi="Times New Roman" w:cs="Times New Roman"/>
          <w:sz w:val="36"/>
          <w:szCs w:val="36"/>
        </w:rPr>
        <w:t>Войно-Ясенецкого</w:t>
      </w:r>
      <w:proofErr w:type="spellEnd"/>
      <w:r w:rsidRPr="00A869AF">
        <w:rPr>
          <w:rFonts w:ascii="Times New Roman" w:eastAsia="TimesNewRomanPSMT" w:hAnsi="Times New Roman" w:cs="Times New Roman"/>
          <w:sz w:val="36"/>
          <w:szCs w:val="36"/>
        </w:rPr>
        <w:t>"</w:t>
      </w:r>
    </w:p>
    <w:p w:rsidR="008F1F40" w:rsidRPr="00A869AF" w:rsidRDefault="008F1F40" w:rsidP="008F1F40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36"/>
          <w:szCs w:val="36"/>
        </w:rPr>
      </w:pPr>
      <w:r w:rsidRPr="00A869AF">
        <w:rPr>
          <w:rFonts w:ascii="Times New Roman" w:eastAsia="TimesNewRomanPSMT" w:hAnsi="Times New Roman" w:cs="Times New Roman"/>
          <w:sz w:val="36"/>
          <w:szCs w:val="36"/>
        </w:rPr>
        <w:t>Министерства здравоохранения Российской Федерации</w:t>
      </w:r>
    </w:p>
    <w:p w:rsidR="008F1F40" w:rsidRPr="00A869AF" w:rsidRDefault="008F1F40" w:rsidP="008F1F40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36"/>
          <w:szCs w:val="36"/>
        </w:rPr>
      </w:pPr>
      <w:r w:rsidRPr="00A869AF">
        <w:rPr>
          <w:rFonts w:ascii="Times New Roman" w:eastAsia="TimesNewRomanPSMT" w:hAnsi="Times New Roman" w:cs="Times New Roman"/>
          <w:sz w:val="36"/>
          <w:szCs w:val="36"/>
        </w:rPr>
        <w:t xml:space="preserve">Кафедра патологической анатомии имени профессора </w:t>
      </w:r>
      <w:proofErr w:type="spellStart"/>
      <w:r w:rsidRPr="00A869AF">
        <w:rPr>
          <w:rFonts w:ascii="Times New Roman" w:eastAsia="TimesNewRomanPSMT" w:hAnsi="Times New Roman" w:cs="Times New Roman"/>
          <w:sz w:val="36"/>
          <w:szCs w:val="36"/>
        </w:rPr>
        <w:t>П.Г.Подзолкова</w:t>
      </w:r>
      <w:proofErr w:type="spellEnd"/>
    </w:p>
    <w:p w:rsidR="008F1F40" w:rsidRPr="00A869AF" w:rsidRDefault="008F1F40" w:rsidP="008F1F40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36"/>
          <w:szCs w:val="36"/>
        </w:rPr>
      </w:pPr>
    </w:p>
    <w:p w:rsidR="008F1F40" w:rsidRPr="00A869AF" w:rsidRDefault="008F1F40" w:rsidP="008F1F40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36"/>
          <w:szCs w:val="36"/>
        </w:rPr>
      </w:pPr>
      <w:r w:rsidRPr="00A869AF">
        <w:rPr>
          <w:rFonts w:ascii="Times New Roman" w:eastAsia="TimesNewRomanPSMT" w:hAnsi="Times New Roman" w:cs="Times New Roman"/>
          <w:sz w:val="36"/>
          <w:szCs w:val="36"/>
        </w:rPr>
        <w:t>РЕФЕРАТ</w:t>
      </w:r>
    </w:p>
    <w:p w:rsidR="008F1F40" w:rsidRPr="00A869AF" w:rsidRDefault="008F1F40" w:rsidP="008F1F40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6"/>
          <w:szCs w:val="36"/>
        </w:rPr>
      </w:pPr>
    </w:p>
    <w:p w:rsidR="008F1F40" w:rsidRPr="00A869AF" w:rsidRDefault="008F1F40" w:rsidP="008F1F40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6"/>
          <w:szCs w:val="36"/>
        </w:rPr>
      </w:pPr>
      <w:r w:rsidRPr="00A869AF">
        <w:rPr>
          <w:rFonts w:ascii="Times New Roman" w:eastAsia="TimesNewRomanPSMT" w:hAnsi="Times New Roman" w:cs="Times New Roman"/>
          <w:b/>
          <w:bCs/>
          <w:sz w:val="36"/>
          <w:szCs w:val="36"/>
        </w:rPr>
        <w:t xml:space="preserve">«Патологическая анатомия </w:t>
      </w:r>
      <w:r>
        <w:rPr>
          <w:rFonts w:ascii="Times New Roman" w:eastAsia="TimesNewRomanPSMT" w:hAnsi="Times New Roman" w:cs="Times New Roman"/>
          <w:b/>
          <w:bCs/>
          <w:sz w:val="36"/>
          <w:szCs w:val="36"/>
        </w:rPr>
        <w:t>системной красной волчанки</w:t>
      </w:r>
      <w:r w:rsidRPr="00A869AF">
        <w:rPr>
          <w:rFonts w:ascii="Times New Roman" w:eastAsia="TimesNewRomanPSMT" w:hAnsi="Times New Roman" w:cs="Times New Roman"/>
          <w:b/>
          <w:bCs/>
          <w:sz w:val="36"/>
          <w:szCs w:val="36"/>
        </w:rPr>
        <w:t>»</w:t>
      </w:r>
    </w:p>
    <w:p w:rsidR="008F1F40" w:rsidRPr="00A869AF" w:rsidRDefault="008F1F40" w:rsidP="008F1F40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  <w:bCs/>
          <w:sz w:val="36"/>
          <w:szCs w:val="36"/>
        </w:rPr>
      </w:pPr>
    </w:p>
    <w:p w:rsidR="008F1F40" w:rsidRPr="00A869AF" w:rsidRDefault="008F1F40" w:rsidP="008F1F40">
      <w:pPr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sz w:val="36"/>
          <w:szCs w:val="36"/>
        </w:rPr>
      </w:pPr>
      <w:r w:rsidRPr="00A869AF">
        <w:rPr>
          <w:rFonts w:ascii="Times New Roman" w:eastAsia="TimesNewRomanPSMT" w:hAnsi="Times New Roman" w:cs="Times New Roman"/>
          <w:b/>
          <w:bCs/>
          <w:sz w:val="36"/>
          <w:szCs w:val="36"/>
        </w:rPr>
        <w:t xml:space="preserve">Выполнил: </w:t>
      </w:r>
      <w:r w:rsidRPr="00A869AF">
        <w:rPr>
          <w:rFonts w:ascii="Times New Roman" w:eastAsia="TimesNewRomanPSMT" w:hAnsi="Times New Roman" w:cs="Times New Roman"/>
          <w:sz w:val="36"/>
          <w:szCs w:val="36"/>
        </w:rPr>
        <w:t>ординатор 2-го года</w:t>
      </w:r>
    </w:p>
    <w:p w:rsidR="008F1F40" w:rsidRPr="00A869AF" w:rsidRDefault="008F1F40" w:rsidP="008F1F40">
      <w:pPr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sz w:val="36"/>
          <w:szCs w:val="36"/>
        </w:rPr>
      </w:pPr>
      <w:proofErr w:type="spellStart"/>
      <w:r w:rsidRPr="00A869AF">
        <w:rPr>
          <w:rFonts w:ascii="Times New Roman" w:eastAsia="TimesNewRomanPSMT" w:hAnsi="Times New Roman" w:cs="Times New Roman"/>
          <w:sz w:val="36"/>
          <w:szCs w:val="36"/>
        </w:rPr>
        <w:t>Воробович</w:t>
      </w:r>
      <w:proofErr w:type="spellEnd"/>
      <w:r w:rsidRPr="00A869AF">
        <w:rPr>
          <w:rFonts w:ascii="Times New Roman" w:eastAsia="TimesNewRomanPSMT" w:hAnsi="Times New Roman" w:cs="Times New Roman"/>
          <w:sz w:val="36"/>
          <w:szCs w:val="36"/>
        </w:rPr>
        <w:t xml:space="preserve"> Никита Сергеевич</w:t>
      </w:r>
    </w:p>
    <w:p w:rsidR="008F1F40" w:rsidRPr="00A869AF" w:rsidRDefault="008F1F40" w:rsidP="008F1F40">
      <w:pPr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sz w:val="36"/>
          <w:szCs w:val="36"/>
        </w:rPr>
      </w:pPr>
      <w:r w:rsidRPr="00A869AF">
        <w:rPr>
          <w:rFonts w:ascii="Times New Roman" w:eastAsia="TimesNewRomanPSMT" w:hAnsi="Times New Roman" w:cs="Times New Roman"/>
          <w:b/>
          <w:sz w:val="36"/>
          <w:szCs w:val="36"/>
        </w:rPr>
        <w:t xml:space="preserve">Специальность: </w:t>
      </w:r>
      <w:r w:rsidRPr="00A869AF">
        <w:rPr>
          <w:rFonts w:ascii="Times New Roman" w:eastAsia="TimesNewRomanPSMT" w:hAnsi="Times New Roman" w:cs="Times New Roman"/>
          <w:sz w:val="36"/>
          <w:szCs w:val="36"/>
        </w:rPr>
        <w:t>патологическая анатомия</w:t>
      </w:r>
    </w:p>
    <w:p w:rsidR="008F1F40" w:rsidRPr="00A869AF" w:rsidRDefault="008F1F40" w:rsidP="008F1F40">
      <w:pPr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sz w:val="36"/>
          <w:szCs w:val="36"/>
        </w:rPr>
      </w:pPr>
      <w:r w:rsidRPr="00A869AF">
        <w:rPr>
          <w:rFonts w:ascii="Times New Roman" w:eastAsia="TimesNewRomanPSMT" w:hAnsi="Times New Roman" w:cs="Times New Roman"/>
          <w:b/>
          <w:bCs/>
          <w:sz w:val="36"/>
          <w:szCs w:val="36"/>
        </w:rPr>
        <w:t xml:space="preserve">Руководитель: </w:t>
      </w:r>
      <w:r w:rsidRPr="00A869AF">
        <w:rPr>
          <w:rFonts w:ascii="Times New Roman" w:eastAsia="TimesNewRomanPSMT" w:hAnsi="Times New Roman" w:cs="Times New Roman"/>
          <w:bCs/>
          <w:sz w:val="36"/>
          <w:szCs w:val="36"/>
        </w:rPr>
        <w:t xml:space="preserve">зав. кафедрой, </w:t>
      </w:r>
      <w:r w:rsidRPr="00A869AF">
        <w:rPr>
          <w:rFonts w:ascii="Times New Roman" w:eastAsia="TimesNewRomanPSMT" w:hAnsi="Times New Roman" w:cs="Times New Roman"/>
          <w:sz w:val="36"/>
          <w:szCs w:val="36"/>
        </w:rPr>
        <w:t xml:space="preserve">К.М.Н., </w:t>
      </w:r>
    </w:p>
    <w:p w:rsidR="008F1F40" w:rsidRPr="00A869AF" w:rsidRDefault="008F1F40" w:rsidP="008F1F40">
      <w:pPr>
        <w:spacing w:line="360" w:lineRule="auto"/>
        <w:jc w:val="right"/>
        <w:rPr>
          <w:rFonts w:ascii="Times New Roman" w:eastAsia="TimesNewRomanPSMT" w:hAnsi="Times New Roman" w:cs="Times New Roman"/>
          <w:sz w:val="36"/>
          <w:szCs w:val="36"/>
        </w:rPr>
      </w:pPr>
      <w:hyperlink r:id="rId4" w:history="1">
        <w:proofErr w:type="spellStart"/>
        <w:r w:rsidRPr="00A869AF">
          <w:rPr>
            <w:rFonts w:ascii="Times New Roman" w:eastAsia="TimesNewRomanPSMT" w:hAnsi="Times New Roman" w:cs="Times New Roman"/>
            <w:sz w:val="36"/>
            <w:szCs w:val="36"/>
          </w:rPr>
          <w:t>Хоржевский</w:t>
        </w:r>
        <w:proofErr w:type="spellEnd"/>
        <w:r w:rsidRPr="00A869AF">
          <w:rPr>
            <w:rFonts w:ascii="Times New Roman" w:eastAsia="TimesNewRomanPSMT" w:hAnsi="Times New Roman" w:cs="Times New Roman"/>
            <w:sz w:val="36"/>
            <w:szCs w:val="36"/>
          </w:rPr>
          <w:t xml:space="preserve"> Владимир Алексеевич</w:t>
        </w:r>
      </w:hyperlink>
    </w:p>
    <w:p w:rsidR="008F1F40" w:rsidRPr="00A869AF" w:rsidRDefault="008F1F40" w:rsidP="008F1F40">
      <w:pPr>
        <w:spacing w:line="360" w:lineRule="auto"/>
        <w:jc w:val="right"/>
        <w:rPr>
          <w:rFonts w:ascii="Times New Roman" w:eastAsia="TimesNewRomanPSMT" w:hAnsi="Times New Roman" w:cs="Times New Roman"/>
          <w:sz w:val="36"/>
          <w:szCs w:val="36"/>
        </w:rPr>
      </w:pPr>
    </w:p>
    <w:p w:rsidR="008F1F40" w:rsidRPr="00A869AF" w:rsidRDefault="008F1F40" w:rsidP="008F1F40">
      <w:pPr>
        <w:spacing w:line="360" w:lineRule="auto"/>
        <w:jc w:val="right"/>
        <w:rPr>
          <w:rFonts w:ascii="Times New Roman" w:eastAsia="TimesNewRomanPSMT" w:hAnsi="Times New Roman" w:cs="Times New Roman"/>
          <w:sz w:val="36"/>
          <w:szCs w:val="36"/>
        </w:rPr>
      </w:pPr>
    </w:p>
    <w:p w:rsidR="008F1F40" w:rsidRPr="00A869AF" w:rsidRDefault="008F1F40" w:rsidP="008F1F40">
      <w:pPr>
        <w:jc w:val="center"/>
        <w:rPr>
          <w:rFonts w:ascii="Times New Roman" w:eastAsia="TimesNewRomanPSMT" w:hAnsi="Times New Roman" w:cs="Times New Roman"/>
          <w:sz w:val="36"/>
          <w:szCs w:val="36"/>
        </w:rPr>
      </w:pPr>
    </w:p>
    <w:p w:rsidR="008F1F40" w:rsidRPr="00C32664" w:rsidRDefault="008F1F40" w:rsidP="008F1F40">
      <w:pPr>
        <w:jc w:val="center"/>
        <w:rPr>
          <w:rFonts w:ascii="Times New Roman" w:eastAsia="TimesNewRomanPSMT" w:hAnsi="Times New Roman" w:cs="Times New Roman"/>
          <w:sz w:val="36"/>
          <w:szCs w:val="36"/>
        </w:rPr>
      </w:pPr>
      <w:r w:rsidRPr="00A869AF">
        <w:rPr>
          <w:rFonts w:ascii="Times New Roman" w:eastAsia="TimesNewRomanPSMT" w:hAnsi="Times New Roman" w:cs="Times New Roman"/>
          <w:sz w:val="36"/>
          <w:szCs w:val="36"/>
        </w:rPr>
        <w:t>Красноярск, 2</w:t>
      </w:r>
      <w:r>
        <w:rPr>
          <w:rFonts w:ascii="Times New Roman" w:eastAsia="TimesNewRomanPSMT" w:hAnsi="Times New Roman" w:cs="Times New Roman"/>
          <w:sz w:val="36"/>
          <w:szCs w:val="36"/>
        </w:rPr>
        <w:t>022</w:t>
      </w:r>
    </w:p>
    <w:p w:rsidR="008F1F40" w:rsidRPr="008F1F40" w:rsidRDefault="008F1F40" w:rsidP="009535DF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Красная волчанка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spellStart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lupus</w:t>
      </w:r>
      <w:proofErr w:type="spellEnd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erythematodes</w:t>
      </w:r>
      <w:proofErr w:type="spellEnd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lupus</w:t>
      </w:r>
      <w:proofErr w:type="spellEnd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erythematosus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син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.: </w:t>
      </w:r>
      <w:proofErr w:type="spellStart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erythema</w:t>
      </w:r>
      <w:proofErr w:type="spellEnd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centrifugum</w:t>
      </w:r>
      <w:proofErr w:type="spellEnd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эритематоз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— групповое понятие, включающее ряд нозологических единиц, гл. обр. системную красную волчанку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дискоидную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красную волчанку, а также синдром лекарственной волчанки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drug-induced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lupus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Системная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дискоидная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Красная волчанка имеют ряд общих черт.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Так, и системная,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дискоидная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Красная волчанка поражает преимущественно женщин; для обеих форм характерны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эритематозные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высыпания на коже лица, конечностей, туловища и слизистых оболочках (энантемы), повышенная чувствительность к солнечному облучению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фотосенсибилизация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); возможен переход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дискоидной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Красной волчанки в системную (у 3—5% больных); в отдельных семьях могут встречаться больные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дискоидной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системной Красной волчанкой и другими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коллагеновыми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болезнями.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Вместе с тем, различия в характере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эритематозных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высыпаний и особенно системных проявлений при системной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дискоидной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Красной волчанке, особенности патогенеза, в частности глубокие нарушения иммуногенеза при системной Красной волчанке, позволяют большинству авторов рассматривать их как отдельные нозологические формы. Это нашло отражение в «Статистической классификации болезней и причин смерти» (1969):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дискоидная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Красная волчанка относится к классу XII «Болезни кожи и подкожной клетчатки», а системная Красная волчанка — к классу XIII «Болезни костно-мышечной системы и соединительной ткани».</w:t>
      </w:r>
    </w:p>
    <w:p w:rsidR="008F1F40" w:rsidRPr="008F1F40" w:rsidRDefault="008F1F40" w:rsidP="009535DF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Системная Красная волчанка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lupus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erythematosus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systemicus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син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 острая красная волчанка,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эритематозный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хрониосепсис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болезнь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Либмана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Сакса) — хроническое системное воспалительное заболевание соединительной ткани и сосудов с выраженным аутоиммунным патогенезом и, по-видимому, вирусной этиологией; относится к диффузным болезням соединительной ткани — коллагенозам (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см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"https://xn--90aw5c.xn--c1avg/index.php/%D0%9A%D0%9E%D0%9B%D0%9B%D0%90%D0%93%D0%95%D0%9D%D0%9E%D0%92%D0%AB%D0%95_%D0%91%D0%9E%D0%9B%D0%95%D0%97%D0%9D%D0%98" \o "КОЛЛАГЕНОВЫЕ БОЛЕЗНИ" </w:instrTex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Коллагеновые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болезни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Системная К. в.— болезнь женщин детородного возраста (20—30 лет), нередко заболевают девочки подросткового возраста.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Соотношение женщин и мужчин, страдающих этим заболеванием, по большинству статистик,— 8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— 10 : 1.</w:t>
      </w:r>
    </w:p>
    <w:p w:rsidR="008F1F40" w:rsidRPr="008F1F40" w:rsidRDefault="00503015" w:rsidP="0050301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030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ИСТОРИЯ</w:t>
      </w:r>
    </w:p>
    <w:p w:rsidR="008F1F40" w:rsidRPr="008F1F40" w:rsidRDefault="008F1F40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Системная </w:t>
      </w:r>
      <w:r w:rsidR="00503015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красная волчанка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описана в 1872 г. венским дерматологом М.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Капоши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дискоидная</w:t>
      </w:r>
      <w:proofErr w:type="spellEnd"/>
      <w:r w:rsidR="005030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красная волчанка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характеризующаяся лихорадкой, плевропневмонией, быстрым развитием комы или сопора и смертью.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1923 г.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Либман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Сакс (E.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Libman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Sacks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описали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атипичный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веррукозным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эндокардит (эндокардит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Либмана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Сакса), полисерозит, пневмонию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эритематозные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высыпания в области спинки носа и скуло</w:t>
      </w:r>
      <w:r w:rsidR="00503015">
        <w:rPr>
          <w:rFonts w:ascii="Times New Roman" w:eastAsia="Times New Roman" w:hAnsi="Times New Roman" w:cs="Times New Roman"/>
          <w:color w:val="333333"/>
          <w:sz w:val="28"/>
          <w:szCs w:val="28"/>
        </w:rPr>
        <w:t>вых дуг — так наз. бабочку.</w:t>
      </w:r>
      <w:proofErr w:type="gramEnd"/>
      <w:r w:rsidR="005030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503015">
        <w:rPr>
          <w:rFonts w:ascii="Times New Roman" w:eastAsia="Times New Roman" w:hAnsi="Times New Roman" w:cs="Times New Roman"/>
          <w:color w:val="333333"/>
          <w:sz w:val="28"/>
          <w:szCs w:val="28"/>
        </w:rPr>
        <w:t>Сов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ременное учение о системной </w:t>
      </w:r>
      <w:r w:rsidR="00503015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красной волчанке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связано с именами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Клемперера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Поллака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Бэра (P.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Klemperer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А. Д.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Pollack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G. </w:t>
      </w:r>
      <w:proofErr w:type="spellStart"/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Baehr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которые в 1941 г. привлекли внимание к диффузной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коллагеновой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болезни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diffuse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collagen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disease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), описав системное поражение соединительной ткани при этой болезни и склеродермии.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 открытием LE-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клеток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Lupus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erythematosus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cells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Харгрейвсом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Ричмондом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Мортоном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(М. М.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Hargraves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, H.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Richmond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R.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Morton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в 1948 г., а в 1949 г.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Хейзериком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(Y. R. </w:t>
      </w:r>
      <w:proofErr w:type="spellStart"/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serick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) волчаночного фактора было обращено внимание на аутоиммунные нарушения.</w:t>
      </w:r>
    </w:p>
    <w:p w:rsidR="008F1F40" w:rsidRPr="008F1F40" w:rsidRDefault="008F1F40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отечественной литературе первое клин, описание «острой красной волчанки» принадлежит Г. И. Мещерскому (1911), а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патоморфологии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И. В. Давыдовскому (1929) и др. Систематическое изучение системной К. в. в нашей стране начато E.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Тареевым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О. М. Виноградовой и др. В 1965 г. E.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Тареев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соавт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, в монографий «Коллагенозы», проанализировав 150 наблюдений, описал системную К. в. во всем ее разнообразии, поставил вопрос об излечимости болезни и наметил пути дальнейшего изучения.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Безусловный прогресс в развитии учения о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системной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К. в. обусловлен высокоэффективным лечением кортикостероидами и иммунодепрессантами.</w:t>
      </w:r>
    </w:p>
    <w:p w:rsidR="00503015" w:rsidRPr="00503015" w:rsidRDefault="00503015" w:rsidP="0050301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ЭТИОЛОГИЯ</w:t>
      </w:r>
    </w:p>
    <w:p w:rsidR="008F1F40" w:rsidRPr="008F1F40" w:rsidRDefault="008F1F40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Этиология не выяснена, однако гипотеза о роли хронической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персистирующей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вирусной инфекции получила развитие в связи с обнаружением при электронной микроскопии в пораженных органах (коже, почках, синовиальной оболочке)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тубулоретикулярных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структур, расположенных в цитоплазме эндотелиальных клеток, а также в лимфоцитах и тромбоцитах периферической крови, которые напоминали нуклеопротеид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парамиксовирусов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системной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К. в. были также обнаружены в высоких титрах циркулирующие антитела к вирусам кори, краснухи,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парагриппу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другим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РНК-вирусам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группы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парамиксовирусов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больных и их родственников выявлены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лимфоцитотоксические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антитела, являющиеся маркерами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персистирующей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вирусной инфекции, а, кроме того, в этих же группах и у медперсонала, работающего с больными,— антитела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двуспиральной (вирусной) РНК. В связи с вирусной этиологией системной К. в. обсуждаются такие феномены, как гибридизация генома коревого вируса с ДНК клеток пораженных органов (селезенки, почек), обнаружение антигенов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онкорнавирусов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типа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во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фракциях селезенки, плаценты и почки. Гипотеза о значимости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хрон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вирусной инфекции при системной К. в. базируется также на изучении болезни новозеландских мышей, у которых роль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онкорнавируса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типа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доказана.</w:t>
      </w:r>
    </w:p>
    <w:p w:rsidR="008F1F40" w:rsidRDefault="008F1F40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Непереносимость лекарств, вакцин,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фотосенсибилизация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становление менструального цикла, беременность, роды, аборты и др. рассматриваются как факторы, провоцирующие болезнь или ее обострение; они имеют значение для профилактики и своевременной диагностики, поскольку связь начала или обострений болезни с этими факторами более характерна для системной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в., чем для других близких болезней.</w:t>
      </w:r>
    </w:p>
    <w:p w:rsidR="00DB49A4" w:rsidRDefault="00DB49A4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49A4" w:rsidRDefault="00DB49A4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49A4" w:rsidRDefault="00DB49A4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49A4" w:rsidRPr="008F1F40" w:rsidRDefault="00DB49A4" w:rsidP="00DB49A4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B49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ПАТОГЕНЕЗ</w:t>
      </w:r>
    </w:p>
    <w:p w:rsidR="00DB49A4" w:rsidRPr="008F1F40" w:rsidRDefault="00DB49A4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системной Красной волчанке очевидна роль нарушений гуморального звена иммунитета с развитием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органонеспецифических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аутоиммунных реакций, что проявляется гиперфункцией B-лимфоцитов и широким спектром циркулирующих 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"https://xn--90aw5c.xn--c1avg/index.php/%D0%90%D0%A3%D0%A2%D0%9E%D0%90%D0%9D%D0%A2%D0%98%D0%A2%D0%95%D0%9B%D0%90" \o "АУТОАНТИТЕЛА" </w:instrTex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аутоантител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к цельным ядрам клеток и отдельным ингредиентам ядра (ДНК, нуклеопротеид), а также лизосомам, митохондриям,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кардиолипидам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(ложноположительная реакция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Вассермана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свертывающим факторам крови, лейкоцитам, тромбоцитам, эритроцитам,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агрегированному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гамма-глобулину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др. Эти антитела, являясь антителами — свидетелями происшедшего повреждения, способны формировать циркулирующие иммунные комплексы, которые откладываются на базальных мембранах почек, кожи и др., вызывают их повреждение с развитием воспалительной реакции. Таков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иммунно-комплексный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механизм развития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люпус-нефрита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васкулитов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др. Наличие комплекса ДНК — антитело к этой ДНК и комплемента доказано выделением из ткани почки антител к ДНК, а сами иммунные комплексы обнаружены методом 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"https://xn--90aw5c.xn--c1avg/index.php/%D0%98%D0%9C%D0%9C%D0%A3%D0%9D%D0%9E%D0%A4%D0%9B%D0%AE%D0%9E%D0%A0%D0%95%D0%A1%D0%A6%D0%95%D0%9D%D0%A6%D0%98%D0%AF" \o "ИММУНОФЛЮОРЕСЦЕНЦИЯ" </w:instrTex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иммунофлюоресценции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Высокая активность системной К. в. характеризуется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гипокомплементемией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снижением содержания цельного комплемента (СН50) и его компонентов, особенно С3, принимающего участие в реакции антиген—антитело, С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, Сд1, С9 и др. (см. </w:t>
      </w:r>
      <w:hyperlink r:id="rId5" w:tooltip="КОМПЛЕМЕНТ" w:history="1">
        <w:proofErr w:type="gramStart"/>
        <w:r w:rsidRPr="008F1F40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Комплемент</w:t>
        </w:r>
      </w:hyperlink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Накоплено много фактов, указывающих, что имеет место дисбаланс гуморального и клеточного звеньев иммунитета; последнее проявляется различными реакциями гиперчувствительности замедленного типа, снижением содержания Т-лимфоцитов.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Наличие в отдельных семьях системной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дискоидной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К. в., различных аутоиммунных болезней,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фотосенсибилизации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непереносимости лекарственных препаратов, обнаружение широкого диапазона циркулирующих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аутоантител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членов этих семей позволяют думать о роли генетического предрасположения в развитии болезни, однако конкретные механизмы этого предрасположения еще не известны.</w:t>
      </w:r>
      <w:proofErr w:type="gramEnd"/>
    </w:p>
    <w:p w:rsidR="00503015" w:rsidRDefault="00DB49A4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Экспериментальные модели системной К. в.— болезнь новозеландских мышей (NZB, NZW и их гибридов NZB/NZW F1) и собак особых генетических линий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canine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lupus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— подтверждают высказанные выше положения, поскольку эти модели, безусловно, характеризуются генетическим предрасположением, дисбалансом в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гуморальном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клеточном звеньях иммунитета и вертикальной передачей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онкорнавируса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у новозеландских мышей.</w:t>
      </w:r>
    </w:p>
    <w:p w:rsidR="00DB49A4" w:rsidRDefault="00DB49A4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 w:type="page"/>
      </w:r>
    </w:p>
    <w:p w:rsidR="008F1F40" w:rsidRPr="008F1F40" w:rsidRDefault="00503015" w:rsidP="00503015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0301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ПАТОЛОГИЧЕСКАЯ АНАТОМИЯ</w:t>
      </w:r>
    </w:p>
    <w:p w:rsidR="008F1F40" w:rsidRPr="008F1F40" w:rsidRDefault="008F1F40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Системная </w:t>
      </w:r>
      <w:r w:rsidR="00503015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красная волчанка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будучи представителем группы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коллагеновых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болезней, характеризуется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генерализованным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распространением патологического процесса, охватывающего все органы и системы, что обусловливает клинико-анатомический полиморфизм заболевания. Генерализация вызвана циркуляцией в крови иммунных комплексов, повреждающих сосуды микроциркуляторного русла, следствием чего является системная прогрессирующая дезорганизация соединительной ткани.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Иммунопатол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 реакции подтверждаются усилением функции органов иммуногенеза, преципитацией в стенках сосудов и в пораженных тканях иммунных комплексов с появлением 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"https://xn--90aw5c.xn--c1avg/index.php/%D0%98%D0%9C%D0%9C%D0%A3%D0%9D%D0%9E%D0%9A%D0%9E%D0%9C%D0%9F%D0%95%D0%A2%D0%95%D0%9D%D0%A2%D0%9D%D0%AB%D0%95_%D0%9A%D0%9B%D0%95%D0%A2%D0%9A%D0%98" \o "ИММУНОКОМПЕТЕНТНЫЕ КЛЕТКИ" </w:instrTex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иммунокомпетентных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клеток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см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.). Повреждение сосудов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микроциркуляции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проявляется распространенными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васкулитами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деструктивного или пролиферативного характера (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см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"https://xn--90aw5c.xn--c1avg/index.php/%D0%92%D0%90%D0%A1%D0%9A%D0%A3%D0%9B%D0%98%D0%A2" \o "ВАСКУЛИТ" </w:instrTex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В эндотелии капилляров </w:t>
      </w:r>
      <w:proofErr w:type="spellStart"/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электронно-микроскопически</w:t>
      </w:r>
      <w:proofErr w:type="spellEnd"/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выявляют своеобразные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тубулярные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образования (рис. 1), похожие на рибонуклеопротеид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парамиксовируса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и, возможно, играющие этиологическую роль.</w:t>
      </w:r>
    </w:p>
    <w:p w:rsidR="008F1F40" w:rsidRPr="008F1F40" w:rsidRDefault="008F1F40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Специфику тканевых реакций при системной К. в. обусловливают признаки патологии клеточных ядер: базофилия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фибриноида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кариорексис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гематоксилиновые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тельца, LE-клетки, центральный хроматолиз. Базофилия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фибриноида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обусловлена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примесью кислых продуктов ядерного распада.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Гематоксилиновые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тельца, описанные в 1932 г. Л. Гроссом, представляют собой набухшие ядра погибших клеток с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лизированным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хроматином. LE-клетки, или клетки красной волчанки,— это зрелые нейтрофилы, цитоплазма которых почти целиком заполнена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фагоцитированным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ядром погибшего лейкоцита. Собственное ядро при этом оттеснено к периферии. Их можно встретить в синусах лимфатических узлов, в мазках-отпечатках из воспалительного экссудата, </w:t>
      </w:r>
      <w:proofErr w:type="spellStart"/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</w:t>
      </w:r>
      <w:proofErr w:type="spellEnd"/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, из пневмонических фокусов (рис. 2). Центральный хроматолиз проявляется вымыванием хроматина из центра клеточных ядер с просветлением последних.</w:t>
      </w:r>
    </w:p>
    <w:p w:rsidR="008F1F40" w:rsidRPr="008F1F40" w:rsidRDefault="008F1F40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Наиболее характерные изменения при системной К.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отмечают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почках, сердце, селезенке. Поражение почек характеризуется развитием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волчаночного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гломерулонефрита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микроскопически проявляющегося в двух формах: 1) с характерными признаками системной К. в.; 2) без характерных признаков системной К. в. (В. В. Серов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соавт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., 1974). К характерным признакам относятся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фибриноид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капилляров клубочков, феномен «проволочных петель», гиалиновые тромбы,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кариорексис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цветн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рис. 6). «Проволочными петлями» называют утолщенные, пропитанные плазменными белками и оголенные вследствие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слущивании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эндотелия базальные мембраны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гломерулярных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капилляров, которые рассматриваются как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предстадия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фибриноидных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изменений.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Их описал в 1935 г. Бэр (G.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Baehr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соавт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Гиалиновые тромбы расположены в просвете клубочковых капилляров и по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тинкториальным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свойствам расцениваются как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внутрисосудистый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фибриноид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Для второй формы свойственно развитие 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мембранозных,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мембранозно-пролиферативных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фибропластических изменений, присущих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банальному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гломерулонефриту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 Обе формы нередко встречаются в сочетании.</w:t>
      </w:r>
    </w:p>
    <w:p w:rsidR="008F1F40" w:rsidRPr="008F1F40" w:rsidRDefault="008F1F40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основе развития волчаночного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гломерулонефрита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лежит повреждение почечных клубочков иммунными комплексами. При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иммунофлюоресцентной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микроскопии в клубочках обнаруживают свечение иммуноглобулинов, комплемента, фибрина. </w:t>
      </w:r>
      <w:proofErr w:type="spellStart"/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Электронно-микроскопически</w:t>
      </w:r>
      <w:proofErr w:type="spellEnd"/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выявляют эквиваленты иммунных комплексов в виде депозитов. При локализации последних на субэпителиальной поверхности базальной мембраны отмечается повреждение отростков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подоцитов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образование шиповидных выростов мембраны, что обозначают как мембранозная трансформация. В клинике при этом часто отмечают нефротический синдром. Пролиферативная реакция, по мнению В. В. Серова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соавт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(1974), связана с размножением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мезангиальных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клеток. В исходе волчаночного нефрита развивается вторичное сморщивание почек.</w:t>
      </w:r>
    </w:p>
    <w:p w:rsidR="008F1F40" w:rsidRPr="008F1F40" w:rsidRDefault="008F1F40" w:rsidP="00503015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Поражение сердца характеризуется развитием эндокардита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Либмана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—Сакса. Эндокардит поражает створки и хорды клапанов, пристеночный эндокард, обычно к пороку сердца не приводит, однако возможно развитие недостаточности митрального клапана. В миокарде обнаруживают жировую дистрофию мышечных клеток («тигровое» сердце), реже диффузный пролиферативный межуточный миокардит — волчаночный кардит. Наиболее часто поражается перикард.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Селезенка увеличена, микроскопически в ней обнаруживают характерный признак — «луковичный» склероз — слоистое кольцевидное разрастание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коллагеновых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волокон в виде муфты вокруг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склер</w:t>
      </w:r>
      <w:r w:rsidR="00DB49A4">
        <w:rPr>
          <w:rFonts w:ascii="Times New Roman" w:eastAsia="Times New Roman" w:hAnsi="Times New Roman" w:cs="Times New Roman"/>
          <w:color w:val="333333"/>
          <w:sz w:val="28"/>
          <w:szCs w:val="28"/>
        </w:rPr>
        <w:t>озированных</w:t>
      </w:r>
      <w:proofErr w:type="spellEnd"/>
      <w:r w:rsidR="00DB49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артерий и </w:t>
      </w:r>
      <w:proofErr w:type="spellStart"/>
      <w:r w:rsidR="00DB49A4">
        <w:rPr>
          <w:rFonts w:ascii="Times New Roman" w:eastAsia="Times New Roman" w:hAnsi="Times New Roman" w:cs="Times New Roman"/>
          <w:color w:val="333333"/>
          <w:sz w:val="28"/>
          <w:szCs w:val="28"/>
        </w:rPr>
        <w:t>артериол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Фолликулы атрофированы, в красной пульпе выражены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плазматизация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Макрофагальная реакция.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Плазматизацию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отмечают также в увеличенных лимфатических узлах, костном мозге, вилочковой железе.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Возможно развитие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волчаночного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пневмонита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протекающего по типу интерстициальной пневмонии с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васкулитами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клеточной инфильтрацией интерстициальной ткани. Поражение легких может быть связано с присоединением вторичной инфекции.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Волчаночный процесс может поражать печень. При этом в портальных трактах наблюдают лимфоплазмоцитарную инфильтрацию, дистрофию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гепатоцитов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васкулитами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связано поражение нервной системы.</w:t>
      </w:r>
    </w:p>
    <w:p w:rsidR="00DB49A4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Висцеральные поражения часто сочетаются с поражением опорно-двигательного аппарата и кожи. При высокой активности заболевания в скелетных мышцах определяется картина острого очагового миозита. В суставах может развиваться картина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острого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синовита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преобладанием экссудативных реакций и обычно без последующих деформирующих процессов.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 микроскопическом исследовании кожи пораженных и внешне непораженных участков у 70—80% больных обнаруживают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васкулиты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чаще пролиферативные.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Иммунофлюоресцентное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исследование выявляет свечение иммуноглобулинов на базальной мембране в области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дермо-эпидермального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стыка.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Осложнения и проявления заболевания, ведущие к смерти больных (почечная недостаточность, очагово-сливная пневмония, сепсис, анемия,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васкулиты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приводящие к инфарктам головного мозга, сердца), имеют яркие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морфол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признаки. На морфологическую картину накладывает отпечаток кортикостероидная терапия, следствием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к-рой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являются угнетение реакции органов иммуногенеза, атрофия надпочечников,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остеопороз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ареактивные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язвы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жел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.-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киш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тракта, признаки синдрома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Иценко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Кушинга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иногда вспышка туберкулеза, сепсиса. Активное лечение вызвало лекарственный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патоморфоз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заболевания, характеризующийся преобладанием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хрон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форм болезни над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острыми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возрастанием удельного веса пролиферативных процессов, склеротических изменений, снижением частоты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кариорексиса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гематоксилиновых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телец, эндокардита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Либмана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—Сакса.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Морфол</w:t>
      </w:r>
      <w:r w:rsidR="00DB49A4">
        <w:rPr>
          <w:rFonts w:ascii="Times New Roman" w:eastAsia="Times New Roman" w:hAnsi="Times New Roman" w:cs="Times New Roman"/>
          <w:color w:val="333333"/>
          <w:sz w:val="28"/>
          <w:szCs w:val="28"/>
        </w:rPr>
        <w:t>огическая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диагностика системной </w:t>
      </w:r>
      <w:r w:rsidR="00DB49A4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красной волчанки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базируется на учете патологии ядер, волчаночного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гломерулонефрита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«луковичного» склероза в селезенке, положительных результатов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иммунофлюоресценции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васкулитов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дезорганизации соединительной ткани, эндокардита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Либмана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—Сакса. Для прижизненной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морфол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диагностики исследуют материал биопсии почек, кожи, скелетных мышц с обязательным применением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иммунофлюоресцентных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методов.</w:t>
      </w:r>
    </w:p>
    <w:p w:rsidR="008F1F40" w:rsidRPr="008F1F40" w:rsidRDefault="008F1F40" w:rsidP="008F1F40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Волчаночный артрит наблюдается практически у всех больных; он проявляется мигрирующей </w:t>
      </w:r>
      <w:hyperlink r:id="rId6" w:tooltip="АРТРАЛГИЯ" w:history="1">
        <w:r w:rsidRPr="008F1F40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артралгией</w:t>
        </w:r>
      </w:hyperlink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см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.), </w:t>
      </w:r>
      <w:hyperlink r:id="rId7" w:tooltip="АРТРИТЫ" w:history="1">
        <w:r w:rsidRPr="008F1F40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артритом</w:t>
        </w:r>
      </w:hyperlink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(см.), преходящими болевыми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сгибательными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контрактурами. Поражаются преимущественно мелкие суставы кистей, лучезапястные, голеностопные, реже крупные суставы. У 10—15% больных может развиться веретенообразная деформация пальцев рук, мышечные атрофии на тыле кистей. Суставной синдром обычно сопровождается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миалгиями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миозитами,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оссалгиями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тендовагинитами. При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рентгенол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исследовании обнаруживается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эпифизарный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остеопороз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, преимущественно в суставах кистей и лучезапястных.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Поражение кожных покровов. Наиболее типичен синдром «бабочки» —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эритематозные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высыпания на лице в области спинки носа («тело бабочки») и скуловых дуг («крылья бабочки»).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По О. Л. Иванову, В. А. Насоновой (1970), наблюдаются следующие варианты эритемы: 1) сосудистая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васкулитная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«бабочка» — нестойкое, пульсирующее, разлитое покраснение с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цианотичным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оттенком в средней зоне лица, усиливающееся при воздействии внешних факторов (инсоляция, ветер, холод и др.) или волнении; 2) «бабочка» типа центробежной эритемы — стойкие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эритематозноотечные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пятна, иногда с нерезким фолликулярным гиперкератозом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erythema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centrifugum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Biett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цветн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рис. 1); 3) «бабочка» в </w: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виде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ярко-розовых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резким плотным отеком пятен на фоне общей отечности и покраснения лица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erysipelas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faciei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perstans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Kaposi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цветн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рис. 2); 4) «бабочка», состоящая из элементов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дискоидного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типа с четкой рубцовой атрофией.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Эритематозные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изменения локализуются также на мочках ушей, шее, лбу, волосистой части головы, красной кайме губ, туловище (чаще в верхнем отделе грудной клетки в виде декольте), конечностях, над пораженными суставами. У части больных отмечаются полиморфная эритема, крапивница, пурпура, узелки и другие элементы.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Своеобразным аналогом «бабочки» первого и второго типа являются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васкулиты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капилляриты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— мелкие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эритематозные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пятна с небольшой отечностью,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телеангиэктазиями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легкой атрофией на концевых фалангах пальцев рук и ног, реже на ладонях и подошвах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цветн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рис. 3). Различные трофические расстройства — выпадение волос, деформация и ломкость ногтей, язвенные дефекты кожи, пролежни и др. создают характерный внешний облик больного системной К.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Поражение слизистых оболочек проявляется энантемой на твердом небе,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афтозным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стоматитом, молочницей, геморрагиями, волчаночным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хейлитом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Полисерозит — мигрирующий двусторонний плеврит и перикардит, реже перитонит — считается составным компонентом диагностической триады, наряду с дерматитом и артритом. Выпот обычно невелик и по цитологическому составу напоминает ревматический, но содержит LE-клетки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антинуклеарные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факторы. Рецидивируя, </w:t>
      </w:r>
      <w:hyperlink r:id="rId8" w:tooltip="ПОЛИСЕРОЗИТ" w:history="1">
        <w:r w:rsidRPr="008F1F40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полисерозит</w:t>
        </w:r>
      </w:hyperlink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см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.) приводит к развитию спаек вплоть до облитерации полости перикарда, плевры,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периспленита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перигепатита. Клин, проявления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серозитов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обычные (боли, шум трения перикарда, плевры, брюшины и т. д.), но в связи с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необильностью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экссудатов и тенденцией к быстрому исчезновению клиницисты их легко просматривают, однако при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рентгенол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исследовании часто выявляются плевроперикардиальные спайки или утолщения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костальной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междолевой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, медиастинальной плевры.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Волчаночный кардит весьма характерен для системной К. в.; он характеризуется одновременным или последовательным развитием </w:t>
      </w:r>
      <w:hyperlink r:id="rId9" w:tooltip="ПЕРИКАРДИТ" w:history="1">
        <w:r w:rsidRPr="008F1F40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перикардита</w:t>
        </w:r>
      </w:hyperlink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 (см.), </w:t>
      </w:r>
      <w:hyperlink r:id="rId10" w:tooltip="МИОКАРДИТ" w:history="1">
        <w:r w:rsidRPr="008F1F40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миокардита</w:t>
        </w:r>
      </w:hyperlink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(см.) или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атипичного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бородавчатого эндокардита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Либмана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—Сакса на митральном и других клапанах сердца, а также пристеночном эндокарде и крупных сосудах.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Эндокардит оканчивается краевым склерозом клапана, реже недостаточностью митрального клапана с характерной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аускультативной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симптоматикой.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Поражение сосудов при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системной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К. в. характерно для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патол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процессов в органах. Тем не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менее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следует отметить возможность развития синдрома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Рейно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(задолго до типичной картины болезни), поражения как мелких, так и крупных артериальных и венозных стволов (эндартерииты, флебиты).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Волчаночный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пневмонит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сосудисто-соединительнотканный процесс в легких, при остром течении протекает по типу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васкулита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(«сосудистая пневмония»), а при других вариантах течения — в виде базального 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"https://xn--90aw5c.xn--c1avg/index.php/%D0%9F%D0%9D%D0%95%D0%92%D0%9C%D0%9E%D0%9D%D0%98%D0%A2" \o "ПНЕВМОНИТ" </w:instrTex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пневмонита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(см.) с обычной клин, картиной паренхиматозного процесса, но характерная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рентгенол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, симптоматика (сетчатое строение усиленного легочного рисунка, высокое стояние диафрагмы и базальные дисковидные ателектазы) придает синдрому большое диагностическое значение.</w:t>
      </w:r>
      <w:proofErr w:type="gramEnd"/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Волчаночный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гломерулонефрит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(люпус-нефрит) — классический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иммунокомплексный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"https://xn--90aw5c.xn--c1avg/index.php/%D0%93%D0%9B%D0%9E%D0%9C%D0%95%D0%A0%D0%A3%D0%9B%D0%9E%D0%9D%D0%95%D0%A4%D0%A0%D0%98%D0%A2" \o "ГЛОМЕРУЛОНЕФРИТ" </w:instrText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гломерулонефрит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(см.), наблюдается у половины больных в период генерализации процесса по типу мочевого синдрома, нефритического и нефротического. Большое диагностическое значение имеет биопсия почек с последующим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гистол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иммуноморфол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. исследованием.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Поражение нервно-психической сферы 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нейролюпус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— проявляется в начале болезни астеновегетативным синдромом, а в разгар заболевания можно наблюдать разнообразные симптомы и синдромы со стороны центральной и периферической нервной системы, обычно сочетанные —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менингоэнцефалит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энцефалополиневрит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энцефаломиелит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менингоэнцефаломиелит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полирадикулоневритом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(последний имеет диагностическое значение).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острой форме заболевания могут наблюдаться аффективные расстройства,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делириозно-онейроидные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делириозные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типы помрачения сознания, различные по глубине картины оглушения.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Аффективные расстройства проявляются состояниями тревожной депрессии, а также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маниакально-эйфорическими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синдромами. Тревожные депрессии сопровождаются картинами вербального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галлюциноза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осуждающего содержания, отрывочными идеями отношения и нигилистическим бредом (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последний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отличается нестойкостью и отсутствием тенденции к систематизации). При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маниакально-эйфорических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состояниях отмечается повышенное настроение с чувством беспечности, довольства собой, полным отсутствием сознания болезни. Временами наблюдается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нек-рое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психомоторное возбуждение, характерна упорная бессонница; во время коротких периодов сна — яркие сновидения, содержание которых нередко смешивается в сознании больного с реальными событиями.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Делириозно-онейроидные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состояния чрезмерно изменчивы; на первый план выступают то расстройства сновидения с фантастической или обыденной тематикой, то обильные красочные,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сценоподобные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зрительные галлюцинации. Больные ощущают себя наблюдателями происходящих событий или жертвами насилия. Возбуждение в этих случаях носит растерянно-суетливый характер, ограничивается пределами постели, нередко сменяется состоянием неподвижности с мышечным напряжением и громким однообразно протяжным криком.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Делириозные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состояния начинаются с появления в период засыпания ярких кошмарных сновидений, в последующем возникают множественные, цветные, угрожающего содержания зрительные галлюцинации, сопровождающиеся вербальными галлюцинациями, постоянным чувством страха.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Интенсивность психических расстройств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коррелирует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тяжестью соматических проявлений, с высокой степенью активности волчаночного процесса.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Описанные корреляции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соматопсихических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расстройств позволяют относить психозы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системной К. в. к группе экзогенно-органических поражений головного мозга.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Нужно иметь в виду, что </w:t>
      </w:r>
      <w:proofErr w:type="gram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системной К. в. нарушения в эмоциональной сфере могут развиваться и в связи с гормональной терапией (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стероидные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психозы).</w:t>
      </w:r>
    </w:p>
    <w:p w:rsidR="008F1F40" w:rsidRPr="008F1F40" w:rsidRDefault="008F1F40" w:rsidP="00DB49A4">
      <w:pPr>
        <w:shd w:val="clear" w:color="auto" w:fill="FFFFFF"/>
        <w:spacing w:after="13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Поражение ретикулоэндотелиальной системы выражается в </w:t>
      </w:r>
      <w:proofErr w:type="spellStart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>полиадении</w:t>
      </w:r>
      <w:proofErr w:type="spellEnd"/>
      <w:r w:rsidRPr="008F1F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(увеличение всех групп лимф, узлов) — весьма частом и, по-видимому, раннем признаке генерализации волчаночного процесса, а также в увеличении печени и селезенки.</w:t>
      </w:r>
    </w:p>
    <w:p w:rsidR="009F6595" w:rsidRPr="008F1F40" w:rsidRDefault="009F6595">
      <w:pPr>
        <w:rPr>
          <w:rFonts w:ascii="Times New Roman" w:hAnsi="Times New Roman" w:cs="Times New Roman"/>
          <w:sz w:val="28"/>
          <w:szCs w:val="28"/>
        </w:rPr>
      </w:pPr>
    </w:p>
    <w:sectPr w:rsidR="009F6595" w:rsidRPr="008F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F1F40"/>
    <w:rsid w:val="00503015"/>
    <w:rsid w:val="008F1F40"/>
    <w:rsid w:val="009535DF"/>
    <w:rsid w:val="009F6595"/>
    <w:rsid w:val="00A211D9"/>
    <w:rsid w:val="00DB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1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1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F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1F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F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8F1F40"/>
  </w:style>
  <w:style w:type="character" w:styleId="a4">
    <w:name w:val="Hyperlink"/>
    <w:basedOn w:val="a0"/>
    <w:uiPriority w:val="99"/>
    <w:semiHidden/>
    <w:unhideWhenUsed/>
    <w:rsid w:val="008F1F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231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2106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20572707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205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10764432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6244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97826817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571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11550236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102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19807651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7716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124067414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433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21882984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9084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20952001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900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57555867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898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18948501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322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  <w:div w:id="75925731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866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w5c.xn--c1avg/index.php/%D0%9F%D0%9E%D0%9B%D0%98%D0%A1%D0%95%D0%A0%D0%9E%D0%97%D0%98%D0%A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90aw5c.xn--c1avg/index.php/%D0%90%D0%A0%D0%A2%D0%A0%D0%98%D0%A2%D0%A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90aw5c.xn--c1avg/index.php/%D0%90%D0%A0%D0%A2%D0%A0%D0%90%D0%9B%D0%93%D0%98%D0%A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90aw5c.xn--c1avg/index.php/%D0%9A%D0%9E%D0%9C%D0%9F%D0%9B%D0%95%D0%9C%D0%95%D0%9D%D0%A2" TargetMode="External"/><Relationship Id="rId10" Type="http://schemas.openxmlformats.org/officeDocument/2006/relationships/hyperlink" Target="https://xn--90aw5c.xn--c1avg/index.php/%D0%9C%D0%98%D0%9E%D0%9A%D0%90%D0%A0%D0%94%D0%98%D0%A2" TargetMode="External"/><Relationship Id="rId4" Type="http://schemas.openxmlformats.org/officeDocument/2006/relationships/hyperlink" Target="https://krasgmu.ru/index.php?page%5bcommon%5d=user&amp;id=1608" TargetMode="External"/><Relationship Id="rId9" Type="http://schemas.openxmlformats.org/officeDocument/2006/relationships/hyperlink" Target="https://xn--90aw5c.xn--c1avg/index.php/%D0%9F%D0%95%D0%A0%D0%98%D0%9A%D0%90%D0%A0%D0%94%D0%98%D0%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dcterms:created xsi:type="dcterms:W3CDTF">2022-06-06T07:03:00Z</dcterms:created>
  <dcterms:modified xsi:type="dcterms:W3CDTF">2022-06-06T07:30:00Z</dcterms:modified>
</cp:coreProperties>
</file>