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6F" w:rsidRPr="00A869AF" w:rsidRDefault="0040586F" w:rsidP="0040586F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Федеральное государственное бюджетное образовательное учреждение высшего образования</w:t>
      </w:r>
    </w:p>
    <w:p w:rsidR="0040586F" w:rsidRPr="00A869AF" w:rsidRDefault="0040586F" w:rsidP="0040586F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"Красноярский государственный медицинский университет имени профессора В.Ф. </w:t>
      </w: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Войно-Ясенецкого</w:t>
      </w:r>
      <w:proofErr w:type="spellEnd"/>
      <w:r w:rsidRPr="00A869AF">
        <w:rPr>
          <w:rFonts w:ascii="Times New Roman" w:eastAsia="TimesNewRomanPSMT" w:hAnsi="Times New Roman" w:cs="Times New Roman"/>
          <w:sz w:val="36"/>
          <w:szCs w:val="36"/>
        </w:rPr>
        <w:t>"</w:t>
      </w:r>
    </w:p>
    <w:p w:rsidR="0040586F" w:rsidRPr="00A869AF" w:rsidRDefault="0040586F" w:rsidP="0040586F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Министерства здравоохранения Российской Федерации</w:t>
      </w:r>
    </w:p>
    <w:p w:rsidR="0040586F" w:rsidRPr="00A869AF" w:rsidRDefault="0040586F" w:rsidP="0040586F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Кафедра патологической анатомии имени профессора </w:t>
      </w: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П.Г.Подзолкова</w:t>
      </w:r>
      <w:proofErr w:type="spellEnd"/>
    </w:p>
    <w:p w:rsidR="0040586F" w:rsidRPr="00A869AF" w:rsidRDefault="0040586F" w:rsidP="0040586F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40586F" w:rsidRPr="00A869AF" w:rsidRDefault="0040586F" w:rsidP="0040586F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РЕФЕРАТ</w:t>
      </w:r>
    </w:p>
    <w:p w:rsidR="0040586F" w:rsidRPr="00A869AF" w:rsidRDefault="0040586F" w:rsidP="0040586F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40586F" w:rsidRPr="00A869AF" w:rsidRDefault="0040586F" w:rsidP="0040586F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«Патологическая анатомия </w:t>
      </w:r>
      <w:proofErr w:type="spellStart"/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>миеломной</w:t>
      </w:r>
      <w:proofErr w:type="spellEnd"/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 болезни»</w:t>
      </w:r>
    </w:p>
    <w:p w:rsidR="0040586F" w:rsidRPr="00A869AF" w:rsidRDefault="0040586F" w:rsidP="0040586F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40586F" w:rsidRPr="00A869AF" w:rsidRDefault="0040586F" w:rsidP="0040586F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Выполнил: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>ординатор 2-го года</w:t>
      </w:r>
    </w:p>
    <w:p w:rsidR="0040586F" w:rsidRPr="00A869AF" w:rsidRDefault="0040586F" w:rsidP="0040586F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proofErr w:type="spellStart"/>
      <w:r w:rsidRPr="00A869AF">
        <w:rPr>
          <w:rFonts w:ascii="Times New Roman" w:eastAsia="TimesNewRomanPSMT" w:hAnsi="Times New Roman" w:cs="Times New Roman"/>
          <w:sz w:val="36"/>
          <w:szCs w:val="36"/>
        </w:rPr>
        <w:t>Воробович</w:t>
      </w:r>
      <w:proofErr w:type="spellEnd"/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 Никита Сергеевич</w:t>
      </w:r>
    </w:p>
    <w:p w:rsidR="0040586F" w:rsidRPr="00A869AF" w:rsidRDefault="0040586F" w:rsidP="0040586F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sz w:val="36"/>
          <w:szCs w:val="36"/>
        </w:rPr>
        <w:t xml:space="preserve">Специальность: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>патологическая анатомия</w:t>
      </w:r>
    </w:p>
    <w:p w:rsidR="0040586F" w:rsidRPr="00A869AF" w:rsidRDefault="0040586F" w:rsidP="0040586F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Руководитель: </w:t>
      </w:r>
      <w:r w:rsidRPr="00A869AF">
        <w:rPr>
          <w:rFonts w:ascii="Times New Roman" w:eastAsia="TimesNewRomanPSMT" w:hAnsi="Times New Roman" w:cs="Times New Roman"/>
          <w:bCs/>
          <w:sz w:val="36"/>
          <w:szCs w:val="36"/>
        </w:rPr>
        <w:t xml:space="preserve">зав. кафедрой, </w:t>
      </w:r>
      <w:r w:rsidRPr="00A869AF">
        <w:rPr>
          <w:rFonts w:ascii="Times New Roman" w:eastAsia="TimesNewRomanPSMT" w:hAnsi="Times New Roman" w:cs="Times New Roman"/>
          <w:sz w:val="36"/>
          <w:szCs w:val="36"/>
        </w:rPr>
        <w:t xml:space="preserve">К.М.Н., </w:t>
      </w:r>
    </w:p>
    <w:p w:rsidR="0040586F" w:rsidRPr="00A869AF" w:rsidRDefault="0040586F" w:rsidP="0040586F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  <w:hyperlink r:id="rId4" w:history="1">
        <w:proofErr w:type="spellStart"/>
        <w:r w:rsidRPr="00A869AF">
          <w:rPr>
            <w:rFonts w:ascii="Times New Roman" w:eastAsia="TimesNewRomanPSMT" w:hAnsi="Times New Roman" w:cs="Times New Roman"/>
            <w:sz w:val="36"/>
            <w:szCs w:val="36"/>
          </w:rPr>
          <w:t>Хоржевский</w:t>
        </w:r>
        <w:proofErr w:type="spellEnd"/>
        <w:r w:rsidRPr="00A869AF">
          <w:rPr>
            <w:rFonts w:ascii="Times New Roman" w:eastAsia="TimesNewRomanPSMT" w:hAnsi="Times New Roman" w:cs="Times New Roman"/>
            <w:sz w:val="36"/>
            <w:szCs w:val="36"/>
          </w:rPr>
          <w:t xml:space="preserve"> Владимир Алексеевич</w:t>
        </w:r>
      </w:hyperlink>
    </w:p>
    <w:p w:rsidR="0040586F" w:rsidRPr="00A869AF" w:rsidRDefault="0040586F" w:rsidP="0040586F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40586F" w:rsidRPr="00A869AF" w:rsidRDefault="0040586F" w:rsidP="0040586F">
      <w:pPr>
        <w:spacing w:line="360" w:lineRule="auto"/>
        <w:jc w:val="right"/>
        <w:rPr>
          <w:rFonts w:ascii="Times New Roman" w:eastAsia="TimesNewRomanPSMT" w:hAnsi="Times New Roman" w:cs="Times New Roman"/>
          <w:sz w:val="36"/>
          <w:szCs w:val="36"/>
        </w:rPr>
      </w:pPr>
    </w:p>
    <w:p w:rsidR="0040586F" w:rsidRPr="00A869AF" w:rsidRDefault="0040586F" w:rsidP="0040586F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</w:p>
    <w:p w:rsidR="0040586F" w:rsidRPr="00A869AF" w:rsidRDefault="0040586F" w:rsidP="0040586F">
      <w:pPr>
        <w:jc w:val="center"/>
        <w:rPr>
          <w:rFonts w:ascii="Times New Roman" w:eastAsia="TimesNewRomanPSMT" w:hAnsi="Times New Roman" w:cs="Times New Roman"/>
          <w:sz w:val="36"/>
          <w:szCs w:val="36"/>
        </w:rPr>
      </w:pPr>
      <w:r w:rsidRPr="00A869AF">
        <w:rPr>
          <w:rFonts w:ascii="Times New Roman" w:eastAsia="TimesNewRomanPSMT" w:hAnsi="Times New Roman" w:cs="Times New Roman"/>
          <w:sz w:val="36"/>
          <w:szCs w:val="36"/>
        </w:rPr>
        <w:t>Красноярск, 2022</w:t>
      </w:r>
    </w:p>
    <w:p w:rsidR="00A869AF" w:rsidRDefault="00A869AF" w:rsidP="0040586F">
      <w:pPr>
        <w:shd w:val="clear" w:color="auto" w:fill="FFFFFF"/>
        <w:spacing w:after="167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0586F" w:rsidRDefault="0040586F" w:rsidP="0040586F">
      <w:pPr>
        <w:shd w:val="clear" w:color="auto" w:fill="FFFFFF"/>
        <w:spacing w:after="167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ВВЕДЕНИЕ</w:t>
      </w:r>
    </w:p>
    <w:p w:rsidR="0040586F" w:rsidRPr="0040586F" w:rsidRDefault="0040586F" w:rsidP="0040586F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МИЕЛОМНАЯ БОЛЕЗНЬ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син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.: </w:t>
      </w:r>
      <w:r w:rsidRPr="004058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множественная миелома, </w:t>
      </w:r>
      <w:proofErr w:type="spellStart"/>
      <w:r w:rsidRPr="004058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плазмоцитома</w:t>
      </w:r>
      <w:proofErr w:type="spellEnd"/>
      <w:r w:rsidRPr="004058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болезнь Рустицкого — </w:t>
      </w:r>
      <w:proofErr w:type="spellStart"/>
      <w:r w:rsidRPr="004058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Калера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— заболевание, в основе которого лежит неопластическая пролиферация в костном мозге и реже других органах плазматических клеток, способных секретировать иммуноглобулины или их фрагменты.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Миеломная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болезнь относится к злокачественным опухолям системы B-лимфоцитов.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Миеломная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болезнь обычно встречается в возрасте старше 40 лет, одинаково часто поражает мужчин и женщин. Распространенность заболевания в западноевропейских странах, СССР и США составляет 1,1—3,1, а смертность — 0,8—1,0 на 100 000 жителей.</w:t>
      </w:r>
    </w:p>
    <w:p w:rsidR="0040586F" w:rsidRPr="0040586F" w:rsidRDefault="0040586F" w:rsidP="0040586F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ЭТИОЛОГИЯ</w:t>
      </w:r>
    </w:p>
    <w:p w:rsidR="0040586F" w:rsidRPr="0040586F" w:rsidRDefault="0040586F" w:rsidP="0040586F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Вероятной представляется гипотеза соматической мутации в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иммунокомпетентных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B-лимфоцитах. Специфических хромосомных аберраций при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выявлено.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Иммунохимическая классификация М. б. основана на различии классов иммуноглобулинов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парапротеинов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), синтезируемых и секретируемых мутантными плазматическими клетками. Выделяют G-, А-, D- и E-миелому. Количество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ольных G-миеломой составляет около 60%; А-миеломой — около 25%; D-миеломой — около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3% от всех больных; Е-миелома относится к числу редчайших форм. Кроме того, выделяют миелому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Бенс-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Джонса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при кото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рой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димерами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легких цепей типах или X.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Описывают также так называемую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несекретирующую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миелому, при кото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рой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выявляется ни в сыворотке крови, ни в моче, что связывают с нарушением механизма синтеза и секреции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плазматическими клетками.</w:t>
      </w:r>
    </w:p>
    <w:p w:rsidR="0040586F" w:rsidRPr="0040586F" w:rsidRDefault="0040586F" w:rsidP="0040586F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ПАТОГЕНЕЗ</w:t>
      </w:r>
    </w:p>
    <w:p w:rsidR="0040586F" w:rsidRPr="0040586F" w:rsidRDefault="0040586F" w:rsidP="0040586F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Патогенез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 связан с пролиферацией в костном мозге и реже в других органах </w:t>
      </w:r>
      <w:r w:rsidRPr="0040586F">
        <w:rPr>
          <w:rFonts w:ascii="Times New Roman" w:eastAsia="Times New Roman" w:hAnsi="Times New Roman" w:cs="Times New Roman"/>
          <w:sz w:val="28"/>
          <w:szCs w:val="28"/>
        </w:rPr>
        <w:t>плазматических клеток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обладающих свойством инфильтрирующего деструктивного роста с секрецией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моноклонального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высокомолекулярного иммуноглобулина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) и с подавлением нормальных клонов 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"https://xn--90aw5c.xn--c1avg/index.php/%D0%98%D0%9C%D0%9C%D0%A3%D0%9D%D0%9E%D0%9A%D0%9E%D0%9C%D0%9F%D0%95%D0%A2%D0%95%D0%9D%D0%A2%D0%9D%D0%AB%D0%95_%D0%9A%D0%9B%D0%95%D0%A2%D0%9A%D0%98" \o "ИММУНОКОМПЕТЕНТНЫЕ КЛЕТКИ" </w:instrTex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иммунокомпетентных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клеток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Следствием опухолевого роста плазмоклеточных инфильтратов в костном мозге является деструкция костей скелета.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Внекостномозговые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миеломы могут обладать свойством злокачественных опухолей, развивающихся в различных органах и тканях (желудок, кишечник, легкие, лимф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злы и т. д.), при этом процесс метастазирования, по-видимому, также имеет место.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Секреция в кровяное русло и в окружающие ткани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обусловливает развитие так называемого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гипервискозного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синдрома (синдрома повышенной вязкости крови) и тканевого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(пара-)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протеиноза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Подавление нормальных клонов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иммунокомпетентных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клеток приводит к развитию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иммунодефицитного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синдрома, при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к-ром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отмечается склонность к повторным (особенно респираторным) инфекциям. Важным звеном в патогенезе 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="00C47E2B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считают развитие</w:t>
      </w:r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амилоидоза (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параамилоидоза</w:t>
      </w:r>
      <w:proofErr w:type="spellEnd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), кото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рый наблюдается у 10—20% больных (чаще при D-миеломе и болезни легких цепей) и служит одним из проявлений тканевого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диспротеиноза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 этом главной составной частью белка амилоидных фибрилл являются легкие цепи молекулы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их фрагменты.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Парапротеиноз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почек в сочетании с блокадой канальцев белковыми агломератами и часто развивающейся восходящей урологической инфекцией — 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"https://xn--90aw5c.xn--c1avg/index.php/%D0%9F%D0%98%D0%95%D0%9B%D0%9E%D0%9D%D0%95%D0%A4%D0%A0%D0%98%D0%A2" \o "ПИЕЛОНЕФРИТ" </w:instrTex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пиелонефритом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составляют патогенетическую основу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нефропатии («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миеломная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почка») с недостаточностью функции почек и развитием уремии.</w:t>
      </w:r>
    </w:p>
    <w:p w:rsidR="0040586F" w:rsidRPr="0040586F" w:rsidRDefault="0040586F" w:rsidP="0040586F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МОРФОЛОГИЯ</w:t>
      </w:r>
    </w:p>
    <w:p w:rsidR="0040586F" w:rsidRPr="0040586F" w:rsidRDefault="00C47E2B" w:rsidP="00C47E2B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Морфологическим</w:t>
      </w:r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субстратом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являются опухолевые разрастания плазматических клеток, первично возникающие в костном мозге. Процесс локализуется преимущественно в костях и в большинстве случаев сопровождается резким рассасыванием костной ткани. Одновременно, как правило, имеются признаки нарушения белкового обмена в виде тканевого </w:t>
      </w:r>
      <w:proofErr w:type="spellStart"/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proofErr w:type="gramStart"/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spellEnd"/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(пара-) </w:t>
      </w:r>
      <w:proofErr w:type="spellStart"/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протеиноза</w:t>
      </w:r>
      <w:proofErr w:type="spellEnd"/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Сочетание этих изменений определяет характерную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патологоан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атомическую картину заболевания</w:t>
      </w:r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0586F" w:rsidRPr="0040586F" w:rsidRDefault="0040586F" w:rsidP="00C47E2B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вскрытии наиболее типичные изменения обнаруживаются в плоских и иногда трубчатых костях. Они хрупкие, мягкие, нередко режутся ножом. Могут наблюдаться переломы, деформация костей, в частности компрессия тел позвонков, иногда со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сдавлением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спинного мозга. При диффузно-узловатой форме 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болезни, кото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рая при развернутой картине болезни встречается наиболее часто, костный мозг на разрезе имеет пестрый вид, содержит множественные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серовато-розовые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узловатые разрастания различной величины.</w:t>
      </w:r>
    </w:p>
    <w:p w:rsidR="0040586F" w:rsidRPr="0040586F" w:rsidRDefault="0040586F" w:rsidP="00C47E2B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узлах и вокруг них вследствие кровоизлияний и некрозов нередко выявляются темно-красные и желтоватые участки. Опухолевые массы иногда прорастают в прилежащие ткани (мышцы, кожу, плевру, твердую мозговую оболочку и т. д.). При диффузной форме 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остный мозг сочный, пестрый из-за чередования разрастаний плазматических клеток, кровоизлияний, некрозов. Число костных пластинок уменьшено, кортикальный слой истончен. В редких случаях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остеопороз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отсутствует. Размеры и вес селезенки, печени, лимф, узлов обычно в пределах нормы или несколько увеличены. В ряде случаев отмечается значительное увеличение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их объема вследствие массивного специфического поражения. Описаны редкие случаи развития обширных узловатых разрастаний в коже, плевре, легких, почках, в головном мозге и др. Почки могут быть увеличены, бледные, гладкие; при выраженных склеротических изменениях выявляется картина вторично-сморщенной почки. В ряде случаев имеются точечные и пятнистые кровоизлияния в кожу, серозные и слизистые оболочки, ткань внутренних органов. Как правило, обнаруживаются признаки общего малокровия, дистрофии паренхиматозных органов, часто гнойно-воспалительные процессы.</w:t>
      </w:r>
    </w:p>
    <w:p w:rsidR="0040586F" w:rsidRPr="0040586F" w:rsidRDefault="0040586F" w:rsidP="00C47E2B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Гистологически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костном мозге при 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="00C47E2B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обнаруживают разрастания плазматических клеток разнообразного вида.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Гистологически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плазматические клетки при 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="00C47E2B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чаще всего характеризуются грубым, эксцентрично расположенным ядром и довольно обильной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базофильной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цитоплазмой; иногда ядро с тонкой структурой хроматина содержит 1—3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нуклеолы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базофилии цитоплазмы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выражена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слабо. Существуют различные переходные формы между этими вариантами; для М. б. характерно присутствие гигантских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дву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 многоядерных плазматических клеток и так наз. пламенеющих клеток, обильная цитоплазма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к-рых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имеет неровные контуры и розоватый оттенок по краям. Часто встречаются различные варианты плазматических клеток, содержащих ацидофильные тельца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Расселла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количество и расположение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к-рых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цитоплазме определяют вид клеток, обозначаемых как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гроздьевидные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grape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cells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), ягодовидные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morula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cells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тезауроциты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(клетки накопления) или клетки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Мотта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Нек-рые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авторы наблюдали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цитохимически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негативные кристаллические включения в цитоплазме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клеток.</w:t>
      </w:r>
    </w:p>
    <w:p w:rsidR="0040586F" w:rsidRPr="0040586F" w:rsidRDefault="0040586F" w:rsidP="00C47E2B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Электронная микроскопия плазматических клеток при 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="00C47E2B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позволяет выявить гипертрофию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протеинсинтезирующих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 — шероховатую эндоплазматическую сеть в виде мешков и цистерн, оттесняющих ядро к периферии,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полирибосомы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развитой комплекс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Гольджи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Ацидофильные тельца выявляются в виде оптически плотных гранул, содержащих аморфную белковую субстанцию. Полагают, что они состоят из конденсированного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связи с высоким содержанием белка и рибонуклеопротеидов цитоплазма этих клеток резко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пиронинофильна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имеет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ШИК-положительную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реакцию, люминесцирует при окраске тиофлавином Т. Наряду со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зрелыми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плазмоцитами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выявляются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плазмобласты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атипичные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гигантские одно- и многоядерные клетки. Клеточный состав разрастаний варьирует в различных случаях и нередко отличается в разных участках скелета. Разрастания плазматических клеток могут быть узловатыми, диффузными или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диффузноузловатыми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Первый вариант, как показывают результаты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трепанобиопсии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встречается гл. обр. в ранние стадии болезни. При этом на фоне нормального костного мозга выявляются множественные, довольно больших размеров (от 200 мкм и более) очаговые разрастания плазматических клеток, проникающие в прилежащую ткань. Прогрессирование 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="00C47E2B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характеризуется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развитием диффузной инфильтрации костного мозга плазматическими клетками. Нередко это сопровождается развитием </w:t>
      </w:r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обширных узловатых разрастаний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Число клеток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нормального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гемопоэза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заметно снижено. Могут выявляться поля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миелофиброза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жировых клеток. Характерно значительное истончение костных пластинок вплоть до полного их исчезновения на больших участках, расширение каналов остеонов (гаверсовых каналов), частичное разрушение коркового вещества с прорастанием плазматических клеток в надкостницу. Рассасывание костной ткани протекает по типу гладкой, пазушной 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остеокластической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резорбции. Полагают, что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остеопороз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обусловлен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нарушением процессов костеобразования вследствие повышенной секреции в костном мозге фактора, стимулирующего остеокласты.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Репаративные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процессы резко снижены, однако в ряде случаев наблюдается очаговое образование кости примитивного строения, преимущественно в области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микропереломов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 зонах кровоизлияний по перифери</w:t>
      </w:r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и узловатых разрастаний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. Изредка рассасывание костной ткани отсутствует, имеет место утолщение костных пластинок.</w:t>
      </w:r>
    </w:p>
    <w:p w:rsidR="0040586F" w:rsidRPr="0040586F" w:rsidRDefault="0040586F" w:rsidP="00C47E2B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Микроскопически нередко выявляют узловатые и диффузные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пролифераты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плазматических клеток в селезенке, печени, лимф, узлах и других органах. Часто обнаруживаются известковые метастазы в почках, легких и других органах. Разницы в частоте и интенсивности специфического поражения внутренних органов при различных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иммунохим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вариантах 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</w:t>
      </w:r>
      <w:r w:rsidR="00C47E2B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не найдено.</w:t>
      </w:r>
    </w:p>
    <w:p w:rsidR="0040586F" w:rsidRPr="0040586F" w:rsidRDefault="0040586F" w:rsidP="00C47E2B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Тканевый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парапротеиноз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выражается в скоплении белковых масс в просветах сосудов, белковом пропитывании их стенок и стромы органов, отложении амилоида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параамилоида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изредка кристаллических веществ. Белковые,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амилоидоподобные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отложения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оксифильны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окрашиваются положительно при </w:t>
      </w:r>
      <w:proofErr w:type="spellStart"/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ШИК-реакции</w:t>
      </w:r>
      <w:proofErr w:type="spellEnd"/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отличие от амилоида не обладают анизотропией. В почках, особенно при длительной протеинурии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Бенс-Джонса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развивается картина парапротеинемического нефроза. Характерны обилие белковых цилиндров в канальцах, дистрофия эпителия, его гибель и десквамация, очаговый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нефрогидроз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отек, возможна плазмоклеточная инфильтрация стромы. Цилиндры могут быть окружены гигантскими клетками, пропитаны солями кальция. Изменения клубочков незначительны. Имеется утолщение базальной мембраны, отложение белковых веществ в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мезангии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иногда гиперплазия его клеток; дистрофия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подоцитов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отложением в их цитоплазме белковых гранул. Часто наблюдается </w:t>
      </w:r>
      <w:hyperlink r:id="rId5" w:tooltip="НЕФРОСКЛЕРОЗ" w:history="1">
        <w:r w:rsidRPr="00C47E2B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нефросклероз</w:t>
        </w:r>
      </w:hyperlink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М. б. типичен белковый отек ткани легких, стромы миокарда. Амилоид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параамилоид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при М. б. отличается от других его разновидностей высоким содержанием в белковом компоненте низкомолекулярных фрагментов.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Амилоид часто не дает положительной реакции с красным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конго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метахромазии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метиловым фиолетовым 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толуидиновым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синим; люминесцирует с тиофлавином T и S, обладает анизотропными свойствами.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Характерно преимущественное поражение стенок сосудов, сердца, языка, поперечнополосатых мышц, нервов, кожи,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сухожилий и синовиальных оболочек суставов. Возможно массивное отложение амилоида в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узлы в костях с образованием крупных опухолей своеобразного вида. В редких случаях в плазматических клетках 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внеклеточно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опухолевых разрастаниях, а также в почках, сосудах роговицы выпадают кристаллические вещества, происхождение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к-рых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связывают с нарушением синтеза легких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х-цепей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 лечении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цитостатиками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костном мозге наблюдается снижение объема опухолевых разрастаний в сочетании с развитием гипопластических изменений, полей склероза, образованием несовершенного костного вещества.</w:t>
      </w:r>
    </w:p>
    <w:p w:rsidR="0040586F" w:rsidRPr="0040586F" w:rsidRDefault="0040586F" w:rsidP="00C47E2B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При типичном течении основным клин, симптомом являются боли в костях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оссалгии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к-рые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чаще всего локализуются в позвоночнике, ребрах, реже — в трубчатых костях и в костях черепа. Рост опухоли или диффузных плазмоклеточных инфильтратов за пределы костной т</w:t>
      </w:r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кани сопровождается </w:t>
      </w:r>
      <w:proofErr w:type="spellStart"/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корешковыми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болями</w:t>
      </w:r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hyperlink r:id="rId6" w:tooltip="ПАРАПЛЕГИЯ" w:history="1">
        <w:r w:rsidRPr="00C47E2B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параплегиями</w:t>
        </w:r>
        <w:proofErr w:type="spellEnd"/>
      </w:hyperlink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7" w:tooltip="ГЕМИПЛЕГИЯ" w:history="1">
        <w:r w:rsidRPr="00C47E2B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гемиплегиями</w:t>
        </w:r>
      </w:hyperlink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8" w:tooltip="ЭКЗОФТАЛЬМ" w:history="1">
        <w:r w:rsidRPr="00C47E2B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экзофтальмом</w:t>
        </w:r>
      </w:hyperlink>
      <w:r w:rsidR="00C47E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 т. д. Известны случаи плазмоклеточной инфильтрации плевры или брюшины с развитием специфического </w:t>
      </w:r>
      <w:hyperlink r:id="rId9" w:tooltip="ПЛЕВРИТ" w:history="1">
        <w:r w:rsidRPr="00C47E2B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плеврита</w:t>
        </w:r>
      </w:hyperlink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 </w:t>
      </w:r>
      <w:hyperlink r:id="rId10" w:tooltip="АСЦИТ" w:history="1">
        <w:r w:rsidRPr="00C47E2B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асцита</w:t>
        </w:r>
      </w:hyperlink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 высоким содержанием плазматических клеток 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экссудате.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органной локализации плазмоклеточных опухолей (легкие, желудок, кишечник, лимф, узлы, печень, селезенка и др.) клин, картина соответствует таковой при злокачественной опухоли данного органа или дополняется такими симптомами, как увеличение лимф, узлов, печени, селезенки и т. д.</w:t>
      </w:r>
      <w:proofErr w:type="gramEnd"/>
    </w:p>
    <w:p w:rsidR="0040586F" w:rsidRPr="0040586F" w:rsidRDefault="00C47E2B" w:rsidP="0040586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</w:t>
      </w:r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рые исследователи выделяют плазмоклеточную лейкемию как самостоя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тельную нозологическую форму, кото</w:t>
      </w:r>
      <w:r w:rsidR="0040586F"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рая в отличие от обычной М. б., кроме повышенного содержания плазматических клеток в крови, характеризуется выраженным геморрагическим диатезом, связанным с тромбоцитопенией, быстрым течением и обширной плазмоклеточной инфильтрацией в различных органах.</w:t>
      </w:r>
      <w:proofErr w:type="gramEnd"/>
    </w:p>
    <w:p w:rsidR="0040586F" w:rsidRPr="0040586F" w:rsidRDefault="0040586F" w:rsidP="0040586F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noProof/>
          <w:color w:val="337AB7"/>
          <w:sz w:val="28"/>
          <w:szCs w:val="28"/>
        </w:rPr>
        <w:lastRenderedPageBreak/>
        <w:drawing>
          <wp:inline distT="0" distB="0" distL="0" distR="0">
            <wp:extent cx="1903095" cy="5156835"/>
            <wp:effectExtent l="19050" t="0" r="1905" b="0"/>
            <wp:docPr id="9" name="Рисунок 9" descr="Рис. 7. Электрофореграмме сывороточных белков в жидкой фазе в норме (вверху) и при миеломной болезни (внизу), для которой характерно наличие М-градиента (указано стрелкой) в зоне гамма-глобулинов (парапротеинов)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7. Электрофореграмме сывороточных белков в жидкой фазе в норме (вверху) и при миеломной болезни (внизу), для которой характерно наличие М-градиента (указано стрелкой) в зоне гамма-глобулинов (парапротеинов)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15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6F" w:rsidRPr="0040586F" w:rsidRDefault="0040586F" w:rsidP="0040586F">
      <w:pPr>
        <w:shd w:val="clear" w:color="auto" w:fill="F9F9F9"/>
        <w:spacing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7.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Электрофореграмме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сывороточных белков в жидкой фазе в норме (вверху) и при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миеломной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 (внизу), для которой характерно наличие М-градиента (указано стрелкой) в зоне </w:t>
      </w:r>
      <w:proofErr w:type="spellStart"/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гамма-глобулинов</w:t>
      </w:r>
      <w:proofErr w:type="spellEnd"/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парапротеинов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0586F" w:rsidRPr="0040586F" w:rsidRDefault="0040586F" w:rsidP="0040586F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noProof/>
          <w:color w:val="337AB7"/>
          <w:sz w:val="28"/>
          <w:szCs w:val="28"/>
        </w:rPr>
        <w:drawing>
          <wp:inline distT="0" distB="0" distL="0" distR="0">
            <wp:extent cx="1903095" cy="605790"/>
            <wp:effectExtent l="19050" t="0" r="1905" b="0"/>
            <wp:docPr id="10" name="Рисунок 10" descr="Рис. 8. Иммуноэлектрофореграмма сывороточных белков при G-миеломе: 1 — траншеи для антисывороток; 2 — лунка для исследуемой сыворотки (антигена); 3 — дуги преципитации; 4 — преципитационная дуга (М-градиент), характерная для G-миеломы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8. Иммуноэлектрофореграмма сывороточных белков при G-миеломе: 1 — траншеи для антисывороток; 2 — лунка для исследуемой сыворотки (антигена); 3 — дуги преципитации; 4 — преципитационная дуга (М-градиент), характерная для G-миеломы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6F" w:rsidRPr="0040586F" w:rsidRDefault="0040586F" w:rsidP="0040586F">
      <w:pPr>
        <w:shd w:val="clear" w:color="auto" w:fill="F9F9F9"/>
        <w:spacing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8.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Иммуноэлектрофореграмма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сывороточных белков при G-миеломе: 1 — траншеи для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антисывороток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2 — лунка для исследуемой сыворотки (антигена); 3 — дуги преципитации; 4 —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преципитационная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дуга (М-градиент), характерная для G-миеломы.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исследовании крови в начале заболевания выявляется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ускоренная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РОЭ, что связывают с преобладанием в плазме грубодисперсных белков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парапротеинов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к-рые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выявляют с помощью электрофореза (рис. 7).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Принадлежность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одному из классов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Ig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определяют с помощью 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"https://xn--90aw5c.xn--c1avg/index.php/%D0%98%D0%9C%D0%9C%D0%A3%D0%9D%D0%9E%D0%AD%D0%9B%D0%95%D0%9A%D0%A2%D0%A0%D0%9E%D0%A4%D0%9E%D0%A0%D0%95%D0%97" \o "ИММУНОЭЛЕКТРОФОРЕЗ" </w:instrTex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40586F">
        <w:rPr>
          <w:rFonts w:ascii="Times New Roman" w:eastAsia="Times New Roman" w:hAnsi="Times New Roman" w:cs="Times New Roman"/>
          <w:color w:val="337AB7"/>
          <w:sz w:val="28"/>
          <w:szCs w:val="28"/>
        </w:rPr>
        <w:t>иммуноэлектрофореза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(см.) с моноспецифическими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антисыворотками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(рис. 8) или радиальной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иммунодиффузии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агаровом геле по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Манчини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(см. 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"https://xn--90aw5c.xn--c1avg/index.php/%D0%98%D0%9C%D0%9C%D0%A3%D0%9D%D0%9E%D0%94%D0%98%D0%A4%D0%A4%D0%A3%D0%97%D0%98%D0%AF" \o "ИММУНОДИФФУЗИЯ" </w:instrTex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40586F">
        <w:rPr>
          <w:rFonts w:ascii="Times New Roman" w:eastAsia="Times New Roman" w:hAnsi="Times New Roman" w:cs="Times New Roman"/>
          <w:color w:val="337AB7"/>
          <w:sz w:val="28"/>
          <w:szCs w:val="28"/>
        </w:rPr>
        <w:t>Иммунодиффузия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); последний метод применяют также для количественного определения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парапротеинов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Этими же методами и 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помощью простой диффузии на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агаре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 использовании моноспецифических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антисывороток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против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легких цепей, определяют тип легких цепей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Ig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Для М. б. характерно снижение (депрессия) концентрации иммуноглобулинов, не относящихся к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парапротеину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(так наз. «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не-М-компоненты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или </w:t>
      </w:r>
      <w:proofErr w:type="spellStart"/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физиол</w:t>
      </w:r>
      <w:proofErr w:type="spellEnd"/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, иммуноглобулины), с чем связывают нарушение гуморального иммунитета.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мере прогрессирования заболевания развивается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нормохромная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нормоцитарная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негемолитическая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анемия, реже — тромбоцитопения; в крови нередко появляются плазматические клетки, количество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к-рых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достигать 10—50% и более от всех клеток крови. В последнем случае обычно говорят о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лейкемизации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 б.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нек-рых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больных М. б. при исследовании крови обнаруживаются такие признаки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дисгемопоэза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эритробластемия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, макр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даже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мегалоцитоз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эритроцитов,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лейкемоидные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(миелоидный) сдвиг в лейкоцитарной формуле; иногда имеет место лимфоцитоз как отражение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иммунопролиферативного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процесса в костном мозге.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осложнений следует иметь в виду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патол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переломы костей в местах опухолевой деструкции их (см. </w:t>
      </w:r>
      <w:hyperlink r:id="rId15" w:tooltip="ПЕРЕЛОМЫ" w:history="1">
        <w:r w:rsidRPr="0040586F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Переломы</w:t>
        </w:r>
      </w:hyperlink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развитие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гем</w:t>
      </w:r>
      <w:proofErr w:type="gram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парапарезов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плегий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сдавлении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головного или спинного мозга опухолью, растущей из костей черепа или позвонков. Вторичный корешковый синдром возникает в связи с плазмоклеточной инфильтрацией мозговых оболочек 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сдавлением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корешков спинномозговых нервов.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параамилоидоза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почек в сочетании с блокадой канальцев белковыми агломератами обычно приводит к функциональной недостаточности почек с развитием необратимой уремической интоксикации. Отложение амилоида в миокарде снижает его сократительную способность; известны случаи, когда отложение амилоида в миокарде при М. б. ошибочно диагностировалось как инфаркт или аневризма сердца. Наблюдают также осложнения (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полиневропатии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артропатии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 д.), связанные с различной локализацией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параамилоидоза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М. б.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Иногда при М. б., как и при болезни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Вальденстрема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(см. 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"https://xn--90aw5c.xn--c1avg/index.php/%D0%92%D0%90%D0%9B%D0%AC%D0%94%D0%95%D0%9D%D0%A1%D0%A2%D0%A0%D0%95%D0%9C%D0%90_%D0%91%D0%9E%D0%9B%D0%95%D0%97%D0%9D%D0%AC" \o "ВАЛЬДЕНСТРЕМА БОЛЕЗНЬ" </w:instrTex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40586F">
        <w:rPr>
          <w:rFonts w:ascii="Times New Roman" w:eastAsia="Times New Roman" w:hAnsi="Times New Roman" w:cs="Times New Roman"/>
          <w:color w:val="337AB7"/>
          <w:sz w:val="28"/>
          <w:szCs w:val="28"/>
        </w:rPr>
        <w:t>Вальденстрема</w:t>
      </w:r>
      <w:proofErr w:type="spellEnd"/>
      <w:r w:rsidRPr="0040586F">
        <w:rPr>
          <w:rFonts w:ascii="Times New Roman" w:eastAsia="Times New Roman" w:hAnsi="Times New Roman" w:cs="Times New Roman"/>
          <w:color w:val="337AB7"/>
          <w:sz w:val="28"/>
          <w:szCs w:val="28"/>
        </w:rPr>
        <w:t xml:space="preserve"> болезнь</w:t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развивается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гипервискозный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синдром,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к-рый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слагается из геморрагий и симптомов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церебропатии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ретинопатии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связан с циркуляцией в кровяном русле комплексов из глобулиновых молекул. При этом выявляются различные нарушения в свертывающей системе крови. Примерно у 30% больных М. б. при тяжелом течении выявляется повышение содержания кальция в крови более 6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мэкв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чаще всего связывают с интенсивной резорбцией костной ткани и нарушением выведения кальция с мочой. Клин, картина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гиперкальциемии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М. б. выражается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гиперрефлексией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мышечной ригидностью, сонливостью, вялостью; у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нек-рых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больных развиваются дезориентация и даже психозы, а также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ступорозные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коматозные состояния,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к-рые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исчезнуть при нормализации уровня кальция в крови.</w:t>
      </w:r>
    </w:p>
    <w:p w:rsidR="0040586F" w:rsidRPr="0040586F" w:rsidRDefault="0040586F" w:rsidP="0040586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Большую опасность при М. б. представляют инфекционные осложнения, связанные с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иммунодефицитным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состоянием. Чаще всего развиваются респираторные инфекции (бронхиты, пневмонии) с затяжным, рецидивирующим течением. Восходящие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урол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инфекции служат причиной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пиелонефрита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различные гнойничковые поражения кожи и слизистых оболочек могут привести к развитию гнойного менингита, флегмон, сепсиса и т. п. Среди причин смерти больных М. б. преобладают пневмонии, </w:t>
      </w:r>
      <w:proofErr w:type="spellStart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уросепсис</w:t>
      </w:r>
      <w:proofErr w:type="spellEnd"/>
      <w:r w:rsidRPr="0040586F">
        <w:rPr>
          <w:rFonts w:ascii="Times New Roman" w:eastAsia="Times New Roman" w:hAnsi="Times New Roman" w:cs="Times New Roman"/>
          <w:color w:val="333333"/>
          <w:sz w:val="28"/>
          <w:szCs w:val="28"/>
        </w:rPr>
        <w:t>, уремия, легочно-сердечная недостаточность. В отдельных случаях смерть обусловлена кровоизлиянием в головной мозг, парапротеинемической комой.</w:t>
      </w:r>
    </w:p>
    <w:p w:rsidR="00A30D4F" w:rsidRPr="0040586F" w:rsidRDefault="00A30D4F">
      <w:pPr>
        <w:rPr>
          <w:rFonts w:ascii="Times New Roman" w:hAnsi="Times New Roman" w:cs="Times New Roman"/>
          <w:sz w:val="28"/>
          <w:szCs w:val="28"/>
        </w:rPr>
      </w:pPr>
    </w:p>
    <w:sectPr w:rsidR="00A30D4F" w:rsidRPr="0040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586F"/>
    <w:rsid w:val="0040586F"/>
    <w:rsid w:val="00A30D4F"/>
    <w:rsid w:val="00A869AF"/>
    <w:rsid w:val="00C4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8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40586F"/>
  </w:style>
  <w:style w:type="character" w:styleId="a4">
    <w:name w:val="Hyperlink"/>
    <w:basedOn w:val="a0"/>
    <w:uiPriority w:val="99"/>
    <w:semiHidden/>
    <w:unhideWhenUsed/>
    <w:rsid w:val="004058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80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05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3223228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002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21113181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96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16497135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77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7165459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63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91671810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7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66042838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0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2217454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5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3533808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03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6441919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51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w5c.xn--c1avg/index.php/%D0%AD%D0%9A%D0%97%D0%9E%D0%A4%D0%A2%D0%90%D0%9B%D0%AC%D0%9C" TargetMode="External"/><Relationship Id="rId13" Type="http://schemas.openxmlformats.org/officeDocument/2006/relationships/hyperlink" Target="https://&#1073;&#1084;&#1101;.&#1086;&#1088;&#1075;/index.php/%D0%A4%D0%B0%D0%B9%D0%BB:Mirlomnaja_d_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90aw5c.xn--c1avg/index.php/%D0%93%D0%95%D0%9C%D0%98%D0%9F%D0%9B%D0%95%D0%93%D0%98%D0%AF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90aw5c.xn--c1avg/index.php/%D0%9F%D0%90%D0%A0%D0%90%D0%9F%D0%9B%D0%95%D0%93%D0%98%D0%AF" TargetMode="External"/><Relationship Id="rId11" Type="http://schemas.openxmlformats.org/officeDocument/2006/relationships/hyperlink" Target="https://&#1073;&#1084;&#1101;.&#1086;&#1088;&#1075;/index.php/%D0%A4%D0%B0%D0%B9%D0%BB:Mirlomnaja_d_7.jpg" TargetMode="External"/><Relationship Id="rId5" Type="http://schemas.openxmlformats.org/officeDocument/2006/relationships/hyperlink" Target="https://xn--90aw5c.xn--c1avg/index.php/%D0%9D%D0%95%D0%A4%D0%A0%D0%9E%D0%A1%D0%9A%D0%9B%D0%95%D0%A0%D0%9E%D0%97" TargetMode="External"/><Relationship Id="rId15" Type="http://schemas.openxmlformats.org/officeDocument/2006/relationships/hyperlink" Target="https://xn--90aw5c.xn--c1avg/index.php/%D0%9F%D0%95%D0%A0%D0%95%D0%9B%D0%9E%D0%9C%D0%AB" TargetMode="External"/><Relationship Id="rId10" Type="http://schemas.openxmlformats.org/officeDocument/2006/relationships/hyperlink" Target="https://xn--90aw5c.xn--c1avg/index.php/%D0%90%D0%A1%D0%A6%D0%98%D0%A2" TargetMode="External"/><Relationship Id="rId4" Type="http://schemas.openxmlformats.org/officeDocument/2006/relationships/hyperlink" Target="https://krasgmu.ru/index.php?page%5bcommon%5d=user&amp;id=1608" TargetMode="External"/><Relationship Id="rId9" Type="http://schemas.openxmlformats.org/officeDocument/2006/relationships/hyperlink" Target="https://xn--90aw5c.xn--c1avg/index.php/%D0%9F%D0%9B%D0%95%D0%92%D0%A0%D0%98%D0%A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2022-01-24T11:02:00Z</dcterms:created>
  <dcterms:modified xsi:type="dcterms:W3CDTF">2022-01-24T11:32:00Z</dcterms:modified>
</cp:coreProperties>
</file>