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50" w:rsidRPr="00693051" w:rsidRDefault="00C61650" w:rsidP="00094FBE">
      <w:pPr>
        <w:spacing w:line="360" w:lineRule="auto"/>
        <w:rPr>
          <w:sz w:val="20"/>
        </w:rPr>
      </w:pPr>
    </w:p>
    <w:p w:rsidR="00C61650" w:rsidRPr="00693051" w:rsidRDefault="00C61650" w:rsidP="00094FBE">
      <w:pPr>
        <w:pStyle w:val="a3"/>
        <w:spacing w:before="64" w:line="360" w:lineRule="auto"/>
        <w:ind w:left="597" w:right="592" w:hanging="10"/>
        <w:jc w:val="center"/>
      </w:pPr>
      <w:r w:rsidRPr="00693051">
        <w:t>Федеральное государственное бюджетное образовательное учреждение высшего</w:t>
      </w:r>
      <w:r w:rsidRPr="00693051">
        <w:rPr>
          <w:spacing w:val="1"/>
        </w:rPr>
        <w:t xml:space="preserve"> </w:t>
      </w:r>
      <w:r w:rsidRPr="00693051">
        <w:t>образования «Красноярский государственный медицинский университет имени</w:t>
      </w:r>
      <w:r w:rsidRPr="00693051">
        <w:rPr>
          <w:spacing w:val="1"/>
        </w:rPr>
        <w:t xml:space="preserve"> </w:t>
      </w:r>
      <w:r w:rsidRPr="00693051">
        <w:t>профессора В.Ф. Войно-Ясенецкого» Министерства здравоохранения Российской</w:t>
      </w:r>
      <w:r w:rsidRPr="00693051">
        <w:rPr>
          <w:spacing w:val="-57"/>
        </w:rPr>
        <w:t xml:space="preserve"> </w:t>
      </w:r>
      <w:r w:rsidRPr="00693051">
        <w:t>Федерации</w:t>
      </w:r>
    </w:p>
    <w:p w:rsidR="00C61650" w:rsidRPr="00693051" w:rsidRDefault="00C61650" w:rsidP="00094FBE">
      <w:pPr>
        <w:pStyle w:val="a3"/>
        <w:spacing w:line="360" w:lineRule="auto"/>
        <w:ind w:left="0"/>
        <w:rPr>
          <w:sz w:val="36"/>
        </w:rPr>
      </w:pPr>
    </w:p>
    <w:p w:rsidR="00C61650" w:rsidRPr="00693051" w:rsidRDefault="00C61650" w:rsidP="00094FBE">
      <w:pPr>
        <w:pStyle w:val="a3"/>
        <w:spacing w:line="360" w:lineRule="auto"/>
        <w:ind w:left="2273" w:right="2276"/>
        <w:jc w:val="center"/>
      </w:pPr>
      <w:r w:rsidRPr="00693051">
        <w:t>Кафедра</w:t>
      </w:r>
      <w:r w:rsidRPr="00693051">
        <w:rPr>
          <w:spacing w:val="-4"/>
        </w:rPr>
        <w:t xml:space="preserve"> </w:t>
      </w:r>
      <w:r w:rsidRPr="00693051">
        <w:t>анестезиологии</w:t>
      </w:r>
      <w:r w:rsidRPr="00693051">
        <w:rPr>
          <w:spacing w:val="-3"/>
        </w:rPr>
        <w:t xml:space="preserve"> </w:t>
      </w:r>
      <w:r w:rsidRPr="00693051">
        <w:t>и</w:t>
      </w:r>
      <w:r w:rsidRPr="00693051">
        <w:rPr>
          <w:spacing w:val="-2"/>
        </w:rPr>
        <w:t xml:space="preserve"> </w:t>
      </w:r>
      <w:r w:rsidRPr="00693051">
        <w:t>реаниматологии</w:t>
      </w:r>
      <w:r w:rsidRPr="00693051">
        <w:rPr>
          <w:spacing w:val="-2"/>
        </w:rPr>
        <w:t xml:space="preserve"> </w:t>
      </w:r>
      <w:r w:rsidRPr="00693051">
        <w:t>ИПО</w:t>
      </w: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before="8" w:line="360" w:lineRule="auto"/>
        <w:ind w:left="0"/>
      </w:pPr>
    </w:p>
    <w:p w:rsidR="00C61650" w:rsidRPr="00693051" w:rsidRDefault="00C61650" w:rsidP="00094FBE">
      <w:pPr>
        <w:pStyle w:val="a3"/>
        <w:spacing w:before="1" w:line="360" w:lineRule="auto"/>
        <w:ind w:left="0" w:right="112"/>
        <w:jc w:val="right"/>
      </w:pPr>
      <w:r w:rsidRPr="00693051">
        <w:t>Заведующий</w:t>
      </w:r>
      <w:r w:rsidRPr="00693051">
        <w:rPr>
          <w:spacing w:val="-4"/>
        </w:rPr>
        <w:t xml:space="preserve"> </w:t>
      </w:r>
      <w:r w:rsidRPr="00693051">
        <w:t>кафедрой:</w:t>
      </w:r>
      <w:r w:rsidRPr="00693051">
        <w:rPr>
          <w:spacing w:val="-6"/>
        </w:rPr>
        <w:t xml:space="preserve"> </w:t>
      </w:r>
      <w:r w:rsidRPr="00693051">
        <w:t>Д.М.Н.,</w:t>
      </w:r>
      <w:r w:rsidRPr="00693051">
        <w:rPr>
          <w:spacing w:val="-5"/>
        </w:rPr>
        <w:t xml:space="preserve"> </w:t>
      </w:r>
      <w:r w:rsidRPr="00693051">
        <w:t>профессор</w:t>
      </w:r>
      <w:r w:rsidRPr="00693051">
        <w:rPr>
          <w:spacing w:val="-4"/>
        </w:rPr>
        <w:t xml:space="preserve"> </w:t>
      </w:r>
      <w:r w:rsidRPr="00693051">
        <w:t>Грицан</w:t>
      </w:r>
      <w:r w:rsidRPr="00693051">
        <w:rPr>
          <w:spacing w:val="-4"/>
        </w:rPr>
        <w:t xml:space="preserve"> </w:t>
      </w:r>
      <w:r w:rsidRPr="00693051">
        <w:t>А.</w:t>
      </w:r>
      <w:r w:rsidRPr="00693051">
        <w:rPr>
          <w:spacing w:val="-4"/>
        </w:rPr>
        <w:t xml:space="preserve"> </w:t>
      </w:r>
      <w:r w:rsidRPr="00693051">
        <w:t>И.</w:t>
      </w:r>
    </w:p>
    <w:p w:rsidR="00C61650" w:rsidRPr="00693051" w:rsidRDefault="00C61650" w:rsidP="00094FBE">
      <w:pPr>
        <w:pStyle w:val="a3"/>
        <w:spacing w:before="136" w:line="360" w:lineRule="auto"/>
        <w:ind w:left="0" w:right="110"/>
        <w:jc w:val="right"/>
      </w:pPr>
      <w:r w:rsidRPr="00693051">
        <w:t>Проверил:</w:t>
      </w:r>
      <w:r w:rsidRPr="00693051">
        <w:rPr>
          <w:spacing w:val="-3"/>
        </w:rPr>
        <w:t xml:space="preserve"> </w:t>
      </w:r>
      <w:r w:rsidRPr="00693051">
        <w:t>К.М.Н.</w:t>
      </w:r>
      <w:r w:rsidRPr="00693051">
        <w:rPr>
          <w:spacing w:val="-3"/>
        </w:rPr>
        <w:t xml:space="preserve"> </w:t>
      </w:r>
      <w:r w:rsidRPr="00693051">
        <w:t>доцент</w:t>
      </w:r>
      <w:r w:rsidRPr="00693051">
        <w:rPr>
          <w:spacing w:val="-3"/>
        </w:rPr>
        <w:t xml:space="preserve"> </w:t>
      </w:r>
      <w:r w:rsidR="00C43888" w:rsidRPr="00693051">
        <w:t>Ермаков Е.И.</w:t>
      </w: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before="8" w:line="360" w:lineRule="auto"/>
        <w:ind w:left="0"/>
        <w:rPr>
          <w:sz w:val="28"/>
        </w:rPr>
      </w:pPr>
    </w:p>
    <w:p w:rsidR="00C61650" w:rsidRPr="00693051" w:rsidRDefault="00C61650" w:rsidP="00094FBE">
      <w:pPr>
        <w:pStyle w:val="a3"/>
        <w:spacing w:line="360" w:lineRule="auto"/>
        <w:ind w:left="2265" w:right="2276"/>
        <w:jc w:val="center"/>
      </w:pPr>
      <w:r w:rsidRPr="00693051">
        <w:t>Реферат</w:t>
      </w: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before="5" w:line="360" w:lineRule="auto"/>
        <w:ind w:left="0"/>
        <w:rPr>
          <w:sz w:val="20"/>
        </w:rPr>
      </w:pPr>
    </w:p>
    <w:p w:rsidR="00C61650" w:rsidRPr="00693051" w:rsidRDefault="00C61650" w:rsidP="00094FBE">
      <w:pPr>
        <w:pStyle w:val="a3"/>
        <w:spacing w:line="360" w:lineRule="auto"/>
        <w:ind w:left="2268" w:right="2276"/>
        <w:jc w:val="center"/>
      </w:pPr>
      <w:r w:rsidRPr="00693051">
        <w:t>Кислотно-щелочное</w:t>
      </w:r>
      <w:r w:rsidRPr="00693051">
        <w:rPr>
          <w:spacing w:val="-7"/>
        </w:rPr>
        <w:t xml:space="preserve"> </w:t>
      </w:r>
      <w:r w:rsidRPr="00693051">
        <w:t>равновесие</w:t>
      </w: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before="175" w:line="360" w:lineRule="auto"/>
        <w:ind w:left="0" w:right="114"/>
        <w:jc w:val="right"/>
      </w:pPr>
      <w:r w:rsidRPr="00693051">
        <w:t>Выполнил:</w:t>
      </w:r>
      <w:r w:rsidRPr="00693051">
        <w:rPr>
          <w:spacing w:val="-4"/>
        </w:rPr>
        <w:t xml:space="preserve"> </w:t>
      </w:r>
      <w:r w:rsidRPr="00693051">
        <w:t>Ординатор</w:t>
      </w:r>
      <w:r w:rsidRPr="00693051">
        <w:rPr>
          <w:spacing w:val="-5"/>
        </w:rPr>
        <w:t xml:space="preserve"> </w:t>
      </w:r>
      <w:r w:rsidRPr="00693051">
        <w:t>кафедры</w:t>
      </w:r>
      <w:r w:rsidRPr="00693051">
        <w:rPr>
          <w:spacing w:val="-5"/>
        </w:rPr>
        <w:t xml:space="preserve"> </w:t>
      </w:r>
      <w:r w:rsidRPr="00693051">
        <w:t>анестезиологии</w:t>
      </w:r>
      <w:r w:rsidRPr="00693051">
        <w:rPr>
          <w:spacing w:val="-3"/>
        </w:rPr>
        <w:t xml:space="preserve"> </w:t>
      </w:r>
      <w:r w:rsidRPr="00693051">
        <w:t>и</w:t>
      </w:r>
      <w:r w:rsidRPr="00693051">
        <w:rPr>
          <w:spacing w:val="-3"/>
        </w:rPr>
        <w:t xml:space="preserve"> </w:t>
      </w:r>
      <w:r w:rsidRPr="00693051">
        <w:t>реаниматологии</w:t>
      </w:r>
    </w:p>
    <w:p w:rsidR="00C61650" w:rsidRPr="00693051" w:rsidRDefault="00C61650" w:rsidP="00094FBE">
      <w:pPr>
        <w:pStyle w:val="a3"/>
        <w:spacing w:before="132" w:line="360" w:lineRule="auto"/>
        <w:ind w:left="0" w:right="109"/>
        <w:jc w:val="right"/>
      </w:pPr>
      <w:r w:rsidRPr="00693051">
        <w:t>ИПО</w:t>
      </w:r>
      <w:r w:rsidRPr="00693051">
        <w:rPr>
          <w:spacing w:val="-4"/>
        </w:rPr>
        <w:t xml:space="preserve"> </w:t>
      </w:r>
      <w:r w:rsidR="00C43888" w:rsidRPr="00693051">
        <w:t>Игнатьев Дмитрий Евгеньевич</w:t>
      </w: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line="360" w:lineRule="auto"/>
        <w:ind w:left="0"/>
      </w:pPr>
    </w:p>
    <w:p w:rsidR="00C61650" w:rsidRPr="00693051" w:rsidRDefault="00C61650" w:rsidP="00094FBE">
      <w:pPr>
        <w:pStyle w:val="a3"/>
        <w:spacing w:before="9" w:line="360" w:lineRule="auto"/>
        <w:ind w:left="0"/>
      </w:pPr>
    </w:p>
    <w:p w:rsidR="00C61650" w:rsidRPr="00693051" w:rsidRDefault="00C61650" w:rsidP="00094FBE">
      <w:pPr>
        <w:pStyle w:val="a3"/>
        <w:spacing w:before="1" w:line="360" w:lineRule="auto"/>
        <w:ind w:left="3805" w:right="3814"/>
        <w:jc w:val="center"/>
      </w:pPr>
      <w:r w:rsidRPr="00693051">
        <w:t>Красноярск</w:t>
      </w:r>
      <w:r w:rsidRPr="00693051">
        <w:rPr>
          <w:spacing w:val="-2"/>
        </w:rPr>
        <w:t xml:space="preserve"> </w:t>
      </w:r>
      <w:r w:rsidRPr="00693051">
        <w:t>2023</w:t>
      </w:r>
      <w:r w:rsidR="00195C9A" w:rsidRPr="00693051">
        <w:rPr>
          <w:spacing w:val="-1"/>
        </w:rPr>
        <w:t>.</w:t>
      </w:r>
    </w:p>
    <w:p w:rsidR="00195C9A" w:rsidRPr="00693051" w:rsidRDefault="00195C9A" w:rsidP="00094FBE">
      <w:pPr>
        <w:pStyle w:val="a3"/>
        <w:spacing w:before="1" w:line="360" w:lineRule="auto"/>
        <w:ind w:left="3805" w:right="3814"/>
        <w:jc w:val="center"/>
      </w:pPr>
    </w:p>
    <w:p w:rsidR="00195C9A" w:rsidRPr="00693051" w:rsidRDefault="00195C9A" w:rsidP="00094FBE">
      <w:pPr>
        <w:pStyle w:val="a3"/>
        <w:spacing w:before="1" w:line="360" w:lineRule="auto"/>
        <w:ind w:left="0" w:right="3814"/>
        <w:sectPr w:rsidR="00195C9A" w:rsidRPr="00693051">
          <w:pgSz w:w="11910" w:h="16840"/>
          <w:pgMar w:top="1100" w:right="720" w:bottom="280" w:left="1580" w:header="720" w:footer="720" w:gutter="0"/>
          <w:cols w:space="720"/>
        </w:sectPr>
      </w:pPr>
    </w:p>
    <w:p w:rsidR="00195C9A" w:rsidRPr="00693051" w:rsidRDefault="00195C9A" w:rsidP="00094FBE">
      <w:pPr>
        <w:pStyle w:val="a3"/>
        <w:tabs>
          <w:tab w:val="left" w:pos="1955"/>
          <w:tab w:val="left" w:pos="4406"/>
        </w:tabs>
        <w:spacing w:before="45" w:line="360" w:lineRule="auto"/>
        <w:ind w:left="0" w:right="119"/>
        <w:jc w:val="both"/>
      </w:pPr>
      <w:r w:rsidRPr="00693051">
        <w:lastRenderedPageBreak/>
        <w:t xml:space="preserve">   </w:t>
      </w:r>
      <w:r w:rsidR="00094FBE" w:rsidRPr="00693051">
        <w:t xml:space="preserve">      </w:t>
      </w:r>
      <w:r w:rsidRPr="00693051">
        <w:t>Кислотно-щелочное равновесие является важным параметром, который поддерживается в крови человека в определенных пределах. Это необходимо для нормального функционирования различных систем организма, протекания биохимических реакций, оптимального функционирования ферментов.</w:t>
      </w:r>
    </w:p>
    <w:p w:rsidR="00195C9A" w:rsidRPr="00693051" w:rsidRDefault="00195C9A" w:rsidP="00094FBE">
      <w:pPr>
        <w:pStyle w:val="a3"/>
        <w:tabs>
          <w:tab w:val="left" w:pos="1955"/>
          <w:tab w:val="left" w:pos="4406"/>
        </w:tabs>
        <w:spacing w:before="45" w:line="360" w:lineRule="auto"/>
        <w:ind w:right="119"/>
        <w:jc w:val="both"/>
      </w:pPr>
      <w:r w:rsidRPr="00693051">
        <w:t>Кислотами называются вещества, которые могут отдавать ионы водорода, а основаниями (щелочами) вещества, присоединяющие данные ионы. Кислотность и щелочность растворов оценивается по шкале рН от 0 (растворы сильных кислот) до 14 (растворы сильных щелочей). По шкале рН нейтральная кислотность равна 7.</w:t>
      </w:r>
    </w:p>
    <w:p w:rsidR="00195C9A" w:rsidRPr="00693051" w:rsidRDefault="00195C9A" w:rsidP="00094FBE">
      <w:pPr>
        <w:pStyle w:val="a3"/>
        <w:tabs>
          <w:tab w:val="left" w:pos="1955"/>
          <w:tab w:val="left" w:pos="4406"/>
        </w:tabs>
        <w:spacing w:before="45" w:line="360" w:lineRule="auto"/>
        <w:ind w:right="119"/>
        <w:jc w:val="both"/>
      </w:pPr>
      <w:r w:rsidRPr="00693051">
        <w:t>Нормальная кислотность крови составляет 7,35 – 7,45 по шкале рН. Смещение данного показателя ниже 7,35 свидетельствует об ацидозе (смещении кислотно-щелочного баланса крови в сторону увеличения кислотности). При отклонении рН выше 7, 45 возникает алкалоз (избыток веществ со свойствами щелочей в крови).</w:t>
      </w:r>
    </w:p>
    <w:p w:rsidR="00C61650" w:rsidRPr="00693051" w:rsidRDefault="00195C9A" w:rsidP="00094FBE">
      <w:pPr>
        <w:pStyle w:val="a3"/>
        <w:tabs>
          <w:tab w:val="left" w:pos="1955"/>
          <w:tab w:val="left" w:pos="4406"/>
        </w:tabs>
        <w:spacing w:before="45" w:line="360" w:lineRule="auto"/>
        <w:ind w:right="119"/>
        <w:jc w:val="both"/>
      </w:pPr>
      <w:r w:rsidRPr="00693051">
        <w:t>В процессе обмена веществ в  организме в больших количествах образуются продукты, которые способны вызывать изменение данного параметра. Главную роль в регуляции кислотно-щелочного равновесия принадлежит легким, почкам и буферным системам крови.</w:t>
      </w:r>
      <w:r w:rsidR="00C61650" w:rsidRPr="00693051">
        <w:t>колеблется</w:t>
      </w:r>
      <w:r w:rsidR="00C61650" w:rsidRPr="00693051">
        <w:rPr>
          <w:spacing w:val="-1"/>
        </w:rPr>
        <w:t xml:space="preserve"> </w:t>
      </w:r>
      <w:r w:rsidR="00C61650" w:rsidRPr="00693051">
        <w:t>в</w:t>
      </w:r>
      <w:r w:rsidR="00C61650" w:rsidRPr="00693051">
        <w:rPr>
          <w:spacing w:val="-1"/>
        </w:rPr>
        <w:t xml:space="preserve"> </w:t>
      </w:r>
      <w:r w:rsidR="00C61650" w:rsidRPr="00693051">
        <w:t>пределах</w:t>
      </w:r>
      <w:r w:rsidR="00C61650" w:rsidRPr="00693051">
        <w:rPr>
          <w:spacing w:val="2"/>
        </w:rPr>
        <w:t xml:space="preserve"> </w:t>
      </w:r>
      <w:r w:rsidR="00C61650" w:rsidRPr="00693051">
        <w:t>7,35-7,45.</w:t>
      </w:r>
    </w:p>
    <w:p w:rsidR="00C61650" w:rsidRPr="00693051" w:rsidRDefault="00C61650" w:rsidP="00094FBE">
      <w:pPr>
        <w:pStyle w:val="a3"/>
        <w:spacing w:before="1" w:line="360" w:lineRule="auto"/>
        <w:ind w:left="0"/>
        <w:rPr>
          <w:sz w:val="28"/>
        </w:rPr>
      </w:pPr>
    </w:p>
    <w:p w:rsidR="00094FBE" w:rsidRPr="00693051" w:rsidRDefault="00094FBE" w:rsidP="00094FBE">
      <w:pPr>
        <w:pStyle w:val="a3"/>
        <w:numPr>
          <w:ilvl w:val="0"/>
          <w:numId w:val="4"/>
        </w:numPr>
        <w:spacing w:before="6" w:line="360" w:lineRule="auto"/>
        <w:rPr>
          <w:b/>
          <w:sz w:val="28"/>
        </w:rPr>
      </w:pPr>
      <w:r w:rsidRPr="00693051">
        <w:rPr>
          <w:b/>
          <w:sz w:val="28"/>
        </w:rPr>
        <w:t>Буферные системы.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В человеческом организме есть механизмы саморегуляции уровня рН. Существуют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четыре буферные системы. Которые сдерживают сдвиги рН за счет своей двух-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компонентности. Кислотный компонент выступает как донатор, а щелочной как акцептор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протонов H. Химические буферные системы представлены в основном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бикарбонатным(53%), фосфатным(5%), белковым(7%) и гемоглобиновым(35%) буферами.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Буферные системы начинают действовать сразу же при увеличении или снижении [H+], 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следовательно, представляют собой первую мобильную и действенную систему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компенсации сдвигов рН. Например, буферы крови способны устранить умеренные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сдвиги КЩР в течение 10–40 с. Ёмкость и эффективность буферных систем крови весьма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высока.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Принцип действия химических буферных систем заключается в трансформации сильных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кислот и сильных оснований в слабые. Эти реакции реализуются как внутри так 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внеклеточно (в крови, межклеточной, спинномозговой и других жидких средах), но в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наибольшем масштабе — в клетках.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В поддержке КЩР организма принимают участие почки, легкие, кожа и ЖКТ. Ацидоз 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алкалоз являются двумя пограничными состояниями недостаточности и нарушения КЩР.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  <w:sz w:val="28"/>
          <w:u w:val="single"/>
        </w:rPr>
      </w:pPr>
      <w:r w:rsidRPr="00693051">
        <w:rPr>
          <w:spacing w:val="-1"/>
          <w:sz w:val="28"/>
        </w:rPr>
        <w:t xml:space="preserve">   </w:t>
      </w:r>
      <w:r w:rsidRPr="00693051">
        <w:rPr>
          <w:spacing w:val="-1"/>
          <w:sz w:val="28"/>
          <w:u w:val="single"/>
        </w:rPr>
        <w:t>Бикарбонатная буферная система.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Она работает в крови. Бикарбонатная буферная система состоит из слабой кислоты и соли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lastRenderedPageBreak/>
        <w:t>сильного основания, соотношение Н2СО3 /NаНСО3 составляет 1/20.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Емкость бикарбонатной буферной системы составляет 53% всей буферной емкости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крови. При этом на бикарбонат плазмы приходится 35% и на бикарбонат эритроцитов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18% буферной емкости.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Так, при ацидозе: H+ NaHCO3-&gt; Na + H2CO3   H2CO3-&gt; H2O+CO2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При алкалозе: OH+H2CO3+Na+ -&gt; NaHCO3+ H2O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Бикарбонатная буферная система используется как важный диагностический показатель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состояния КЩР организма в целом.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    </w:t>
      </w:r>
      <w:r w:rsidRPr="00693051">
        <w:rPr>
          <w:spacing w:val="-1"/>
          <w:sz w:val="28"/>
          <w:u w:val="single"/>
        </w:rPr>
        <w:t>Фосфатная буферная система</w:t>
      </w:r>
      <w:r w:rsidRPr="00693051">
        <w:rPr>
          <w:spacing w:val="-1"/>
          <w:sz w:val="28"/>
        </w:rPr>
        <w:t>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Фосфатная буферная система играет существенную роль в регуляции КЩР внутри клеток,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особенно — канальцев почек. Это обусловлено более высокой концентрацией фосфатов в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клетках в сравнении с внеклеточной жидкостью (около 8% общей буферной ёмкости).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Фосфатный буфер состоит из двух компонентов: щелочного — (Na2HPO4) и кислого —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(NaH2PO4).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Эпителий канальцев почек содержит компоненты буфера в максимальной концентрации,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что обеспечивает его высокую мощность. В крови фосфатный буфер способствует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поддержанию («регенерации») гидрокарбонатной буферной системы. При увеличении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уровня кислот в плазме крови (содержащей и ,икарбонатный, и фосфатный буфер)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увеличивается концентрация H2CO3 и уменьшается содержание NaHCO3: в норме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отношение ¼= NaH2PO4 / Na2HPO4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Для ацидоза характерно: H+ + Na2HPO4 -&gt; Na+ + NaH2PO4  -&gt; в мочу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Для алкалоза характерно: NaOH + NaH2PO4-&gt; H2O+Na2HPO4  -&gt; в мочу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Поэтому при ацидозе и алкалозе оценка кислотности и щелочности определяется по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анализу мочи: увеличивается при ацидозе и уменьшается при алкалозе.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  <w:u w:val="single"/>
        </w:rPr>
      </w:pPr>
      <w:r w:rsidRPr="00693051">
        <w:rPr>
          <w:spacing w:val="-1"/>
        </w:rPr>
        <w:t xml:space="preserve">     </w:t>
      </w:r>
      <w:r w:rsidRPr="00693051">
        <w:rPr>
          <w:spacing w:val="-1"/>
          <w:sz w:val="28"/>
          <w:u w:val="single"/>
        </w:rPr>
        <w:t xml:space="preserve">Белковая буферная система.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Белковая буферная система— главный внутриклеточный буфер. Он составляет примерно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три четверти буферной ёмкости внутриклеточной жидкости. Белок обладает свойством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амфотерности, т.е. может  выступать в роли слабой кислоты или слабого основания.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Компонентами белкового буфера являются слабодиссоциирующий белок с кислыми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свойствами (белокCOOH) и соли сильного основания (белокCOONa). При нарастании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уровня кислот они взаимодействуют с солью белка с образованием нейтральной соли 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слабой кислоты. При увеличении концентрации оснований реакция их происходит с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белком с кислыми свойствами. В результате вместо сильного основания образуется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слабоосновная соль.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Белки содержат много ионизируемых групп, которые могут высвобождать или связывать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Н+. Большое количество протеиновых буферов локализовано в клетках, ионы Н+ и СО2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диффундируют через клеточные мембраны для буферирования внутриклеточными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lastRenderedPageBreak/>
        <w:t>белками. Альбумин и глобулины плазмы являются основными протеиновыми буферами в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сосудистом секторе.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Буферные свойства белков плазмы (альбумина и др.) и гемоглобина эритроцитов связаны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с тем, что входящие в их состав аминокислоты содержат как кислые (–СООН), так 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основные (–NН2) группы и могут диссоциировать с образованием как водородных, так и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гидроксильных ионов в зависимости от реакции среды. Большая часть буферной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емкости белковой системы приходится на долю гемоглобинa.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Синтез белков происходит в печени, поэтому патологии белкового буфера связаны с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проблемами печени.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  <w:u w:val="single"/>
        </w:rPr>
      </w:pPr>
      <w:r w:rsidRPr="00693051">
        <w:rPr>
          <w:spacing w:val="-1"/>
        </w:rPr>
        <w:t xml:space="preserve">    </w:t>
      </w:r>
      <w:r w:rsidRPr="00693051">
        <w:rPr>
          <w:spacing w:val="-1"/>
          <w:sz w:val="28"/>
          <w:u w:val="single"/>
        </w:rPr>
        <w:t>Гемоглобиновый буфер.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Гемоглобиновая буферная система — наиболее ёмкий буфер крови — составляет более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половины всей её буферной ёмкости. Гемоглобиновый буфер состоит из кислого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компонента — оксигенированного Hb — HbO2 и основного — неоксигенированного.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HbO2 примерно в 80 раз сильнее диссоциирует с отдачей в среду H+, чем Hb.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Соответственно, он больше связывает катионов, главным образом K+.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Основная роль гемоглобиновой буферной системы заключается в её участии в транспорте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CO2 от тканей к лёгким.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В капиллярах большого круга кровообращения HbO2 отдаёт кислород. В эритроцитах CO2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взаимодействует с H2O и образуется H2CO3. Эта кислота диссоциирует на HCO3– и H+,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который соединяется с Hb. Анионы HCO3– из эритроцитов выходят в плазму крови, а в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эритроциты поступает эквивалентное количество анионов Cl–. Остающиеся в плазме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крови ионы Na+ взаимодействуют с HCO 3– и благодаря этому восстанавливают её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>щелочной резерв.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В капиллярах лёгких, в условиях низкого pСО2 и высокого pО2, Hb присоединяет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кислород с образованием HbO2. Карбаминовая связь разрывается, в связи с чем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высвобождается CO2. При этом, HCO3– из плазмы крови поступает в эритроциты (в обмен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на ионы Cl–) и взаимодействует с H+, отщепившимся от Hb в момент его оксигенации. </w:t>
      </w:r>
    </w:p>
    <w:p w:rsidR="00094FBE" w:rsidRPr="00693051" w:rsidRDefault="00094FBE" w:rsidP="00094FBE">
      <w:pPr>
        <w:pStyle w:val="a3"/>
        <w:spacing w:before="1" w:line="360" w:lineRule="auto"/>
        <w:rPr>
          <w:spacing w:val="-1"/>
        </w:rPr>
      </w:pPr>
      <w:r w:rsidRPr="00693051">
        <w:rPr>
          <w:spacing w:val="-1"/>
        </w:rPr>
        <w:t xml:space="preserve">Образующаяся H2CO3 под влиянием карбоангидразы расщепляется на CO2 и H2O. CO2 </w:t>
      </w:r>
    </w:p>
    <w:p w:rsidR="00C61650" w:rsidRPr="00693051" w:rsidRDefault="00094FBE" w:rsidP="00094FBE">
      <w:pPr>
        <w:pStyle w:val="a3"/>
        <w:spacing w:before="1" w:line="360" w:lineRule="auto"/>
        <w:ind w:left="0"/>
        <w:rPr>
          <w:spacing w:val="-1"/>
        </w:rPr>
      </w:pPr>
      <w:r w:rsidRPr="00693051">
        <w:rPr>
          <w:spacing w:val="-1"/>
        </w:rPr>
        <w:t>диффундирует в альвеолы и выводится из организма.</w:t>
      </w:r>
    </w:p>
    <w:p w:rsidR="00C61650" w:rsidRPr="00693051" w:rsidRDefault="00C61650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</w:pPr>
    </w:p>
    <w:p w:rsidR="00A53744" w:rsidRPr="00693051" w:rsidRDefault="00A53744" w:rsidP="00094FBE">
      <w:pPr>
        <w:spacing w:line="360" w:lineRule="auto"/>
        <w:jc w:val="both"/>
        <w:rPr>
          <w:sz w:val="24"/>
        </w:rPr>
      </w:pPr>
    </w:p>
    <w:p w:rsidR="00A53744" w:rsidRPr="00693051" w:rsidRDefault="00A53744" w:rsidP="00A53744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 w:rsidRPr="00693051">
        <w:rPr>
          <w:b/>
          <w:sz w:val="28"/>
        </w:rPr>
        <w:t>Профилактика и коррекция нарушений КЩР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Различают два вида нарушений КОС (табл.3.4): недыхательные (ацидоз или алкалоз – патологическое состояние при котором первично увеличивается дефицит или избыток оснований, что приводит к изменению показателя ВЕecf и рН в сторону ацидемии или алкалемии) и дыхательные (ацидоз или алкалоз с первичным увеличением или снижением РаСО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</w:t>
      </w:r>
      <w:r w:rsidRPr="00A53744">
        <w:rPr>
          <w:color w:val="000000"/>
          <w:sz w:val="24"/>
          <w:szCs w:val="24"/>
          <w:lang w:eastAsia="ru-RU"/>
        </w:rPr>
        <w:t>). При диагностике нарушений КОС необходимо оценивать степень тяжести расстройств и компенсаторных изменений.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Могут быть более сложные нарушения КОС: однонаправленные (дыхательный и недыхательный ацидоз или алкалоз) и разнонаправленные, противоположные (дыхательный ацидоз и недыхательный алкалоз, дыхательный алкалоз и недыхательный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водно-электролитного обмена и показателями газообмена.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Профилактика нарушений КОС</w:t>
      </w:r>
      <w:r w:rsidRPr="00A53744">
        <w:rPr>
          <w:color w:val="000000"/>
          <w:sz w:val="24"/>
          <w:szCs w:val="24"/>
          <w:lang w:eastAsia="ru-RU"/>
        </w:rPr>
        <w:t> 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нормовентиляции (FetCO</w:t>
      </w:r>
      <w:r w:rsidRPr="00A53744">
        <w:rPr>
          <w:color w:val="000000"/>
          <w:sz w:val="24"/>
          <w:szCs w:val="24"/>
          <w:vertAlign w:val="subscript"/>
          <w:lang w:eastAsia="ru-RU"/>
        </w:rPr>
        <w:t>2 </w:t>
      </w:r>
      <w:r w:rsidRPr="00A53744">
        <w:rPr>
          <w:color w:val="000000"/>
          <w:sz w:val="24"/>
          <w:szCs w:val="24"/>
          <w:lang w:eastAsia="ru-RU"/>
        </w:rPr>
        <w:t>= 4,9 – 6,4 об%), обеспечением достаточной оксигенации (SaO</w:t>
      </w:r>
      <w:r w:rsidRPr="00A53744">
        <w:rPr>
          <w:color w:val="000000"/>
          <w:sz w:val="24"/>
          <w:szCs w:val="24"/>
          <w:vertAlign w:val="subscript"/>
          <w:lang w:eastAsia="ru-RU"/>
        </w:rPr>
        <w:t>2 </w:t>
      </w:r>
      <w:r w:rsidRPr="00A53744">
        <w:rPr>
          <w:color w:val="000000"/>
          <w:sz w:val="24"/>
          <w:szCs w:val="24"/>
          <w:lang w:eastAsia="ru-RU"/>
        </w:rPr>
        <w:t>= 94-100 об%), предупреждением нарушений метаболизма.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Интенсивная терапия</w:t>
      </w:r>
      <w:r w:rsidRPr="00A53744">
        <w:rPr>
          <w:color w:val="000000"/>
          <w:sz w:val="24"/>
          <w:szCs w:val="24"/>
          <w:lang w:eastAsia="ru-RU"/>
        </w:rPr>
        <w:t> 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Таблица 3.4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Характер нарушений КОС</w:t>
      </w: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6"/>
        <w:gridCol w:w="1671"/>
        <w:gridCol w:w="1671"/>
        <w:gridCol w:w="2112"/>
      </w:tblGrid>
      <w:tr w:rsidR="00A53744" w:rsidRPr="00A53744" w:rsidTr="00A53744"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Нарушения КОС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Показатели КОС</w:t>
            </w:r>
          </w:p>
        </w:tc>
      </w:tr>
      <w:tr w:rsidR="00A53744" w:rsidRPr="00A53744" w:rsidTr="00A537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pH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РаСО</w:t>
            </w:r>
            <w:r w:rsidRPr="00A53744">
              <w:rPr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ВЕecf</w:t>
            </w:r>
          </w:p>
        </w:tc>
      </w:tr>
      <w:tr w:rsidR="00A53744" w:rsidRPr="00A53744" w:rsidTr="00A5374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iCs/>
                <w:color w:val="000000"/>
                <w:sz w:val="24"/>
                <w:szCs w:val="24"/>
                <w:lang w:eastAsia="ru-RU"/>
              </w:rPr>
              <w:t>Недыхательный ацидоз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умеренный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выраженный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тяжелый: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декомпенсированный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частично 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компенсированный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lastRenderedPageBreak/>
              <w:t>7.20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7.21-7.29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40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34-28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-2.5 - -5.2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-5.3- -7.5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 xml:space="preserve">-7.6 и 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sym w:font="Symbol" w:char="F03C"/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-7.6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-7.6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-7.6</w:t>
            </w:r>
          </w:p>
        </w:tc>
      </w:tr>
      <w:tr w:rsidR="00A53744" w:rsidRPr="00A53744" w:rsidTr="00A5374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iCs/>
                <w:color w:val="000000"/>
                <w:sz w:val="24"/>
                <w:szCs w:val="24"/>
                <w:lang w:eastAsia="ru-RU"/>
              </w:rPr>
              <w:t>Недыхательный алкалоз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умеренный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выраженный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тяжелый: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декомпенсированный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частично 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компенсированный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7.59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7.53-7.49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40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46-50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+2.5 - +6.5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+6.6 - +12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 xml:space="preserve">+12.1 и 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sym w:font="Symbol" w:char="F03E"/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+12.1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+12.1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+12.1</w:t>
            </w:r>
          </w:p>
        </w:tc>
      </w:tr>
      <w:tr w:rsidR="00A53744" w:rsidRPr="00A53744" w:rsidTr="00A5374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iCs/>
                <w:color w:val="000000"/>
                <w:sz w:val="24"/>
                <w:szCs w:val="24"/>
                <w:lang w:eastAsia="ru-RU"/>
              </w:rPr>
              <w:t>Недыхательный алкалоз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умеренный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выраженный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тяжелый: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декомпенсированный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частично 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компенсированный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7.59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7.53-7.49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40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46-50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+2.5 - +6.5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+6.6 - +12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 xml:space="preserve">+12.1 и 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sym w:font="Symbol" w:char="F03E"/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+12.1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+12.1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+12.1</w:t>
            </w:r>
          </w:p>
        </w:tc>
      </w:tr>
      <w:tr w:rsidR="00A53744" w:rsidRPr="00A53744" w:rsidTr="00A5374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iCs/>
                <w:color w:val="000000"/>
                <w:sz w:val="24"/>
                <w:szCs w:val="24"/>
                <w:lang w:eastAsia="ru-RU"/>
              </w:rPr>
              <w:t>Дыхательный ацидоз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умеренный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выраженный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тяжелый: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декомпенсированный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частично 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компенсированный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7.20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7.29-7.21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7.20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7.29-7.21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46-50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51-60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 xml:space="preserve">61 и 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sym w:font="Symbol" w:char="F03E"/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61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61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53744" w:rsidRPr="00A53744" w:rsidTr="00A5374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iCs/>
                <w:color w:val="000000"/>
                <w:sz w:val="24"/>
                <w:szCs w:val="24"/>
                <w:lang w:eastAsia="ru-RU"/>
              </w:rPr>
              <w:t>Дыхательный алкалоз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умеренный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выраженный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тяжелый: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декомпенсированный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частично компенсированный</w:t>
            </w:r>
          </w:p>
          <w:p w:rsidR="00A53744" w:rsidRPr="00A53744" w:rsidRDefault="00A53744" w:rsidP="00A53744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компенсированный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7.59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7.53-7.49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-2.3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-2.5 - -5.2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-7.5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34-28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27-20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 xml:space="preserve">19 и </w:t>
            </w:r>
            <w:r w:rsidRPr="00A53744">
              <w:rPr>
                <w:color w:val="000000"/>
                <w:sz w:val="24"/>
                <w:szCs w:val="24"/>
                <w:lang w:eastAsia="ru-RU"/>
              </w:rPr>
              <w:sym w:font="Symbol" w:char="F03C"/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19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19</w:t>
            </w:r>
          </w:p>
          <w:p w:rsidR="00A53744" w:rsidRPr="00A53744" w:rsidRDefault="00A53744" w:rsidP="00A537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3744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Ацидоз недыхательный</w:t>
      </w:r>
      <w:r w:rsidRPr="00A53744">
        <w:rPr>
          <w:color w:val="000000"/>
          <w:sz w:val="24"/>
          <w:szCs w:val="24"/>
          <w:lang w:eastAsia="ru-RU"/>
        </w:rPr>
        <w:t> может быть метаболическим, выделительным и экзогенным. Он характеризуется снижением 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 и возрастанием дефицита оснований (Becf &gt; - 2,3 мМ/л).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 xml:space="preserve"> в 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катионо-анионного градиента </w:t>
      </w:r>
      <w:r w:rsidRPr="00A53744">
        <w:rPr>
          <w:color w:val="000000"/>
          <w:sz w:val="24"/>
          <w:szCs w:val="24"/>
          <w:lang w:eastAsia="ru-RU"/>
        </w:rPr>
        <w:sym w:font="Symbol" w:char="F05B"/>
      </w:r>
      <w:r w:rsidRPr="00A53744">
        <w:rPr>
          <w:color w:val="000000"/>
          <w:sz w:val="24"/>
          <w:szCs w:val="24"/>
          <w:lang w:eastAsia="ru-RU"/>
        </w:rPr>
        <w:t>(Na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 </w:t>
      </w:r>
      <w:r w:rsidRPr="00A53744">
        <w:rPr>
          <w:color w:val="000000"/>
          <w:sz w:val="24"/>
          <w:szCs w:val="24"/>
          <w:lang w:eastAsia="ru-RU"/>
        </w:rPr>
        <w:t>+ K 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)</w:t>
      </w:r>
      <w:r w:rsidRPr="00A53744">
        <w:rPr>
          <w:color w:val="000000"/>
          <w:sz w:val="24"/>
          <w:szCs w:val="24"/>
          <w:vertAlign w:val="superscript"/>
          <w:lang w:eastAsia="ru-RU"/>
        </w:rPr>
        <w:t> _ </w:t>
      </w:r>
      <w:r w:rsidRPr="00A53744">
        <w:rPr>
          <w:color w:val="000000"/>
          <w:sz w:val="24"/>
          <w:szCs w:val="24"/>
          <w:lang w:eastAsia="ru-RU"/>
        </w:rPr>
        <w:t>(Cl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 + 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)</w:t>
      </w:r>
      <w:r w:rsidRPr="00A53744">
        <w:rPr>
          <w:color w:val="000000"/>
          <w:sz w:val="24"/>
          <w:szCs w:val="24"/>
          <w:lang w:eastAsia="ru-RU"/>
        </w:rPr>
        <w:sym w:font="Symbol" w:char="F05D"/>
      </w:r>
      <w:r w:rsidRPr="00A53744">
        <w:rPr>
          <w:color w:val="000000"/>
          <w:sz w:val="24"/>
          <w:szCs w:val="24"/>
          <w:lang w:eastAsia="ru-RU"/>
        </w:rPr>
        <w:t xml:space="preserve"> к уровню менее 12 мМ/л (в норме = 20); 3) поступления нелетучих кислых веществ (отравление экзогенными кислотами: салицилатами, метанолом, этиленгликолем).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lastRenderedPageBreak/>
        <w:t>При развитии недыхательного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</w:t>
      </w:r>
      <w:r w:rsidRPr="00A53744">
        <w:rPr>
          <w:color w:val="000000"/>
          <w:sz w:val="24"/>
          <w:szCs w:val="24"/>
          <w:lang w:eastAsia="ru-RU"/>
        </w:rPr>
        <w:t>) и почками (Н</w:t>
      </w:r>
      <w:r w:rsidRPr="00A53744">
        <w:rPr>
          <w:color w:val="000000"/>
          <w:sz w:val="24"/>
          <w:szCs w:val="24"/>
          <w:vertAlign w:val="subscript"/>
          <w:lang w:eastAsia="ru-RU"/>
        </w:rPr>
        <w:t>2</w:t>
      </w:r>
      <w:r w:rsidRPr="00A53744">
        <w:rPr>
          <w:color w:val="000000"/>
          <w:sz w:val="24"/>
          <w:szCs w:val="24"/>
          <w:lang w:eastAsia="ru-RU"/>
        </w:rPr>
        <w:t>О). При отсутствии патологии со стороны почек общая экскреция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и синтез 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 могут увеличиться в 10 раз.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Na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и суммой анионов Cl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, HCO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. Его можно определить по формуле: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АИ = Na</w:t>
      </w:r>
      <w:r w:rsidRPr="00A53744">
        <w:rPr>
          <w:iCs/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iCs/>
          <w:color w:val="000000"/>
          <w:sz w:val="24"/>
          <w:szCs w:val="24"/>
          <w:vertAlign w:val="subscript"/>
          <w:lang w:eastAsia="ru-RU"/>
        </w:rPr>
        <w:t>пл</w:t>
      </w:r>
      <w:r w:rsidRPr="00A53744">
        <w:rPr>
          <w:iCs/>
          <w:color w:val="000000"/>
          <w:sz w:val="24"/>
          <w:szCs w:val="24"/>
          <w:lang w:eastAsia="ru-RU"/>
        </w:rPr>
        <w:t> – (Cl</w:t>
      </w:r>
      <w:r w:rsidRPr="00A53744">
        <w:rPr>
          <w:iCs/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iCs/>
          <w:color w:val="000000"/>
          <w:sz w:val="24"/>
          <w:szCs w:val="24"/>
          <w:vertAlign w:val="subscript"/>
          <w:lang w:eastAsia="ru-RU"/>
        </w:rPr>
        <w:t>пл</w:t>
      </w:r>
      <w:r w:rsidRPr="00A53744">
        <w:rPr>
          <w:iCs/>
          <w:color w:val="000000"/>
          <w:sz w:val="24"/>
          <w:szCs w:val="24"/>
          <w:lang w:eastAsia="ru-RU"/>
        </w:rPr>
        <w:t> + HCO</w:t>
      </w:r>
      <w:r w:rsidRPr="00A53744">
        <w:rPr>
          <w:iCs/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iCs/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iCs/>
          <w:color w:val="000000"/>
          <w:sz w:val="24"/>
          <w:szCs w:val="24"/>
          <w:lang w:eastAsia="ru-RU"/>
        </w:rPr>
        <w:t>)</w:t>
      </w:r>
      <w:r w:rsidRPr="00A53744">
        <w:rPr>
          <w:color w:val="000000"/>
          <w:sz w:val="24"/>
          <w:szCs w:val="24"/>
          <w:lang w:eastAsia="ru-RU"/>
        </w:rPr>
        <w:t> (3.40).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В норме АИ (анионный интервал) равен 12±4 мМ/л. При недыхательном ацидозе (за исключением солянокислого) АИ увеличивается вследствие использования буферных систем крови для нейтрализации кислых продуктов.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При недыхательном ацидозе развиваются следующие патофизиологические реакции: увеличение содержания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в клетках и развитие внутриклеточного ацидоза, компенсаторной гипервентиляции, повышенное удаление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почками (при рН &lt; 7,25 реакция мочи становится кислой), частая рвота (удаление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с желудочным содержимым), смещение кривой диссоциации оксигемоглобина вправо с облегчением отдачи тканям кислорода, катаболизм и распад клеток, выход К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Клинически недыхательный ацидоз может проявляться нарушением гемодинамики и микроциркуляции, учащением дыхания, гипертермией, олигурией или анурией, адинамией.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Диагностику недыхательного ацидоза осуществляют на основании данных анамнеза, клинической картины и лабораторных исследований КОС (ВЕ &lt; - 2,5; АВ &lt; 19, ВВ &lt; 40, SB &lt; 20, рН &lt; 7,35). Чаще всего развивается метаболический ацидоз вследствие накопления в организме продуктов обмена. Различают при этом лактат ацидоз 2-х типов: типа А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lastRenderedPageBreak/>
        <w:t>Лактат – сильный ион, при нормальном рН он полностью диссоциирован, так как организм быстро его продуцирует и поглощает. У больных, находящихся в критическом состоянии, уровень гиперлататемии значительно выше, чем уровень ацидоза.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 xml:space="preserve">Лактат может быть повышен (более 2-4 мМ/л), а </w:t>
      </w:r>
      <w:r w:rsidRPr="00A53744">
        <w:rPr>
          <w:color w:val="000000"/>
          <w:sz w:val="24"/>
          <w:szCs w:val="24"/>
          <w:lang w:eastAsia="ru-RU"/>
        </w:rPr>
        <w:sym w:font="Symbol" w:char="F05B"/>
      </w:r>
      <w:r w:rsidRPr="00A53744">
        <w:rPr>
          <w:color w:val="000000"/>
          <w:sz w:val="24"/>
          <w:szCs w:val="24"/>
          <w:lang w:eastAsia="ru-RU"/>
        </w:rPr>
        <w:t>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sym w:font="Symbol" w:char="F05D"/>
      </w:r>
      <w:r w:rsidRPr="00A53744">
        <w:rPr>
          <w:color w:val="000000"/>
          <w:sz w:val="24"/>
          <w:szCs w:val="24"/>
          <w:lang w:eastAsia="ru-RU"/>
        </w:rPr>
        <w:t xml:space="preserve"> нет. Это объясняется тем, что при интенсивной терапии к плазме добавляется не молочная кислота, а соль сильной кислоты: сильный катион Na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вместе с сильным лактатным анионом. Лактат потребляется под влиянием клеточного метаболизма и остающийся ион натрия повышает РСИ. При нормальном системном метаболизме суточный оборот лактата равен 1500-4500 ммоль. Второй механизм коррекции РСИ и нормализации рН при гиперлактатемии – это перемещение сильного аниона Cl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 </w:t>
      </w:r>
      <w:r w:rsidRPr="00A53744">
        <w:rPr>
          <w:color w:val="000000"/>
          <w:sz w:val="24"/>
          <w:szCs w:val="24"/>
          <w:lang w:eastAsia="ru-RU"/>
        </w:rPr>
        <w:t>из плазмы крови в клетки. Основным источником лактата являются легкие, особенно при остром легочном повреждении. По мнению N.P. Day и соавт. (1996), гиперлактатемия при сепсисе возникает скорее вследствие повышенного аэробного метаболизма, чем тканевой гипоксии или угнетения активности пируватдегидрогеназы.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компенсаторными изменениями позволяет правильно оценить КОС.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Интенсивная терапия больных с недыхательным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метаболизируются и (или) экскретируются, ацидоз исчезает).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Если причину не удается устранить, тяжелый ацидоз нужно корригировать введением оснований: 4,2% или 8,4 % раствора натрия гидрокарбоната (в 1 мл раствора 1 мМ оснований), или лактата натрия (в 1 мл 11 % раствора 1 мМ оснований), или 3,6% раствора трисамина, THAM (в 1 мл 3,6% раствора содержится 0,3 мМ оснований). Расчет дозы основания производят по формуле: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ДБС = F </w:t>
      </w:r>
      <w:r w:rsidRPr="00A53744">
        <w:rPr>
          <w:iCs/>
          <w:color w:val="000000"/>
          <w:sz w:val="24"/>
          <w:szCs w:val="24"/>
          <w:vertAlign w:val="subscript"/>
          <w:lang w:eastAsia="ru-RU"/>
        </w:rPr>
        <w:t>*</w:t>
      </w:r>
      <w:r w:rsidRPr="00A53744">
        <w:rPr>
          <w:iCs/>
          <w:color w:val="000000"/>
          <w:sz w:val="24"/>
          <w:szCs w:val="24"/>
          <w:lang w:eastAsia="ru-RU"/>
        </w:rPr>
        <w:t> масса тела (кг) </w:t>
      </w:r>
      <w:r w:rsidRPr="00A53744">
        <w:rPr>
          <w:iCs/>
          <w:color w:val="000000"/>
          <w:sz w:val="24"/>
          <w:szCs w:val="24"/>
          <w:vertAlign w:val="subscript"/>
          <w:lang w:eastAsia="ru-RU"/>
        </w:rPr>
        <w:t>*</w:t>
      </w:r>
      <w:r w:rsidRPr="00A53744">
        <w:rPr>
          <w:iCs/>
          <w:color w:val="000000"/>
          <w:sz w:val="24"/>
          <w:szCs w:val="24"/>
          <w:lang w:eastAsia="ru-RU"/>
        </w:rPr>
        <w:t> ∆Веecf</w:t>
      </w:r>
      <w:r w:rsidRPr="00A53744">
        <w:rPr>
          <w:color w:val="000000"/>
          <w:sz w:val="24"/>
          <w:szCs w:val="24"/>
          <w:lang w:eastAsia="ru-RU"/>
        </w:rPr>
        <w:t> (3.41),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где: ДБС - дефицит буферных систем, мМ оснований;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F – объем внеклеточной жидкости, л/кг, он равен 0,2;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∆ВEecf – разница между истинным и нормальным значением ВЕ.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lastRenderedPageBreak/>
        <w:t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Срок годности натрия гидрокарбоната - 1-3 суток, а при добавлении стабилизатора (0,3 мл трилона Б на 1 мл гидрокарбоната) он увеличивается до 30 сут. Натрий гидрокарбонат действует быстро. При его применении следует учитывать увеличение образования 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</w:t>
      </w:r>
      <w:r w:rsidRPr="00A53744">
        <w:rPr>
          <w:color w:val="000000"/>
          <w:sz w:val="24"/>
          <w:szCs w:val="24"/>
          <w:lang w:eastAsia="ru-RU"/>
        </w:rPr>
        <w:t> и необходимость достаточной вентиляции легких, а также возможность развития гиперосмоляльного состояния с последующим развитием сердечно-сосудистой недостаточности.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При использовании лактата натрия (лактасола) происходит его метаболизм в печени с образованием гликогена, поэтому при нарушениях функции печени он противопоказан. Кроме того, возникает лактацидемия, что ограничивает его применение при тканевой гипоксии.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Трисамин оказывает выраженное диуретическое действие, выделяется почками. Использовать его можно только при сохранной их функции.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Алкалоз недыхательный</w:t>
      </w:r>
      <w:r w:rsidRPr="00A53744">
        <w:rPr>
          <w:color w:val="000000"/>
          <w:sz w:val="24"/>
          <w:szCs w:val="24"/>
          <w:lang w:eastAsia="ru-RU"/>
        </w:rPr>
        <w:t> возникает при повышении соотношения 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/РаСО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</w:t>
      </w:r>
      <w:r w:rsidRPr="00A53744">
        <w:rPr>
          <w:color w:val="000000"/>
          <w:sz w:val="24"/>
          <w:szCs w:val="24"/>
          <w:lang w:eastAsia="ru-RU"/>
        </w:rPr>
        <w:t> за счет увеличения 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>. Он может быть вследствие: 1) избыточного введения буферных оснований или переливания большого количества цитратной крови (цитрат в печени превращается в натрия лактат); 2) повышения образования бикарбонатов в почках и желудочно-кишечном тракте или относительного повышения их содержания при больших потерях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и хлоридов (неукротимая рвота, диарея); 3)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При алкалозе недыхательном возникают следующие патофизиологические изменения: 1) выход калия из клеток и поступление в них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 </w:t>
      </w:r>
      <w:r w:rsidRPr="00A53744">
        <w:rPr>
          <w:color w:val="000000"/>
          <w:sz w:val="24"/>
          <w:szCs w:val="24"/>
          <w:lang w:eastAsia="ru-RU"/>
        </w:rPr>
        <w:t>с последующим развитием внутриклеточного ацидоза; 2) увеличивается выделения калия почками, развитие гипокалиемии с последующим нарушением ритма сердца; 3) гиповентиляция; 4) смещение кривой диссоциации влево с затруднением отдачи кислорода тканям; 5) развитие парадоксальной ацидурии.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Клинически ацидоз недыхательный проявляется гиповолемией, гипокалиемией, полиурией, мышечной слабостью, иногда возникают судороги вследствие связывания Са</w:t>
      </w:r>
      <w:r w:rsidRPr="00A53744">
        <w:rPr>
          <w:color w:val="000000"/>
          <w:sz w:val="24"/>
          <w:szCs w:val="24"/>
          <w:vertAlign w:val="superscript"/>
          <w:lang w:eastAsia="ru-RU"/>
        </w:rPr>
        <w:t>2+</w:t>
      </w:r>
      <w:r w:rsidRPr="00A53744">
        <w:rPr>
          <w:color w:val="000000"/>
          <w:sz w:val="24"/>
          <w:szCs w:val="24"/>
          <w:lang w:eastAsia="ru-RU"/>
        </w:rPr>
        <w:t> белками.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Диагностику недыхательного алкалоза осуществляют на основании данных анамнеза, клинической картины и лабораторных исследований (ВЕ &gt; +3,0 мМ/л, 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</w:t>
      </w:r>
      <w:r w:rsidRPr="00A53744">
        <w:rPr>
          <w:color w:val="000000"/>
          <w:sz w:val="24"/>
          <w:szCs w:val="24"/>
          <w:lang w:eastAsia="ru-RU"/>
        </w:rPr>
        <w:t xml:space="preserve"> &gt; 25 мМ/л. </w:t>
      </w:r>
      <w:r w:rsidRPr="00A53744">
        <w:rPr>
          <w:color w:val="000000"/>
          <w:sz w:val="24"/>
          <w:szCs w:val="24"/>
          <w:lang w:eastAsia="ru-RU"/>
        </w:rPr>
        <w:lastRenderedPageBreak/>
        <w:t>РаСО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2 </w:t>
      </w:r>
      <w:r w:rsidRPr="00A53744">
        <w:rPr>
          <w:color w:val="000000"/>
          <w:sz w:val="24"/>
          <w:szCs w:val="24"/>
          <w:lang w:eastAsia="ru-RU"/>
        </w:rPr>
        <w:t>&gt; 46 мм рт. ст. рН &gt; 7.46), водно-электролитного баланса (гипокалиемия, гипохлоремия).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Интенсивная терапия больных с недыхательным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гипокалиемии, гипопохлоремии; 4) коррекцию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мМ или 2,5 мл - 0,1 N раствор / кг массы тела в ч, но не более 100 мМ в сутки) или 100-150 мл 0,9% раствора хлорида аммония (в сутки вводить не более 250-300 мМ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). Можно также применить диакарб (0,25-0,5 г через рот), который способствует задержке 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2 </w:t>
      </w:r>
      <w:r w:rsidRPr="00A53744">
        <w:rPr>
          <w:color w:val="000000"/>
          <w:sz w:val="24"/>
          <w:szCs w:val="24"/>
          <w:lang w:eastAsia="ru-RU"/>
        </w:rPr>
        <w:t>в крови. Для расчета используют следующую формулу: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мМ корригирующего раствора = F </w:t>
      </w:r>
      <w:r w:rsidRPr="00A53744">
        <w:rPr>
          <w:iCs/>
          <w:color w:val="000000"/>
          <w:sz w:val="24"/>
          <w:szCs w:val="24"/>
          <w:vertAlign w:val="subscript"/>
          <w:lang w:eastAsia="ru-RU"/>
        </w:rPr>
        <w:t>*</w:t>
      </w:r>
      <w:r w:rsidRPr="00A53744">
        <w:rPr>
          <w:iCs/>
          <w:color w:val="000000"/>
          <w:sz w:val="24"/>
          <w:szCs w:val="24"/>
          <w:lang w:eastAsia="ru-RU"/>
        </w:rPr>
        <w:t> масса тела (кг) </w:t>
      </w:r>
      <w:r w:rsidRPr="00A53744">
        <w:rPr>
          <w:iCs/>
          <w:color w:val="000000"/>
          <w:sz w:val="24"/>
          <w:szCs w:val="24"/>
          <w:vertAlign w:val="subscript"/>
          <w:lang w:eastAsia="ru-RU"/>
        </w:rPr>
        <w:t>*</w:t>
      </w:r>
      <w:r w:rsidRPr="00A53744">
        <w:rPr>
          <w:iCs/>
          <w:color w:val="000000"/>
          <w:sz w:val="24"/>
          <w:szCs w:val="24"/>
          <w:lang w:eastAsia="ru-RU"/>
        </w:rPr>
        <w:t> ∆ВЕecf.</w:t>
      </w:r>
      <w:r w:rsidRPr="00A53744">
        <w:rPr>
          <w:color w:val="000000"/>
          <w:sz w:val="24"/>
          <w:szCs w:val="24"/>
          <w:lang w:eastAsia="ru-RU"/>
        </w:rPr>
        <w:t> (3.42).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Ацидоз дыхательный</w:t>
      </w:r>
      <w:r w:rsidRPr="00A53744">
        <w:rPr>
          <w:color w:val="000000"/>
          <w:sz w:val="24"/>
          <w:szCs w:val="24"/>
          <w:lang w:eastAsia="ru-RU"/>
        </w:rPr>
        <w:t> возникает при возрастании РаСО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2 </w:t>
      </w:r>
      <w:r w:rsidRPr="00A53744">
        <w:rPr>
          <w:color w:val="000000"/>
          <w:sz w:val="24"/>
          <w:szCs w:val="24"/>
          <w:lang w:eastAsia="ru-RU"/>
        </w:rPr>
        <w:t>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</w:t>
      </w:r>
      <w:r w:rsidRPr="00A53744">
        <w:rPr>
          <w:color w:val="000000"/>
          <w:sz w:val="24"/>
          <w:szCs w:val="24"/>
          <w:vertAlign w:val="superscript"/>
          <w:lang w:eastAsia="ru-RU"/>
        </w:rPr>
        <w:t>+</w:t>
      </w:r>
      <w:r w:rsidRPr="00A53744">
        <w:rPr>
          <w:color w:val="000000"/>
          <w:sz w:val="24"/>
          <w:szCs w:val="24"/>
          <w:lang w:eastAsia="ru-RU"/>
        </w:rPr>
        <w:t> и хлоридов почками, кривая диссоциации смещается вправо с облегчением отдачи кислорода тканям.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сопротивления сосудов, гиперемией кожных покровов и слизистых оболочек, учащением пульса, повышением или без изменений АД, повышением внутричерепного давления.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</w:t>
      </w:r>
      <w:r w:rsidRPr="00A53744">
        <w:rPr>
          <w:color w:val="000000"/>
          <w:sz w:val="24"/>
          <w:szCs w:val="24"/>
          <w:lang w:eastAsia="ru-RU"/>
        </w:rPr>
        <w:t> &gt; 46 мм рт. ст., рН &lt; 7, 35, ВЕ компенсаторно может снижаться ниже -2,3 мМ/л).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iCs/>
          <w:color w:val="000000"/>
          <w:sz w:val="24"/>
          <w:szCs w:val="24"/>
          <w:lang w:eastAsia="ru-RU"/>
        </w:rPr>
        <w:t>Алкалоз дыхательный (гипокапнический)</w:t>
      </w:r>
      <w:r w:rsidRPr="00A53744">
        <w:rPr>
          <w:color w:val="000000"/>
          <w:sz w:val="24"/>
          <w:szCs w:val="24"/>
          <w:lang w:eastAsia="ru-RU"/>
        </w:rPr>
        <w:t> возникает при снижении РаСО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2 </w:t>
      </w:r>
      <w:r w:rsidRPr="00A53744">
        <w:rPr>
          <w:color w:val="000000"/>
          <w:sz w:val="24"/>
          <w:szCs w:val="24"/>
          <w:lang w:eastAsia="ru-RU"/>
        </w:rPr>
        <w:t>вследствие гипервентиляции спонтанной (травма,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гипервентиляции).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lastRenderedPageBreak/>
        <w:t>При алкалозе дыхательном компенсаторно уменьшается диссоциация оксигемоглобина, возрастает выделение почками избыточного количества бикарбоната, снижается реабсорбция и образование НСО</w:t>
      </w:r>
      <w:r w:rsidRPr="00A53744">
        <w:rPr>
          <w:color w:val="000000"/>
          <w:sz w:val="24"/>
          <w:szCs w:val="24"/>
          <w:vertAlign w:val="subscript"/>
          <w:lang w:eastAsia="ru-RU"/>
        </w:rPr>
        <w:t>3</w:t>
      </w:r>
      <w:r w:rsidRPr="00A53744">
        <w:rPr>
          <w:color w:val="000000"/>
          <w:sz w:val="24"/>
          <w:szCs w:val="24"/>
          <w:vertAlign w:val="superscript"/>
          <w:lang w:eastAsia="ru-RU"/>
        </w:rPr>
        <w:t>- </w:t>
      </w:r>
      <w:r w:rsidRPr="00A53744">
        <w:rPr>
          <w:color w:val="000000"/>
          <w:sz w:val="24"/>
          <w:szCs w:val="24"/>
          <w:lang w:eastAsia="ru-RU"/>
        </w:rPr>
        <w:t>в эритроцитах и в клетках почечных канальцев.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Гипокапния вызывает вазоконстрикцию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</w:t>
      </w:r>
    </w:p>
    <w:p w:rsidR="00A53744" w:rsidRPr="00A53744" w:rsidRDefault="00A53744" w:rsidP="00A53744">
      <w:pPr>
        <w:widowControl/>
        <w:autoSpaceDE/>
        <w:autoSpaceDN/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A53744">
        <w:rPr>
          <w:color w:val="000000"/>
          <w:sz w:val="24"/>
          <w:szCs w:val="24"/>
          <w:lang w:eastAsia="ru-RU"/>
        </w:rPr>
        <w:t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респираторную коррекцию гипервентиляции (перевод больного при ИВЛ в режим нормовентиляции).</w:t>
      </w:r>
    </w:p>
    <w:p w:rsidR="00A53744" w:rsidRDefault="00A53744" w:rsidP="00094FBE">
      <w:pPr>
        <w:spacing w:line="360" w:lineRule="auto"/>
        <w:jc w:val="both"/>
      </w:pPr>
    </w:p>
    <w:p w:rsidR="00693051" w:rsidRDefault="00693051" w:rsidP="00094FBE">
      <w:pPr>
        <w:spacing w:line="360" w:lineRule="auto"/>
        <w:jc w:val="both"/>
      </w:pPr>
    </w:p>
    <w:p w:rsidR="00693051" w:rsidRPr="00693051" w:rsidRDefault="00693051" w:rsidP="00693051">
      <w:pPr>
        <w:spacing w:line="360" w:lineRule="auto"/>
        <w:jc w:val="both"/>
        <w:rPr>
          <w:b/>
          <w:sz w:val="28"/>
        </w:rPr>
      </w:pPr>
      <w:r w:rsidRPr="00693051">
        <w:rPr>
          <w:b/>
          <w:sz w:val="28"/>
        </w:rPr>
        <w:t>Заключение.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Анализ кислотно-щелочного равновесия является неотъемлемой частью быстрой оценки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>тяжести состояния пациента при различных патологиях. Поэтому абс</w:t>
      </w:r>
      <w:bookmarkStart w:id="0" w:name="_GoBack"/>
      <w:bookmarkEnd w:id="0"/>
      <w:r w:rsidRPr="00693051">
        <w:rPr>
          <w:sz w:val="24"/>
        </w:rPr>
        <w:t xml:space="preserve">олютно оправдано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внедрение в клиническую практику анализа кислотно-основного равновесия и газового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>состава крови.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Расстройства КЩР  — это нарушения физико-химического гомеостаза. КЩР определяется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соотношением ионов Н+ и ОН–, влияющим на активность ферментов, интенсивность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метаболических процессов, функции ряда органов, чувствительность рецепторов к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медиаторам, проницаемость клеточных мембран. Расстройства КЩР сопровождают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практически все заболевания, поэтому аналогично другим видам нарушений обмена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>веществ относятся к типовым патологическим процессам, которые особенно важно знать</w:t>
      </w:r>
      <w:r w:rsidR="002B0C18">
        <w:rPr>
          <w:sz w:val="24"/>
        </w:rPr>
        <w:t>.</w:t>
      </w:r>
      <w:r w:rsidRPr="00693051">
        <w:rPr>
          <w:sz w:val="24"/>
        </w:rPr>
        <w:t xml:space="preserve"> </w:t>
      </w: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2B0C18" w:rsidRDefault="002B0C18" w:rsidP="00693051">
      <w:pPr>
        <w:pStyle w:val="a3"/>
        <w:spacing w:before="66" w:line="360" w:lineRule="auto"/>
        <w:ind w:left="830"/>
      </w:pPr>
    </w:p>
    <w:p w:rsidR="00C61650" w:rsidRDefault="00C61650" w:rsidP="00693051">
      <w:pPr>
        <w:pStyle w:val="a3"/>
        <w:spacing w:before="66" w:line="360" w:lineRule="auto"/>
        <w:ind w:left="830"/>
      </w:pPr>
      <w:r w:rsidRPr="00693051">
        <w:lastRenderedPageBreak/>
        <w:t>ЛИТЕРАТУРА</w:t>
      </w:r>
    </w:p>
    <w:p w:rsidR="00693051" w:rsidRPr="00693051" w:rsidRDefault="00693051" w:rsidP="00693051">
      <w:pPr>
        <w:pStyle w:val="a3"/>
        <w:spacing w:before="66" w:line="360" w:lineRule="auto"/>
        <w:ind w:left="830"/>
      </w:pP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1.Моррисон В.В., Чеснокова Н.П., Бизенкова М.Н. Кислотно-основное состояние.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Типовые нарушения кислотно-основного состояния // Международный журнал </w:t>
      </w:r>
    </w:p>
    <w:p w:rsidR="00C61650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>прикладных и фундаментальных исследований. – 2015. – № 3-2. – С. 273-278;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 xml:space="preserve">2.Цыган В.Н, Литвицкий П.Ф. , Дергунов А.В. - Патофизиология. Клиническая 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>патофизиология. Учебник в 2-х томах. Том 1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>3.Горн М.М., Хейтц У.И., Сверинген П.Л., Вебер К.С. Водно-электролитный и кислотно-</w:t>
      </w:r>
    </w:p>
    <w:p w:rsidR="00693051" w:rsidRPr="00693051" w:rsidRDefault="00693051" w:rsidP="00693051">
      <w:pPr>
        <w:spacing w:line="360" w:lineRule="auto"/>
        <w:jc w:val="both"/>
        <w:rPr>
          <w:sz w:val="24"/>
        </w:rPr>
      </w:pPr>
      <w:r w:rsidRPr="00693051">
        <w:rPr>
          <w:sz w:val="24"/>
        </w:rPr>
        <w:t>основной баланс. М., Просвещение/Бином, 2017 г.</w:t>
      </w:r>
    </w:p>
    <w:p w:rsidR="00693051" w:rsidRDefault="00693051" w:rsidP="00693051">
      <w:pPr>
        <w:pStyle w:val="a4"/>
        <w:tabs>
          <w:tab w:val="left" w:pos="830"/>
        </w:tabs>
        <w:spacing w:line="360" w:lineRule="auto"/>
        <w:ind w:right="320"/>
        <w:jc w:val="both"/>
        <w:rPr>
          <w:sz w:val="24"/>
        </w:rPr>
      </w:pPr>
      <w:r>
        <w:rPr>
          <w:sz w:val="24"/>
        </w:rPr>
        <w:t>4.Водно-электролитные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нейрореанимации.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Савин,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– 2017., -</w:t>
      </w:r>
      <w:r>
        <w:rPr>
          <w:spacing w:val="-1"/>
          <w:sz w:val="24"/>
        </w:rPr>
        <w:t xml:space="preserve"> </w:t>
      </w:r>
      <w:r>
        <w:rPr>
          <w:sz w:val="24"/>
        </w:rPr>
        <w:t>332 с.</w:t>
      </w:r>
    </w:p>
    <w:p w:rsidR="00693051" w:rsidRDefault="00693051" w:rsidP="00693051">
      <w:pPr>
        <w:pStyle w:val="a4"/>
        <w:tabs>
          <w:tab w:val="left" w:pos="830"/>
        </w:tabs>
        <w:spacing w:before="37" w:line="372" w:lineRule="auto"/>
        <w:ind w:right="512"/>
        <w:jc w:val="both"/>
        <w:rPr>
          <w:sz w:val="24"/>
        </w:rPr>
      </w:pPr>
      <w:r>
        <w:rPr>
          <w:sz w:val="24"/>
        </w:rPr>
        <w:t>5.Дж. Эдвард Морган-мл., Мэгид С. Михаил, Майкл Дж. Марри. 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анестезиология / Изд. 4-е, испр. – Пер. с англ. – М.: Издательский дом БИНОМ, 2017. –</w:t>
      </w:r>
      <w:r>
        <w:rPr>
          <w:spacing w:val="-57"/>
          <w:sz w:val="24"/>
        </w:rPr>
        <w:t xml:space="preserve"> </w:t>
      </w:r>
      <w:r>
        <w:rPr>
          <w:sz w:val="24"/>
        </w:rPr>
        <w:t>2016 с.,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693051" w:rsidRDefault="00693051" w:rsidP="00693051">
      <w:pPr>
        <w:pStyle w:val="a4"/>
        <w:tabs>
          <w:tab w:val="left" w:pos="830"/>
        </w:tabs>
        <w:spacing w:before="19" w:line="374" w:lineRule="auto"/>
        <w:ind w:right="539"/>
        <w:jc w:val="both"/>
        <w:rPr>
          <w:sz w:val="24"/>
        </w:rPr>
      </w:pPr>
      <w:r>
        <w:rPr>
          <w:sz w:val="24"/>
        </w:rPr>
        <w:t>6.Интенсивная терапия. Реанимация. Первая помощь: Учебное пособие /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В.Д. Малышева. — М.: Медицина.— 2015.— 464 с.: ил.— Учеб. лит. Для 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последипломного образования.</w:t>
      </w:r>
    </w:p>
    <w:p w:rsidR="00693051" w:rsidRPr="00693051" w:rsidRDefault="00693051" w:rsidP="00693051">
      <w:pPr>
        <w:spacing w:line="360" w:lineRule="auto"/>
        <w:rPr>
          <w:sz w:val="24"/>
        </w:rPr>
      </w:pPr>
    </w:p>
    <w:p w:rsidR="00C61650" w:rsidRPr="00693051" w:rsidRDefault="00C61650" w:rsidP="00094FBE">
      <w:pPr>
        <w:spacing w:line="360" w:lineRule="auto"/>
        <w:ind w:firstLine="720"/>
        <w:rPr>
          <w:sz w:val="20"/>
        </w:rPr>
      </w:pPr>
    </w:p>
    <w:p w:rsidR="00C61650" w:rsidRPr="00693051" w:rsidRDefault="00C61650" w:rsidP="00094FBE">
      <w:pPr>
        <w:tabs>
          <w:tab w:val="left" w:pos="840"/>
        </w:tabs>
        <w:spacing w:line="360" w:lineRule="auto"/>
        <w:rPr>
          <w:sz w:val="20"/>
        </w:rPr>
        <w:sectPr w:rsidR="00C61650" w:rsidRPr="00693051" w:rsidSect="00C61650">
          <w:pgSz w:w="11910" w:h="16840"/>
          <w:pgMar w:top="1180" w:right="720" w:bottom="280" w:left="1580" w:header="720" w:footer="720" w:gutter="0"/>
          <w:cols w:space="720"/>
        </w:sectPr>
      </w:pPr>
    </w:p>
    <w:p w:rsidR="00C61650" w:rsidRDefault="00C61650" w:rsidP="00094FBE">
      <w:pPr>
        <w:pStyle w:val="a3"/>
        <w:spacing w:before="64" w:line="360" w:lineRule="auto"/>
        <w:ind w:left="0" w:right="592"/>
      </w:pPr>
    </w:p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Pr="00693051" w:rsidRDefault="00693051" w:rsidP="00693051"/>
    <w:p w:rsidR="00693051" w:rsidRDefault="00693051" w:rsidP="00693051">
      <w:pPr>
        <w:rPr>
          <w:sz w:val="24"/>
          <w:szCs w:val="24"/>
        </w:rPr>
      </w:pPr>
    </w:p>
    <w:sectPr w:rsidR="00693051">
      <w:pgSz w:w="11910" w:h="16840"/>
      <w:pgMar w:top="11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A2D"/>
    <w:multiLevelType w:val="hybridMultilevel"/>
    <w:tmpl w:val="3F38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530"/>
    <w:multiLevelType w:val="multilevel"/>
    <w:tmpl w:val="BB8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85FFD"/>
    <w:multiLevelType w:val="multilevel"/>
    <w:tmpl w:val="4B90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34A8B"/>
    <w:multiLevelType w:val="multilevel"/>
    <w:tmpl w:val="D12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A7C07"/>
    <w:multiLevelType w:val="hybridMultilevel"/>
    <w:tmpl w:val="B4D6243A"/>
    <w:lvl w:ilvl="0" w:tplc="2A2638CE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88470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 w:tplc="2038631A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4536B670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648253E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A184AF1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962CC550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40263F42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8" w:tplc="436A9850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3C038DD"/>
    <w:multiLevelType w:val="multilevel"/>
    <w:tmpl w:val="7B50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04605"/>
    <w:multiLevelType w:val="multilevel"/>
    <w:tmpl w:val="FF4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21745"/>
    <w:multiLevelType w:val="multilevel"/>
    <w:tmpl w:val="B960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50ED6"/>
    <w:multiLevelType w:val="multilevel"/>
    <w:tmpl w:val="BBBC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C1E5F"/>
    <w:multiLevelType w:val="multilevel"/>
    <w:tmpl w:val="D11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358AA"/>
    <w:multiLevelType w:val="multilevel"/>
    <w:tmpl w:val="8EC0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33342"/>
    <w:multiLevelType w:val="hybridMultilevel"/>
    <w:tmpl w:val="3CA866BA"/>
    <w:lvl w:ilvl="0" w:tplc="6C3210C6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ACFC9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0DE6A0C8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BB4E49B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B8D085F4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6E90EBCA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4F8E90D4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9A94B3FC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756C401E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FE84201"/>
    <w:multiLevelType w:val="hybridMultilevel"/>
    <w:tmpl w:val="B8D8BF7C"/>
    <w:lvl w:ilvl="0" w:tplc="B17ED1CC">
      <w:start w:val="1"/>
      <w:numFmt w:val="decimal"/>
      <w:lvlText w:val="%1."/>
      <w:lvlJc w:val="left"/>
      <w:pPr>
        <w:ind w:left="11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E42B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C6E61670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464098C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94F295EA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AF282E88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5E84426E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C40CA220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293A002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45B25C6"/>
    <w:multiLevelType w:val="multilevel"/>
    <w:tmpl w:val="8F9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F5"/>
    <w:rsid w:val="00094FBE"/>
    <w:rsid w:val="00195C9A"/>
    <w:rsid w:val="002B0C18"/>
    <w:rsid w:val="00693051"/>
    <w:rsid w:val="00A11CF5"/>
    <w:rsid w:val="00A53744"/>
    <w:rsid w:val="00C43888"/>
    <w:rsid w:val="00C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C6EC"/>
  <w15:docId w15:val="{70F53E9A-9ED0-48C7-B776-C027B65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rmal (Web)"/>
    <w:basedOn w:val="a"/>
    <w:uiPriority w:val="99"/>
    <w:semiHidden/>
    <w:unhideWhenUsed/>
    <w:rsid w:val="00A537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111</dc:creator>
  <cp:lastModifiedBy>dimaignatev16@gmail.com</cp:lastModifiedBy>
  <cp:revision>5</cp:revision>
  <dcterms:created xsi:type="dcterms:W3CDTF">2023-06-02T11:47:00Z</dcterms:created>
  <dcterms:modified xsi:type="dcterms:W3CDTF">2023-09-18T11:13:00Z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2023-06-02T00:00:00Z</vt:filetime>
  </property>
</Properties>
</file>