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D2" w:rsidRPr="005412D2" w:rsidRDefault="005412D2" w:rsidP="005412D2">
      <w:pPr>
        <w:pStyle w:val="1"/>
        <w:spacing w:line="360" w:lineRule="auto"/>
        <w:rPr>
          <w:rFonts w:ascii="Times New Roman" w:eastAsia="Times New Roman" w:hAnsi="Times New Roman" w:cs="Times New Roman"/>
          <w:color w:val="auto"/>
        </w:rPr>
      </w:pPr>
      <w:r w:rsidRPr="002C00A3">
        <w:rPr>
          <w:rFonts w:ascii="Times New Roman" w:eastAsia="Times New Roman" w:hAnsi="Times New Roman" w:cs="Times New Roman"/>
          <w:color w:val="auto"/>
        </w:rPr>
        <w:t>Тема № 1. (30 часов)</w:t>
      </w:r>
      <w:r>
        <w:rPr>
          <w:rFonts w:ascii="Times New Roman" w:eastAsia="Times New Roman" w:hAnsi="Times New Roman" w:cs="Times New Roman"/>
          <w:color w:val="auto"/>
        </w:rPr>
        <w:t xml:space="preserve"> </w:t>
      </w:r>
      <w:r w:rsidRPr="002C00A3">
        <w:rPr>
          <w:rFonts w:ascii="Times New Roman" w:eastAsia="Times New Roman" w:hAnsi="Times New Roman" w:cs="Times New Roman"/>
          <w:color w:val="auto"/>
        </w:rPr>
        <w:t>Организация работы по приему лекарственных средств, товаров аптечного ассортимента.  Документы, подтверждающие качество.</w:t>
      </w:r>
    </w:p>
    <w:p w:rsidR="00721C43" w:rsidRPr="00804BA2" w:rsidRDefault="00CB7F2F" w:rsidP="00F81568">
      <w:pPr>
        <w:spacing w:after="0" w:line="240" w:lineRule="auto"/>
        <w:ind w:firstLine="709"/>
        <w:rPr>
          <w:rFonts w:ascii="Times New Roman" w:hAnsi="Times New Roman"/>
          <w:sz w:val="28"/>
          <w:szCs w:val="28"/>
        </w:rPr>
      </w:pPr>
      <w:r w:rsidRPr="00804BA2">
        <w:rPr>
          <w:rFonts w:ascii="Times New Roman" w:hAnsi="Times New Roman"/>
          <w:sz w:val="28"/>
          <w:szCs w:val="28"/>
        </w:rPr>
        <w:t>Организация работы по приему лекарственных сре</w:t>
      </w:r>
      <w:proofErr w:type="gramStart"/>
      <w:r w:rsidRPr="00804BA2">
        <w:rPr>
          <w:rFonts w:ascii="Times New Roman" w:hAnsi="Times New Roman"/>
          <w:sz w:val="28"/>
          <w:szCs w:val="28"/>
        </w:rPr>
        <w:t>дств пр</w:t>
      </w:r>
      <w:proofErr w:type="gramEnd"/>
      <w:r w:rsidRPr="00804BA2">
        <w:rPr>
          <w:rFonts w:ascii="Times New Roman" w:hAnsi="Times New Roman"/>
          <w:sz w:val="28"/>
          <w:szCs w:val="28"/>
        </w:rPr>
        <w:t>оизводиться в соответствии с приказом МЗ РФ № 647-н  « Об утверждении Правил надлежащей аптечной практики лекарственных препаратов для медицинского применения».</w:t>
      </w:r>
    </w:p>
    <w:p w:rsidR="00F81568" w:rsidRPr="00804BA2" w:rsidRDefault="005C651D" w:rsidP="00F81568">
      <w:pPr>
        <w:pStyle w:val="a3"/>
        <w:rPr>
          <w:color w:val="000000"/>
          <w:sz w:val="28"/>
          <w:szCs w:val="28"/>
        </w:rPr>
      </w:pPr>
      <w:r w:rsidRPr="00804BA2">
        <w:rPr>
          <w:color w:val="333333"/>
          <w:sz w:val="28"/>
          <w:szCs w:val="28"/>
          <w:shd w:val="clear" w:color="auto" w:fill="FFFFFF"/>
        </w:rPr>
        <w:t xml:space="preserve">Приемка товаров аптечного ассортимента осуществляется </w:t>
      </w:r>
      <w:r w:rsidR="00193FC9" w:rsidRPr="00804BA2">
        <w:rPr>
          <w:color w:val="333333"/>
          <w:sz w:val="28"/>
          <w:szCs w:val="28"/>
          <w:shd w:val="clear" w:color="auto" w:fill="FFFFFF"/>
        </w:rPr>
        <w:t>материально ответственным лицом,</w:t>
      </w:r>
      <w:r w:rsidRPr="00804BA2">
        <w:rPr>
          <w:color w:val="333333"/>
          <w:sz w:val="28"/>
          <w:szCs w:val="28"/>
          <w:shd w:val="clear" w:color="auto" w:fill="FFFFFF"/>
        </w:rPr>
        <w:t xml:space="preserve"> </w:t>
      </w:r>
      <w:r w:rsidR="00193FC9" w:rsidRPr="00804BA2">
        <w:rPr>
          <w:sz w:val="28"/>
          <w:szCs w:val="28"/>
        </w:rPr>
        <w:t>в специально отведенной для этого зоне</w:t>
      </w:r>
      <w:r w:rsidR="00F81568" w:rsidRPr="00804BA2">
        <w:rPr>
          <w:sz w:val="28"/>
          <w:szCs w:val="28"/>
        </w:rPr>
        <w:t>,</w:t>
      </w:r>
      <w:r w:rsidR="00F81568" w:rsidRPr="00804BA2">
        <w:rPr>
          <w:color w:val="000000"/>
          <w:sz w:val="28"/>
          <w:szCs w:val="28"/>
        </w:rPr>
        <w:t xml:space="preserve"> а также создается приемная комиссия, члены которой должны быть ознакомлены со всеми необходимыми документами.</w:t>
      </w:r>
    </w:p>
    <w:p w:rsidR="00F81568" w:rsidRPr="00804BA2" w:rsidRDefault="00F81568" w:rsidP="00F81568">
      <w:pPr>
        <w:pStyle w:val="a3"/>
        <w:rPr>
          <w:color w:val="000000"/>
          <w:sz w:val="28"/>
          <w:szCs w:val="28"/>
        </w:rPr>
      </w:pPr>
      <w:r w:rsidRPr="00804BA2">
        <w:rPr>
          <w:color w:val="000000"/>
          <w:sz w:val="28"/>
          <w:szCs w:val="28"/>
        </w:rPr>
        <w:t>В ходе приёмочного контроля работники аптеки проверяют, соответствие принимаемого товара товаросопроводительной документации по ассортименту, количеству и качеству, соблюдение специальных условий хранения, а также наличие повреждений транспортной тары. Если тара повреждена, то приемочный контроль осуществляют в присутствии компании-поставщика или транспортной компании. Все несоответствия должны быть прописаны в договоре поставки.</w:t>
      </w:r>
    </w:p>
    <w:p w:rsidR="00F81568" w:rsidRPr="00804BA2" w:rsidRDefault="00F81568" w:rsidP="00F81568">
      <w:pPr>
        <w:pStyle w:val="a3"/>
        <w:rPr>
          <w:color w:val="000000"/>
          <w:sz w:val="28"/>
          <w:szCs w:val="28"/>
        </w:rPr>
      </w:pPr>
      <w:r w:rsidRPr="00804BA2">
        <w:rPr>
          <w:color w:val="000000"/>
          <w:sz w:val="28"/>
          <w:szCs w:val="28"/>
        </w:rPr>
        <w:t>Если все соответствует, то на сопроводительных документах проставляется штамп приемки, а материально ответственное лицо ставит свою подпись на сопроводительных документах и заверяет её печатью.</w:t>
      </w:r>
    </w:p>
    <w:p w:rsidR="00F81568" w:rsidRPr="00804BA2" w:rsidRDefault="00897936" w:rsidP="00F81568">
      <w:pPr>
        <w:pStyle w:val="a3"/>
        <w:rPr>
          <w:color w:val="000000"/>
          <w:sz w:val="28"/>
          <w:szCs w:val="28"/>
        </w:rPr>
      </w:pPr>
      <w:r w:rsidRPr="00804BA2">
        <w:rPr>
          <w:color w:val="000000"/>
          <w:sz w:val="28"/>
          <w:szCs w:val="28"/>
        </w:rPr>
        <w:t>Е</w:t>
      </w:r>
      <w:r w:rsidR="00F81568" w:rsidRPr="00804BA2">
        <w:rPr>
          <w:color w:val="000000"/>
          <w:sz w:val="28"/>
          <w:szCs w:val="28"/>
        </w:rPr>
        <w:t>сли выявляется какое-то несоответствие, то тогда приемная комиссия составляет акт, который является основанием для предъявления претензий поставщику.</w:t>
      </w:r>
    </w:p>
    <w:p w:rsidR="00F81568" w:rsidRPr="00804BA2" w:rsidRDefault="00F81568" w:rsidP="00F81568">
      <w:pPr>
        <w:pStyle w:val="a3"/>
        <w:rPr>
          <w:color w:val="000000"/>
          <w:sz w:val="28"/>
          <w:szCs w:val="28"/>
        </w:rPr>
      </w:pPr>
      <w:r w:rsidRPr="00804BA2">
        <w:rPr>
          <w:color w:val="000000"/>
          <w:sz w:val="28"/>
          <w:szCs w:val="28"/>
        </w:rPr>
        <w:t>Документы, подтверждающие качество товара:</w:t>
      </w:r>
    </w:p>
    <w:p w:rsidR="00F81568" w:rsidRPr="00804BA2" w:rsidRDefault="00F81568" w:rsidP="00F81568">
      <w:pPr>
        <w:pStyle w:val="a3"/>
        <w:rPr>
          <w:color w:val="000000"/>
          <w:sz w:val="28"/>
          <w:szCs w:val="28"/>
        </w:rPr>
      </w:pPr>
      <w:r w:rsidRPr="00804BA2">
        <w:rPr>
          <w:color w:val="000000"/>
          <w:sz w:val="28"/>
          <w:szCs w:val="28"/>
        </w:rPr>
        <w:t>1) Товарно-транспортная накладная.</w:t>
      </w:r>
    </w:p>
    <w:p w:rsidR="00F81568" w:rsidRPr="00804BA2" w:rsidRDefault="00F81568" w:rsidP="00F81568">
      <w:pPr>
        <w:pStyle w:val="a3"/>
        <w:rPr>
          <w:color w:val="000000"/>
          <w:sz w:val="28"/>
          <w:szCs w:val="28"/>
        </w:rPr>
      </w:pPr>
      <w:r w:rsidRPr="00804BA2">
        <w:rPr>
          <w:color w:val="000000"/>
          <w:sz w:val="28"/>
          <w:szCs w:val="28"/>
        </w:rPr>
        <w:t>2) Товарная накладная.</w:t>
      </w:r>
    </w:p>
    <w:p w:rsidR="00F81568" w:rsidRPr="00804BA2" w:rsidRDefault="00F81568" w:rsidP="00F81568">
      <w:pPr>
        <w:pStyle w:val="a3"/>
        <w:rPr>
          <w:color w:val="000000"/>
          <w:sz w:val="28"/>
          <w:szCs w:val="28"/>
        </w:rPr>
      </w:pPr>
      <w:r w:rsidRPr="00804BA2">
        <w:rPr>
          <w:color w:val="000000"/>
          <w:sz w:val="28"/>
          <w:szCs w:val="28"/>
        </w:rPr>
        <w:t>3) Счет-фактура.</w:t>
      </w:r>
    </w:p>
    <w:p w:rsidR="00804BA2" w:rsidRPr="00804BA2" w:rsidRDefault="00F81568" w:rsidP="00F81568">
      <w:pPr>
        <w:pStyle w:val="a3"/>
        <w:rPr>
          <w:color w:val="000000"/>
          <w:sz w:val="28"/>
          <w:szCs w:val="28"/>
        </w:rPr>
      </w:pPr>
      <w:r w:rsidRPr="00804BA2">
        <w:rPr>
          <w:color w:val="000000"/>
          <w:sz w:val="28"/>
          <w:szCs w:val="28"/>
        </w:rPr>
        <w:t xml:space="preserve">4) Реестр </w:t>
      </w:r>
      <w:r w:rsidR="00804BA2" w:rsidRPr="00804BA2">
        <w:rPr>
          <w:color w:val="000000"/>
          <w:sz w:val="28"/>
          <w:szCs w:val="28"/>
        </w:rPr>
        <w:t>деклараций (реестр по качеству)</w:t>
      </w:r>
    </w:p>
    <w:p w:rsidR="00F81568" w:rsidRPr="00804BA2" w:rsidRDefault="00F81568" w:rsidP="00F81568">
      <w:pPr>
        <w:pStyle w:val="a3"/>
        <w:rPr>
          <w:color w:val="000000"/>
          <w:sz w:val="28"/>
          <w:szCs w:val="28"/>
        </w:rPr>
      </w:pPr>
      <w:r w:rsidRPr="00804BA2">
        <w:rPr>
          <w:color w:val="000000"/>
          <w:sz w:val="28"/>
          <w:szCs w:val="28"/>
        </w:rPr>
        <w:t>5) Протокол согласования цен.</w:t>
      </w:r>
    </w:p>
    <w:p w:rsidR="00F81568" w:rsidRPr="00804BA2" w:rsidRDefault="00F81568" w:rsidP="00F81568">
      <w:pPr>
        <w:pStyle w:val="a3"/>
        <w:rPr>
          <w:color w:val="000000"/>
          <w:sz w:val="28"/>
          <w:szCs w:val="28"/>
        </w:rPr>
      </w:pPr>
      <w:r w:rsidRPr="00804BA2">
        <w:rPr>
          <w:color w:val="000000"/>
          <w:sz w:val="28"/>
          <w:szCs w:val="28"/>
        </w:rPr>
        <w:lastRenderedPageBreak/>
        <w:t>Лекарственные препараты подвергаются приемочному контролю для того, чтобы не допустить поступления в продажу фальсифицированных, недоброкачественных, контрафактных лекарственных препаратов.</w:t>
      </w:r>
    </w:p>
    <w:p w:rsidR="00F81568" w:rsidRPr="00804BA2" w:rsidRDefault="00F81568" w:rsidP="00F81568">
      <w:pPr>
        <w:pStyle w:val="a3"/>
        <w:rPr>
          <w:color w:val="000000"/>
          <w:sz w:val="28"/>
          <w:szCs w:val="28"/>
        </w:rPr>
      </w:pPr>
      <w:r w:rsidRPr="00804BA2">
        <w:rPr>
          <w:color w:val="000000"/>
          <w:sz w:val="28"/>
          <w:szCs w:val="28"/>
        </w:rPr>
        <w:t>Приёмочный контроль заключается в проверке членами комиссии поступающих лекарственных препаратов путем оценки:</w:t>
      </w:r>
    </w:p>
    <w:p w:rsidR="00F81568" w:rsidRPr="00804BA2" w:rsidRDefault="00F81568" w:rsidP="00F81568">
      <w:pPr>
        <w:pStyle w:val="a3"/>
        <w:rPr>
          <w:color w:val="000000"/>
          <w:sz w:val="28"/>
          <w:szCs w:val="28"/>
        </w:rPr>
      </w:pPr>
      <w:r w:rsidRPr="00804BA2">
        <w:rPr>
          <w:color w:val="000000"/>
          <w:sz w:val="28"/>
          <w:szCs w:val="28"/>
        </w:rPr>
        <w:t>1) внешнего вида, цвета, запаха</w:t>
      </w:r>
    </w:p>
    <w:p w:rsidR="00F81568" w:rsidRPr="00804BA2" w:rsidRDefault="00F81568" w:rsidP="00F81568">
      <w:pPr>
        <w:pStyle w:val="a3"/>
        <w:rPr>
          <w:color w:val="000000"/>
          <w:sz w:val="28"/>
          <w:szCs w:val="28"/>
        </w:rPr>
      </w:pPr>
      <w:r w:rsidRPr="00804BA2">
        <w:rPr>
          <w:color w:val="000000"/>
          <w:sz w:val="28"/>
          <w:szCs w:val="28"/>
        </w:rPr>
        <w:t>2) целостности упаковки</w:t>
      </w:r>
    </w:p>
    <w:p w:rsidR="00F81568" w:rsidRPr="00804BA2" w:rsidRDefault="00F81568" w:rsidP="00F81568">
      <w:pPr>
        <w:pStyle w:val="a3"/>
        <w:rPr>
          <w:sz w:val="28"/>
          <w:szCs w:val="28"/>
        </w:rPr>
      </w:pPr>
      <w:r w:rsidRPr="00804BA2">
        <w:rPr>
          <w:color w:val="000000"/>
          <w:sz w:val="28"/>
          <w:szCs w:val="28"/>
        </w:rPr>
        <w:t>3) соответствия маркировки лекарственных препаратов требованиям, установленным законодательством об обращении лекарственных средств</w:t>
      </w:r>
      <w:r w:rsidRPr="00804BA2">
        <w:rPr>
          <w:sz w:val="28"/>
          <w:szCs w:val="28"/>
        </w:rPr>
        <w:t xml:space="preserve"> (соответствие серии, срок годности, страна производителя)</w:t>
      </w:r>
    </w:p>
    <w:p w:rsidR="00F81568" w:rsidRPr="00804BA2" w:rsidRDefault="00F81568" w:rsidP="00F81568">
      <w:pPr>
        <w:pStyle w:val="a3"/>
        <w:rPr>
          <w:color w:val="000000"/>
          <w:sz w:val="28"/>
          <w:szCs w:val="28"/>
        </w:rPr>
      </w:pPr>
      <w:r w:rsidRPr="00804BA2">
        <w:rPr>
          <w:color w:val="000000"/>
          <w:sz w:val="28"/>
          <w:szCs w:val="28"/>
        </w:rPr>
        <w:t>4) правильности оформления сопроводительных документов</w:t>
      </w:r>
    </w:p>
    <w:p w:rsidR="00F81568" w:rsidRPr="00804BA2" w:rsidRDefault="00F81568" w:rsidP="00F81568">
      <w:pPr>
        <w:pStyle w:val="a3"/>
        <w:rPr>
          <w:color w:val="000000"/>
          <w:sz w:val="28"/>
          <w:szCs w:val="28"/>
        </w:rPr>
      </w:pPr>
      <w:r w:rsidRPr="00804BA2">
        <w:rPr>
          <w:color w:val="000000"/>
          <w:sz w:val="28"/>
          <w:szCs w:val="28"/>
        </w:rPr>
        <w:t>5) наличия реестра деклараций, подтверждающих качество лекарственных средств</w:t>
      </w:r>
      <w:r w:rsidR="00C22FB1">
        <w:rPr>
          <w:color w:val="000000"/>
          <w:sz w:val="28"/>
          <w:szCs w:val="28"/>
        </w:rPr>
        <w:t xml:space="preserve"> </w:t>
      </w:r>
      <w:r w:rsidRPr="00804BA2">
        <w:rPr>
          <w:color w:val="000000"/>
          <w:sz w:val="28"/>
          <w:szCs w:val="28"/>
        </w:rPr>
        <w:t>в соответствии с нормативными документами</w:t>
      </w:r>
    </w:p>
    <w:p w:rsidR="00F81568" w:rsidRPr="00804BA2" w:rsidRDefault="00F81568" w:rsidP="00F81568">
      <w:pPr>
        <w:pStyle w:val="a3"/>
        <w:rPr>
          <w:color w:val="000000"/>
          <w:sz w:val="28"/>
          <w:szCs w:val="28"/>
        </w:rPr>
      </w:pPr>
      <w:r w:rsidRPr="00804BA2">
        <w:rPr>
          <w:color w:val="000000"/>
          <w:sz w:val="28"/>
          <w:szCs w:val="28"/>
        </w:rPr>
        <w:t>Товары аптечного ассортимента до подачи их в торговую зону проходят предпродажную подготовку, включающую распаковку, рассортировку и осмотр, проверку качества товара (по внешним признакам) и наличия необходимой информации о товаре и его поставщике.</w:t>
      </w:r>
    </w:p>
    <w:p w:rsidR="00F81568" w:rsidRPr="00804BA2" w:rsidRDefault="00F81568" w:rsidP="00F81568">
      <w:pPr>
        <w:pStyle w:val="a3"/>
        <w:rPr>
          <w:color w:val="000000"/>
          <w:sz w:val="28"/>
          <w:szCs w:val="28"/>
        </w:rPr>
      </w:pPr>
      <w:r w:rsidRPr="00804BA2">
        <w:rPr>
          <w:color w:val="000000"/>
          <w:sz w:val="28"/>
          <w:szCs w:val="28"/>
        </w:rPr>
        <w:t>Продукты лечебного, детского и диетического питания</w:t>
      </w:r>
      <w:r w:rsidR="00DD418A">
        <w:rPr>
          <w:color w:val="000000"/>
          <w:sz w:val="28"/>
          <w:szCs w:val="28"/>
        </w:rPr>
        <w:t xml:space="preserve">, </w:t>
      </w:r>
      <w:r w:rsidRPr="00804BA2">
        <w:rPr>
          <w:color w:val="000000"/>
          <w:sz w:val="28"/>
          <w:szCs w:val="28"/>
        </w:rPr>
        <w:t xml:space="preserve">БАД являются пищевыми продуктами, до их подачи в торговую зону </w:t>
      </w:r>
      <w:r w:rsidR="00DD418A">
        <w:rPr>
          <w:color w:val="000000"/>
          <w:sz w:val="28"/>
          <w:szCs w:val="28"/>
        </w:rPr>
        <w:t xml:space="preserve">они </w:t>
      </w:r>
      <w:r w:rsidRPr="00804BA2">
        <w:rPr>
          <w:color w:val="000000"/>
          <w:sz w:val="28"/>
          <w:szCs w:val="28"/>
        </w:rPr>
        <w:t>должны быть освобождены от тары, оберточных материалов</w:t>
      </w:r>
      <w:r w:rsidR="00C22FB1">
        <w:rPr>
          <w:color w:val="000000"/>
          <w:sz w:val="28"/>
          <w:szCs w:val="28"/>
        </w:rPr>
        <w:t xml:space="preserve">. Далее производится проверка их на качество </w:t>
      </w:r>
      <w:r w:rsidRPr="00804BA2">
        <w:rPr>
          <w:color w:val="000000"/>
          <w:sz w:val="28"/>
          <w:szCs w:val="28"/>
        </w:rPr>
        <w:t>которое подтверждается свидетельством о государственной регистрации и декларацией о соответствии качества</w:t>
      </w:r>
      <w:proofErr w:type="gramStart"/>
      <w:r w:rsidRPr="00804BA2">
        <w:rPr>
          <w:color w:val="000000"/>
          <w:sz w:val="28"/>
          <w:szCs w:val="28"/>
        </w:rPr>
        <w:t xml:space="preserve"> </w:t>
      </w:r>
      <w:r w:rsidR="00DD418A">
        <w:rPr>
          <w:color w:val="000000"/>
          <w:sz w:val="28"/>
          <w:szCs w:val="28"/>
        </w:rPr>
        <w:t>.</w:t>
      </w:r>
      <w:proofErr w:type="gramEnd"/>
      <w:r w:rsidRPr="00804BA2">
        <w:rPr>
          <w:color w:val="000000"/>
          <w:sz w:val="28"/>
          <w:szCs w:val="28"/>
        </w:rPr>
        <w:t>Запрещается продажа этих товаров</w:t>
      </w:r>
      <w:r w:rsidR="00C22FB1">
        <w:rPr>
          <w:color w:val="000000"/>
          <w:sz w:val="28"/>
          <w:szCs w:val="28"/>
        </w:rPr>
        <w:t xml:space="preserve"> в том случае </w:t>
      </w:r>
      <w:r w:rsidRPr="00804BA2">
        <w:rPr>
          <w:color w:val="000000"/>
          <w:sz w:val="28"/>
          <w:szCs w:val="28"/>
        </w:rPr>
        <w:t>, если нарушается целостность упаковки. При нарушении целостности упаковки или отсутствия документов они возвращаются поставщику.</w:t>
      </w:r>
    </w:p>
    <w:p w:rsidR="00F81568" w:rsidRPr="00804BA2" w:rsidRDefault="00F81568" w:rsidP="00F81568">
      <w:pPr>
        <w:pStyle w:val="a3"/>
        <w:rPr>
          <w:color w:val="000000"/>
          <w:sz w:val="28"/>
          <w:szCs w:val="28"/>
        </w:rPr>
      </w:pPr>
      <w:r w:rsidRPr="00804BA2">
        <w:rPr>
          <w:color w:val="000000"/>
          <w:sz w:val="28"/>
          <w:szCs w:val="28"/>
        </w:rPr>
        <w:t xml:space="preserve">Дезинфицирующие средства до подачи их в торговую зону, </w:t>
      </w:r>
      <w:r w:rsidR="00C22FB1">
        <w:rPr>
          <w:color w:val="000000"/>
          <w:sz w:val="28"/>
          <w:szCs w:val="28"/>
        </w:rPr>
        <w:t xml:space="preserve"> так же должны пройти проверку </w:t>
      </w:r>
      <w:r w:rsidRPr="00804BA2">
        <w:rPr>
          <w:color w:val="000000"/>
          <w:sz w:val="28"/>
          <w:szCs w:val="28"/>
        </w:rPr>
        <w:t>транспортной тары, сортировку, проверку целостности упаковки  и качества товара по внешним признакам, наличия необходимой информации о дезинфицирующих средствах и его изготовителе, инструкций по применению.</w:t>
      </w:r>
    </w:p>
    <w:p w:rsidR="00C26737" w:rsidRDefault="00F81568" w:rsidP="00C22FB1">
      <w:pPr>
        <w:pStyle w:val="a3"/>
        <w:rPr>
          <w:color w:val="000000"/>
          <w:sz w:val="28"/>
          <w:szCs w:val="28"/>
        </w:rPr>
      </w:pPr>
      <w:r w:rsidRPr="00804BA2">
        <w:rPr>
          <w:color w:val="000000"/>
          <w:sz w:val="28"/>
          <w:szCs w:val="28"/>
        </w:rPr>
        <w:t>В случае несоответствия товаров аптечного ассортимента данным сопроводительных документов, материально-ответственное лицо оставляет претензию на сайте</w:t>
      </w:r>
      <w:r w:rsidR="00897936" w:rsidRPr="00804BA2">
        <w:rPr>
          <w:color w:val="000000"/>
          <w:sz w:val="28"/>
          <w:szCs w:val="28"/>
        </w:rPr>
        <w:t xml:space="preserve"> поставщиков.</w:t>
      </w:r>
      <w:r w:rsidRPr="00804BA2">
        <w:rPr>
          <w:color w:val="000000"/>
          <w:sz w:val="28"/>
          <w:szCs w:val="28"/>
        </w:rPr>
        <w:t xml:space="preserve"> При возникновении подобной ситуации с другими пос</w:t>
      </w:r>
      <w:r w:rsidR="00C22FB1">
        <w:rPr>
          <w:color w:val="000000"/>
          <w:sz w:val="28"/>
          <w:szCs w:val="28"/>
        </w:rPr>
        <w:t>тавщиками – составляется акт</w:t>
      </w:r>
      <w:r w:rsidRPr="00804BA2">
        <w:rPr>
          <w:color w:val="000000"/>
          <w:sz w:val="28"/>
          <w:szCs w:val="28"/>
        </w:rPr>
        <w:t>. Если же товар соответствует всем показателям, то на него наклеивают ценники и размещают по местам хранения.</w:t>
      </w:r>
    </w:p>
    <w:p w:rsidR="00F95456" w:rsidRPr="00F95456" w:rsidRDefault="00F95456" w:rsidP="00C22FB1">
      <w:pPr>
        <w:pStyle w:val="a3"/>
        <w:rPr>
          <w:color w:val="FF0000"/>
          <w:sz w:val="32"/>
          <w:szCs w:val="32"/>
        </w:rPr>
      </w:pPr>
      <w:r w:rsidRPr="00F95456">
        <w:rPr>
          <w:color w:val="FF0000"/>
          <w:sz w:val="32"/>
          <w:szCs w:val="32"/>
        </w:rPr>
        <w:lastRenderedPageBreak/>
        <w:t>Оценка:</w:t>
      </w:r>
      <w:r>
        <w:rPr>
          <w:color w:val="FF0000"/>
          <w:sz w:val="32"/>
          <w:szCs w:val="32"/>
        </w:rPr>
        <w:t xml:space="preserve"> </w:t>
      </w:r>
      <w:r w:rsidRPr="00F95456">
        <w:rPr>
          <w:color w:val="FF0000"/>
          <w:sz w:val="32"/>
          <w:szCs w:val="32"/>
        </w:rPr>
        <w:t>3</w:t>
      </w:r>
    </w:p>
    <w:p w:rsidR="003D527D" w:rsidRDefault="000A0084" w:rsidP="00964068">
      <w:pPr>
        <w:suppressAutoHyphens/>
        <w:spacing w:after="0" w:line="240" w:lineRule="auto"/>
        <w:jc w:val="center"/>
        <w:rPr>
          <w:rFonts w:ascii="Times New Roman" w:hAnsi="Times New Roman"/>
          <w:b/>
          <w:bCs/>
          <w:sz w:val="28"/>
          <w:szCs w:val="28"/>
        </w:rPr>
      </w:pPr>
      <w:r w:rsidRPr="00256D99">
        <w:rPr>
          <w:rFonts w:ascii="Times New Roman" w:hAnsi="Times New Roman"/>
          <w:b/>
          <w:sz w:val="28"/>
          <w:szCs w:val="28"/>
        </w:rPr>
        <w:t>Тема № 2.  (18 часов)</w:t>
      </w:r>
      <w:r>
        <w:rPr>
          <w:rFonts w:ascii="Times New Roman" w:hAnsi="Times New Roman"/>
          <w:b/>
          <w:sz w:val="28"/>
          <w:szCs w:val="28"/>
        </w:rPr>
        <w:t xml:space="preserve">. </w:t>
      </w:r>
      <w:r w:rsidRPr="00256D99">
        <w:rPr>
          <w:rFonts w:ascii="Times New Roman" w:hAnsi="Times New Roman"/>
          <w:b/>
          <w:bCs/>
          <w:sz w:val="28"/>
          <w:szCs w:val="28"/>
        </w:rPr>
        <w:t>Лекарственные средства. Анализ ассортимента. Хранение. Реализация.</w:t>
      </w:r>
    </w:p>
    <w:p w:rsidR="00964068" w:rsidRDefault="00964068" w:rsidP="00964068">
      <w:pPr>
        <w:suppressAutoHyphens/>
        <w:spacing w:after="0" w:line="240" w:lineRule="auto"/>
        <w:jc w:val="center"/>
        <w:rPr>
          <w:rFonts w:ascii="Times New Roman" w:hAnsi="Times New Roman"/>
          <w:b/>
          <w:bCs/>
          <w:sz w:val="28"/>
          <w:szCs w:val="28"/>
        </w:rPr>
      </w:pPr>
    </w:p>
    <w:p w:rsidR="00964068" w:rsidRDefault="00964068" w:rsidP="00964068">
      <w:p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Л</w:t>
      </w:r>
      <w:r w:rsidRPr="00B92E15">
        <w:rPr>
          <w:rFonts w:ascii="Times New Roman" w:hAnsi="Times New Roman"/>
          <w:sz w:val="28"/>
          <w:szCs w:val="28"/>
        </w:rPr>
        <w:t>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w:t>
      </w:r>
      <w:r>
        <w:rPr>
          <w:rFonts w:ascii="Times New Roman" w:hAnsi="Times New Roman"/>
          <w:sz w:val="28"/>
          <w:szCs w:val="28"/>
        </w:rPr>
        <w:t>,</w:t>
      </w:r>
      <w:r w:rsidRPr="00B92E15">
        <w:rPr>
          <w:rFonts w:ascii="Times New Roman" w:hAnsi="Times New Roman"/>
          <w:sz w:val="28"/>
          <w:szCs w:val="28"/>
        </w:rPr>
        <w:t xml:space="preserve">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w:t>
      </w:r>
      <w:proofErr w:type="gramEnd"/>
      <w:r w:rsidRPr="00B92E15">
        <w:rPr>
          <w:rFonts w:ascii="Times New Roman" w:hAnsi="Times New Roman"/>
          <w:sz w:val="28"/>
          <w:szCs w:val="28"/>
        </w:rPr>
        <w:t xml:space="preserve"> К лекарственным средствам относятся фармацевтические субст</w:t>
      </w:r>
      <w:r>
        <w:rPr>
          <w:rFonts w:ascii="Times New Roman" w:hAnsi="Times New Roman"/>
          <w:sz w:val="28"/>
          <w:szCs w:val="28"/>
        </w:rPr>
        <w:t xml:space="preserve">анции и лекарственные </w:t>
      </w:r>
      <w:r w:rsidRPr="0039484E">
        <w:rPr>
          <w:rFonts w:ascii="Times New Roman" w:hAnsi="Times New Roman"/>
          <w:sz w:val="28"/>
          <w:szCs w:val="28"/>
        </w:rPr>
        <w:t>препараты.</w:t>
      </w:r>
    </w:p>
    <w:p w:rsidR="003D527D" w:rsidRDefault="003D527D" w:rsidP="00964068">
      <w:pPr>
        <w:suppressAutoHyphens/>
        <w:spacing w:after="0" w:line="240" w:lineRule="auto"/>
        <w:rPr>
          <w:rFonts w:ascii="Times New Roman" w:hAnsi="Times New Roman"/>
          <w:b/>
          <w:bCs/>
          <w:sz w:val="28"/>
          <w:szCs w:val="28"/>
        </w:rPr>
      </w:pPr>
    </w:p>
    <w:p w:rsidR="006D234A" w:rsidRPr="00256D99" w:rsidRDefault="006D234A" w:rsidP="000A0084">
      <w:pPr>
        <w:suppressAutoHyphens/>
        <w:spacing w:after="0" w:line="240" w:lineRule="auto"/>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gridCol w:w="8"/>
        <w:gridCol w:w="2078"/>
        <w:gridCol w:w="2373"/>
        <w:gridCol w:w="2111"/>
      </w:tblGrid>
      <w:tr w:rsidR="001F24BB" w:rsidRPr="00A875E0" w:rsidTr="001F24BB">
        <w:trPr>
          <w:trHeight w:val="542"/>
        </w:trPr>
        <w:tc>
          <w:tcPr>
            <w:tcW w:w="2967" w:type="dxa"/>
          </w:tcPr>
          <w:p w:rsidR="006D234A" w:rsidRPr="00A875E0" w:rsidRDefault="006D234A" w:rsidP="00A875E0">
            <w:pPr>
              <w:jc w:val="center"/>
              <w:rPr>
                <w:rFonts w:ascii="Times New Roman" w:hAnsi="Times New Roman"/>
                <w:b/>
                <w:sz w:val="24"/>
                <w:szCs w:val="24"/>
              </w:rPr>
            </w:pPr>
            <w:r w:rsidRPr="00A875E0">
              <w:rPr>
                <w:rFonts w:ascii="Times New Roman" w:hAnsi="Times New Roman"/>
                <w:b/>
                <w:sz w:val="24"/>
                <w:szCs w:val="24"/>
              </w:rPr>
              <w:t>Фармако-Терапевтическая группа</w:t>
            </w:r>
          </w:p>
        </w:tc>
        <w:tc>
          <w:tcPr>
            <w:tcW w:w="2086" w:type="dxa"/>
            <w:gridSpan w:val="2"/>
          </w:tcPr>
          <w:p w:rsidR="006D234A" w:rsidRPr="00A875E0" w:rsidRDefault="006D234A" w:rsidP="00A875E0">
            <w:pPr>
              <w:pStyle w:val="a3"/>
              <w:jc w:val="center"/>
              <w:rPr>
                <w:b/>
                <w:color w:val="000000"/>
              </w:rPr>
            </w:pPr>
            <w:r w:rsidRPr="00A875E0">
              <w:rPr>
                <w:b/>
                <w:color w:val="000000"/>
              </w:rPr>
              <w:t>ТН</w:t>
            </w:r>
          </w:p>
        </w:tc>
        <w:tc>
          <w:tcPr>
            <w:tcW w:w="2373" w:type="dxa"/>
          </w:tcPr>
          <w:p w:rsidR="006D234A" w:rsidRPr="00A875E0" w:rsidRDefault="006D234A" w:rsidP="00A875E0">
            <w:pPr>
              <w:pStyle w:val="a3"/>
              <w:jc w:val="center"/>
              <w:rPr>
                <w:b/>
                <w:color w:val="000000"/>
              </w:rPr>
            </w:pPr>
            <w:r w:rsidRPr="00A875E0">
              <w:rPr>
                <w:b/>
                <w:color w:val="000000"/>
              </w:rPr>
              <w:t>МНН</w:t>
            </w:r>
          </w:p>
        </w:tc>
        <w:tc>
          <w:tcPr>
            <w:tcW w:w="2111" w:type="dxa"/>
          </w:tcPr>
          <w:p w:rsidR="006D234A" w:rsidRPr="00A875E0" w:rsidRDefault="00964068" w:rsidP="00A875E0">
            <w:pPr>
              <w:pStyle w:val="a3"/>
              <w:jc w:val="center"/>
              <w:rPr>
                <w:b/>
                <w:color w:val="000000"/>
                <w:lang w:val="en-US"/>
              </w:rPr>
            </w:pPr>
            <w:r w:rsidRPr="00A875E0">
              <w:rPr>
                <w:b/>
                <w:color w:val="000000"/>
              </w:rPr>
              <w:t xml:space="preserve">Код </w:t>
            </w:r>
            <w:r w:rsidRPr="00A875E0">
              <w:rPr>
                <w:b/>
                <w:color w:val="000000"/>
                <w:lang w:val="en-US"/>
              </w:rPr>
              <w:t>ATX</w:t>
            </w:r>
          </w:p>
        </w:tc>
      </w:tr>
      <w:tr w:rsidR="001F24BB" w:rsidRPr="00A875E0" w:rsidTr="001F24BB">
        <w:trPr>
          <w:trHeight w:val="1496"/>
        </w:trPr>
        <w:tc>
          <w:tcPr>
            <w:tcW w:w="2967" w:type="dxa"/>
          </w:tcPr>
          <w:p w:rsidR="006D234A" w:rsidRPr="00A875E0" w:rsidRDefault="001F24BB" w:rsidP="00A875E0">
            <w:pPr>
              <w:pStyle w:val="a3"/>
              <w:jc w:val="center"/>
              <w:rPr>
                <w:color w:val="000000"/>
              </w:rPr>
            </w:pPr>
            <w:r w:rsidRPr="00A875E0">
              <w:rPr>
                <w:color w:val="000000"/>
              </w:rPr>
              <w:t xml:space="preserve">Муколитическое </w:t>
            </w:r>
            <w:r w:rsidR="007D1059" w:rsidRPr="00A875E0">
              <w:rPr>
                <w:color w:val="000000"/>
              </w:rPr>
              <w:t xml:space="preserve"> средст</w:t>
            </w:r>
            <w:r w:rsidRPr="00A875E0">
              <w:rPr>
                <w:color w:val="000000"/>
              </w:rPr>
              <w:t>во</w:t>
            </w:r>
          </w:p>
        </w:tc>
        <w:tc>
          <w:tcPr>
            <w:tcW w:w="2086" w:type="dxa"/>
            <w:gridSpan w:val="2"/>
          </w:tcPr>
          <w:p w:rsidR="006D234A" w:rsidRPr="00A875E0" w:rsidRDefault="004E6A7B" w:rsidP="00A875E0">
            <w:pPr>
              <w:pStyle w:val="a3"/>
              <w:jc w:val="center"/>
              <w:rPr>
                <w:color w:val="000000"/>
              </w:rPr>
            </w:pPr>
            <w:r w:rsidRPr="00A875E0">
              <w:rPr>
                <w:color w:val="000000"/>
              </w:rPr>
              <w:t>Бронхобос</w:t>
            </w:r>
          </w:p>
        </w:tc>
        <w:tc>
          <w:tcPr>
            <w:tcW w:w="2373" w:type="dxa"/>
          </w:tcPr>
          <w:p w:rsidR="006D234A" w:rsidRPr="00A875E0" w:rsidRDefault="004E6A7B" w:rsidP="00A875E0">
            <w:pPr>
              <w:pStyle w:val="a3"/>
              <w:jc w:val="center"/>
              <w:rPr>
                <w:color w:val="000000"/>
              </w:rPr>
            </w:pPr>
            <w:r w:rsidRPr="00A875E0">
              <w:t>Карбоцистеин</w:t>
            </w:r>
          </w:p>
        </w:tc>
        <w:tc>
          <w:tcPr>
            <w:tcW w:w="2111" w:type="dxa"/>
          </w:tcPr>
          <w:p w:rsidR="006D234A" w:rsidRPr="00A875E0" w:rsidRDefault="00F442B4" w:rsidP="00A875E0">
            <w:pPr>
              <w:pStyle w:val="a3"/>
              <w:jc w:val="center"/>
              <w:rPr>
                <w:color w:val="000000" w:themeColor="text1"/>
              </w:rPr>
            </w:pPr>
            <w:r w:rsidRPr="00A875E0">
              <w:rPr>
                <w:color w:val="000000"/>
                <w:shd w:val="clear" w:color="auto" w:fill="FFFFFF"/>
                <w:lang w:eastAsia="en-US"/>
              </w:rPr>
              <w:t>R05CB03</w:t>
            </w:r>
          </w:p>
        </w:tc>
      </w:tr>
      <w:tr w:rsidR="001F24BB" w:rsidRPr="00A875E0" w:rsidTr="001F24BB">
        <w:trPr>
          <w:trHeight w:val="991"/>
        </w:trPr>
        <w:tc>
          <w:tcPr>
            <w:tcW w:w="2967" w:type="dxa"/>
          </w:tcPr>
          <w:p w:rsidR="007A6559" w:rsidRPr="00A875E0" w:rsidRDefault="001F24BB" w:rsidP="00A875E0">
            <w:pPr>
              <w:pStyle w:val="a3"/>
              <w:jc w:val="center"/>
            </w:pPr>
            <w:r w:rsidRPr="00A875E0">
              <w:t>Диуретическое</w:t>
            </w:r>
            <w:r w:rsidR="007D1059" w:rsidRPr="00A875E0">
              <w:t xml:space="preserve"> средств</w:t>
            </w:r>
            <w:r w:rsidRPr="00A875E0">
              <w:t>о</w:t>
            </w:r>
          </w:p>
        </w:tc>
        <w:tc>
          <w:tcPr>
            <w:tcW w:w="2086" w:type="dxa"/>
            <w:gridSpan w:val="2"/>
          </w:tcPr>
          <w:p w:rsidR="007A6559" w:rsidRPr="00A875E0" w:rsidRDefault="00F442B4" w:rsidP="00A875E0">
            <w:pPr>
              <w:pStyle w:val="a3"/>
              <w:jc w:val="center"/>
              <w:rPr>
                <w:color w:val="000000"/>
              </w:rPr>
            </w:pPr>
            <w:r w:rsidRPr="00A875E0">
              <w:rPr>
                <w:color w:val="000000"/>
              </w:rPr>
              <w:t>Гипотиазид</w:t>
            </w:r>
          </w:p>
        </w:tc>
        <w:tc>
          <w:tcPr>
            <w:tcW w:w="2373" w:type="dxa"/>
          </w:tcPr>
          <w:p w:rsidR="007A6559" w:rsidRPr="00A875E0" w:rsidRDefault="00F442B4" w:rsidP="00A875E0">
            <w:pPr>
              <w:pStyle w:val="a3"/>
              <w:jc w:val="center"/>
              <w:rPr>
                <w:color w:val="000000"/>
              </w:rPr>
            </w:pPr>
            <w:r w:rsidRPr="00A875E0">
              <w:rPr>
                <w:color w:val="000000"/>
              </w:rPr>
              <w:t>Гидрохлоротиазид</w:t>
            </w:r>
          </w:p>
        </w:tc>
        <w:tc>
          <w:tcPr>
            <w:tcW w:w="2111" w:type="dxa"/>
          </w:tcPr>
          <w:p w:rsidR="007A6559" w:rsidRPr="00A875E0" w:rsidRDefault="00EC1C65" w:rsidP="00A875E0">
            <w:pPr>
              <w:spacing w:after="0" w:line="240" w:lineRule="auto"/>
              <w:jc w:val="center"/>
              <w:rPr>
                <w:rFonts w:ascii="Times New Roman" w:hAnsi="Times New Roman"/>
                <w:color w:val="000000" w:themeColor="text1"/>
                <w:sz w:val="24"/>
                <w:szCs w:val="24"/>
              </w:rPr>
            </w:pPr>
            <w:hyperlink r:id="rId6" w:history="1">
              <w:r w:rsidR="00F442B4" w:rsidRPr="00A875E0">
                <w:rPr>
                  <w:rFonts w:ascii="Times New Roman" w:eastAsia="Times New Roman" w:hAnsi="Times New Roman"/>
                  <w:color w:val="000000" w:themeColor="text1"/>
                  <w:sz w:val="24"/>
                  <w:szCs w:val="24"/>
                  <w:lang w:eastAsia="ru-RU"/>
                </w:rPr>
                <w:t>C03AA03 </w:t>
              </w:r>
            </w:hyperlink>
          </w:p>
        </w:tc>
      </w:tr>
      <w:tr w:rsidR="001F24BB" w:rsidRPr="00A875E0" w:rsidTr="001F24BB">
        <w:trPr>
          <w:trHeight w:val="954"/>
        </w:trPr>
        <w:tc>
          <w:tcPr>
            <w:tcW w:w="2975" w:type="dxa"/>
            <w:gridSpan w:val="2"/>
          </w:tcPr>
          <w:p w:rsidR="007A6559" w:rsidRPr="00A875E0" w:rsidRDefault="007D1059" w:rsidP="00A875E0">
            <w:pPr>
              <w:pStyle w:val="a3"/>
              <w:jc w:val="center"/>
              <w:rPr>
                <w:color w:val="000000"/>
              </w:rPr>
            </w:pPr>
            <w:r w:rsidRPr="00A875E0">
              <w:rPr>
                <w:color w:val="000000"/>
              </w:rPr>
              <w:t>НПВП</w:t>
            </w:r>
          </w:p>
        </w:tc>
        <w:tc>
          <w:tcPr>
            <w:tcW w:w="2078" w:type="dxa"/>
          </w:tcPr>
          <w:p w:rsidR="007A6559" w:rsidRPr="00A875E0" w:rsidRDefault="00AB5D8E" w:rsidP="00A875E0">
            <w:pPr>
              <w:pStyle w:val="a3"/>
              <w:jc w:val="center"/>
              <w:rPr>
                <w:color w:val="000000"/>
              </w:rPr>
            </w:pPr>
            <w:r w:rsidRPr="00A875E0">
              <w:rPr>
                <w:color w:val="000000"/>
              </w:rPr>
              <w:t>Нурофен</w:t>
            </w:r>
          </w:p>
        </w:tc>
        <w:tc>
          <w:tcPr>
            <w:tcW w:w="2373" w:type="dxa"/>
          </w:tcPr>
          <w:p w:rsidR="007A6559" w:rsidRPr="00A875E0" w:rsidRDefault="00AB5D8E" w:rsidP="00A875E0">
            <w:pPr>
              <w:pStyle w:val="a3"/>
              <w:jc w:val="center"/>
              <w:rPr>
                <w:color w:val="000000"/>
              </w:rPr>
            </w:pPr>
            <w:r w:rsidRPr="00A875E0">
              <w:rPr>
                <w:color w:val="000000"/>
              </w:rPr>
              <w:t>Ибупрофен</w:t>
            </w:r>
          </w:p>
        </w:tc>
        <w:tc>
          <w:tcPr>
            <w:tcW w:w="2111" w:type="dxa"/>
          </w:tcPr>
          <w:p w:rsidR="007A6559" w:rsidRPr="00A875E0" w:rsidRDefault="00AB5D8E" w:rsidP="00A875E0">
            <w:pPr>
              <w:pStyle w:val="a3"/>
              <w:jc w:val="center"/>
              <w:rPr>
                <w:color w:val="000000"/>
              </w:rPr>
            </w:pPr>
            <w:r w:rsidRPr="00A875E0">
              <w:rPr>
                <w:color w:val="000000"/>
                <w:shd w:val="clear" w:color="auto" w:fill="FFFFFF"/>
                <w:lang w:val="en-US"/>
              </w:rPr>
              <w:t>M</w:t>
            </w:r>
            <w:r w:rsidRPr="00A875E0">
              <w:rPr>
                <w:color w:val="000000"/>
                <w:shd w:val="clear" w:color="auto" w:fill="FFFFFF"/>
              </w:rPr>
              <w:t>01</w:t>
            </w:r>
            <w:r w:rsidRPr="00A875E0">
              <w:rPr>
                <w:color w:val="000000"/>
                <w:shd w:val="clear" w:color="auto" w:fill="FFFFFF"/>
                <w:lang w:val="en-US"/>
              </w:rPr>
              <w:t>AE</w:t>
            </w:r>
            <w:r w:rsidRPr="00A875E0">
              <w:rPr>
                <w:color w:val="000000"/>
                <w:shd w:val="clear" w:color="auto" w:fill="FFFFFF"/>
              </w:rPr>
              <w:t>01</w:t>
            </w:r>
          </w:p>
        </w:tc>
      </w:tr>
      <w:tr w:rsidR="001F24BB" w:rsidRPr="00A875E0" w:rsidTr="001F24BB">
        <w:trPr>
          <w:trHeight w:val="804"/>
        </w:trPr>
        <w:tc>
          <w:tcPr>
            <w:tcW w:w="2975" w:type="dxa"/>
            <w:gridSpan w:val="2"/>
          </w:tcPr>
          <w:p w:rsidR="007A6559" w:rsidRPr="00A875E0" w:rsidRDefault="001F24BB" w:rsidP="00A875E0">
            <w:pPr>
              <w:pStyle w:val="a3"/>
              <w:jc w:val="center"/>
              <w:rPr>
                <w:color w:val="000000"/>
              </w:rPr>
            </w:pPr>
            <w:r w:rsidRPr="00A875E0">
              <w:rPr>
                <w:color w:val="000000"/>
              </w:rPr>
              <w:t>Снотворное</w:t>
            </w:r>
            <w:r w:rsidR="007D1059" w:rsidRPr="00A875E0">
              <w:rPr>
                <w:color w:val="000000"/>
              </w:rPr>
              <w:t xml:space="preserve"> средств</w:t>
            </w:r>
            <w:r w:rsidRPr="00A875E0">
              <w:rPr>
                <w:color w:val="000000"/>
              </w:rPr>
              <w:t>о</w:t>
            </w:r>
          </w:p>
        </w:tc>
        <w:tc>
          <w:tcPr>
            <w:tcW w:w="2078" w:type="dxa"/>
          </w:tcPr>
          <w:p w:rsidR="007A6559" w:rsidRPr="00A875E0" w:rsidRDefault="00AB5D8E" w:rsidP="00A875E0">
            <w:pPr>
              <w:pStyle w:val="a3"/>
              <w:jc w:val="center"/>
              <w:rPr>
                <w:color w:val="000000"/>
              </w:rPr>
            </w:pPr>
            <w:r w:rsidRPr="00A875E0">
              <w:rPr>
                <w:color w:val="000000"/>
              </w:rPr>
              <w:t>Нитразепам</w:t>
            </w:r>
          </w:p>
        </w:tc>
        <w:tc>
          <w:tcPr>
            <w:tcW w:w="2373" w:type="dxa"/>
          </w:tcPr>
          <w:p w:rsidR="007A6559" w:rsidRPr="00A875E0" w:rsidRDefault="00AB5D8E" w:rsidP="00A875E0">
            <w:pPr>
              <w:pStyle w:val="a3"/>
              <w:jc w:val="center"/>
              <w:rPr>
                <w:color w:val="000000"/>
              </w:rPr>
            </w:pPr>
            <w:r w:rsidRPr="00A875E0">
              <w:rPr>
                <w:color w:val="000000"/>
              </w:rPr>
              <w:t>Нитразепам</w:t>
            </w:r>
          </w:p>
        </w:tc>
        <w:tc>
          <w:tcPr>
            <w:tcW w:w="2111" w:type="dxa"/>
          </w:tcPr>
          <w:p w:rsidR="00AB5D8E" w:rsidRPr="00A875E0" w:rsidRDefault="00AB5D8E" w:rsidP="00A875E0">
            <w:pPr>
              <w:suppressAutoHyphens/>
              <w:spacing w:after="0" w:line="240" w:lineRule="auto"/>
              <w:jc w:val="center"/>
              <w:rPr>
                <w:rFonts w:ascii="Times New Roman" w:eastAsia="Times New Roman" w:hAnsi="Times New Roman"/>
                <w:sz w:val="24"/>
                <w:szCs w:val="24"/>
                <w:lang w:val="en-US"/>
              </w:rPr>
            </w:pPr>
            <w:r w:rsidRPr="00A875E0">
              <w:rPr>
                <w:rFonts w:ascii="Times New Roman" w:eastAsia="Times New Roman" w:hAnsi="Times New Roman"/>
                <w:sz w:val="24"/>
                <w:szCs w:val="24"/>
                <w:lang w:val="en-US"/>
              </w:rPr>
              <w:t>N05CD02</w:t>
            </w:r>
          </w:p>
          <w:p w:rsidR="007A6559" w:rsidRPr="00A875E0" w:rsidRDefault="007A6559" w:rsidP="00A875E0">
            <w:pPr>
              <w:pStyle w:val="a3"/>
              <w:jc w:val="center"/>
              <w:rPr>
                <w:color w:val="000000"/>
              </w:rPr>
            </w:pPr>
          </w:p>
        </w:tc>
      </w:tr>
      <w:tr w:rsidR="001F24BB" w:rsidRPr="00A875E0" w:rsidTr="001F24BB">
        <w:trPr>
          <w:trHeight w:val="897"/>
        </w:trPr>
        <w:tc>
          <w:tcPr>
            <w:tcW w:w="2975" w:type="dxa"/>
            <w:gridSpan w:val="2"/>
          </w:tcPr>
          <w:p w:rsidR="007A6559" w:rsidRPr="00A875E0" w:rsidRDefault="001F24BB" w:rsidP="00A875E0">
            <w:pPr>
              <w:pStyle w:val="a3"/>
              <w:jc w:val="center"/>
              <w:rPr>
                <w:color w:val="000000"/>
              </w:rPr>
            </w:pPr>
            <w:r w:rsidRPr="00A875E0">
              <w:rPr>
                <w:color w:val="000000"/>
              </w:rPr>
              <w:t xml:space="preserve">Гиполипидемическое </w:t>
            </w:r>
            <w:r w:rsidR="007D1059" w:rsidRPr="00A875E0">
              <w:rPr>
                <w:color w:val="000000"/>
              </w:rPr>
              <w:t>средств</w:t>
            </w:r>
            <w:r w:rsidRPr="00A875E0">
              <w:rPr>
                <w:color w:val="000000"/>
              </w:rPr>
              <w:t>о</w:t>
            </w:r>
          </w:p>
        </w:tc>
        <w:tc>
          <w:tcPr>
            <w:tcW w:w="2078" w:type="dxa"/>
          </w:tcPr>
          <w:p w:rsidR="007A6559" w:rsidRPr="00A875E0" w:rsidRDefault="00AB5D8E" w:rsidP="00A875E0">
            <w:pPr>
              <w:pStyle w:val="a3"/>
              <w:jc w:val="center"/>
              <w:rPr>
                <w:color w:val="000000"/>
              </w:rPr>
            </w:pPr>
            <w:r w:rsidRPr="00A875E0">
              <w:rPr>
                <w:color w:val="000000"/>
              </w:rPr>
              <w:t>Розувастатин</w:t>
            </w:r>
          </w:p>
        </w:tc>
        <w:tc>
          <w:tcPr>
            <w:tcW w:w="2373" w:type="dxa"/>
          </w:tcPr>
          <w:p w:rsidR="007A6559" w:rsidRPr="00A875E0" w:rsidRDefault="00AB5D8E" w:rsidP="00A875E0">
            <w:pPr>
              <w:pStyle w:val="a3"/>
              <w:jc w:val="center"/>
              <w:rPr>
                <w:color w:val="000000"/>
              </w:rPr>
            </w:pPr>
            <w:r w:rsidRPr="00A875E0">
              <w:rPr>
                <w:color w:val="000000"/>
              </w:rPr>
              <w:t>Розувастатин</w:t>
            </w:r>
          </w:p>
        </w:tc>
        <w:tc>
          <w:tcPr>
            <w:tcW w:w="2111" w:type="dxa"/>
          </w:tcPr>
          <w:p w:rsidR="007A6559" w:rsidRPr="00A875E0" w:rsidRDefault="00AB5D8E" w:rsidP="00A875E0">
            <w:pPr>
              <w:pStyle w:val="a3"/>
              <w:jc w:val="center"/>
              <w:rPr>
                <w:color w:val="000000"/>
              </w:rPr>
            </w:pPr>
            <w:r w:rsidRPr="00A875E0">
              <w:rPr>
                <w:color w:val="000000"/>
                <w:shd w:val="clear" w:color="auto" w:fill="FFFFFF"/>
                <w:lang w:eastAsia="en-US"/>
              </w:rPr>
              <w:t>C10AA07</w:t>
            </w:r>
          </w:p>
        </w:tc>
      </w:tr>
      <w:tr w:rsidR="001F24BB" w:rsidRPr="00A875E0" w:rsidTr="001F24BB">
        <w:trPr>
          <w:trHeight w:val="785"/>
        </w:trPr>
        <w:tc>
          <w:tcPr>
            <w:tcW w:w="2975" w:type="dxa"/>
            <w:gridSpan w:val="2"/>
          </w:tcPr>
          <w:p w:rsidR="007A6559" w:rsidRPr="00A875E0" w:rsidRDefault="001F24BB" w:rsidP="00A875E0">
            <w:pPr>
              <w:pStyle w:val="a3"/>
              <w:jc w:val="center"/>
              <w:rPr>
                <w:color w:val="000000"/>
              </w:rPr>
            </w:pPr>
            <w:r w:rsidRPr="00A875E0">
              <w:rPr>
                <w:color w:val="000000"/>
              </w:rPr>
              <w:t>Антигипертензивное</w:t>
            </w:r>
            <w:r w:rsidR="007D1059" w:rsidRPr="00A875E0">
              <w:rPr>
                <w:color w:val="000000"/>
              </w:rPr>
              <w:t xml:space="preserve"> средств</w:t>
            </w:r>
            <w:r w:rsidRPr="00A875E0">
              <w:rPr>
                <w:color w:val="000000"/>
              </w:rPr>
              <w:t>о</w:t>
            </w:r>
          </w:p>
        </w:tc>
        <w:tc>
          <w:tcPr>
            <w:tcW w:w="2078" w:type="dxa"/>
          </w:tcPr>
          <w:p w:rsidR="007A6559" w:rsidRPr="00A875E0" w:rsidRDefault="008833AF" w:rsidP="00A875E0">
            <w:pPr>
              <w:pStyle w:val="a3"/>
              <w:jc w:val="center"/>
              <w:rPr>
                <w:color w:val="000000"/>
              </w:rPr>
            </w:pPr>
            <w:r w:rsidRPr="00A875E0">
              <w:rPr>
                <w:color w:val="000000"/>
              </w:rPr>
              <w:t>Моксарел</w:t>
            </w:r>
          </w:p>
        </w:tc>
        <w:tc>
          <w:tcPr>
            <w:tcW w:w="2373" w:type="dxa"/>
          </w:tcPr>
          <w:p w:rsidR="007A6559" w:rsidRPr="00A875E0" w:rsidRDefault="008833AF" w:rsidP="00A875E0">
            <w:pPr>
              <w:pStyle w:val="a3"/>
              <w:jc w:val="center"/>
              <w:rPr>
                <w:color w:val="000000"/>
              </w:rPr>
            </w:pPr>
            <w:r w:rsidRPr="00A875E0">
              <w:rPr>
                <w:color w:val="000000"/>
              </w:rPr>
              <w:t>Моксонидин</w:t>
            </w:r>
          </w:p>
        </w:tc>
        <w:tc>
          <w:tcPr>
            <w:tcW w:w="2111" w:type="dxa"/>
          </w:tcPr>
          <w:p w:rsidR="007A6559" w:rsidRPr="00A875E0" w:rsidRDefault="00EC1C65" w:rsidP="00A875E0">
            <w:pPr>
              <w:pStyle w:val="a3"/>
              <w:jc w:val="center"/>
              <w:rPr>
                <w:color w:val="000000" w:themeColor="text1"/>
              </w:rPr>
            </w:pPr>
            <w:hyperlink r:id="rId7" w:history="1">
              <w:r w:rsidR="008833AF" w:rsidRPr="00A875E0">
                <w:rPr>
                  <w:rStyle w:val="a5"/>
                  <w:color w:val="000000" w:themeColor="text1"/>
                  <w:u w:val="none"/>
                </w:rPr>
                <w:t>C02AC05</w:t>
              </w:r>
            </w:hyperlink>
          </w:p>
        </w:tc>
      </w:tr>
      <w:tr w:rsidR="001F24BB" w:rsidRPr="00A875E0" w:rsidTr="001F24BB">
        <w:trPr>
          <w:trHeight w:val="767"/>
        </w:trPr>
        <w:tc>
          <w:tcPr>
            <w:tcW w:w="2975" w:type="dxa"/>
            <w:gridSpan w:val="2"/>
          </w:tcPr>
          <w:p w:rsidR="008602F0" w:rsidRPr="00A875E0" w:rsidRDefault="008602F0" w:rsidP="00A875E0">
            <w:pPr>
              <w:suppressAutoHyphens/>
              <w:spacing w:after="0" w:line="240" w:lineRule="auto"/>
              <w:jc w:val="center"/>
              <w:rPr>
                <w:rFonts w:ascii="Times New Roman" w:hAnsi="Times New Roman"/>
                <w:color w:val="000000"/>
                <w:sz w:val="24"/>
                <w:szCs w:val="24"/>
                <w:shd w:val="clear" w:color="auto" w:fill="FFFFFF"/>
              </w:rPr>
            </w:pPr>
            <w:r w:rsidRPr="00A875E0">
              <w:rPr>
                <w:rFonts w:ascii="Times New Roman" w:hAnsi="Times New Roman"/>
                <w:color w:val="000000"/>
                <w:sz w:val="24"/>
                <w:szCs w:val="24"/>
                <w:shd w:val="clear" w:color="auto" w:fill="FFFFFF"/>
              </w:rPr>
              <w:t>АПФ ингибитор</w:t>
            </w:r>
          </w:p>
          <w:p w:rsidR="007A6559" w:rsidRPr="00A875E0" w:rsidRDefault="007A6559" w:rsidP="00A875E0">
            <w:pPr>
              <w:jc w:val="center"/>
              <w:rPr>
                <w:rFonts w:ascii="Times New Roman" w:hAnsi="Times New Roman"/>
                <w:color w:val="000000"/>
                <w:sz w:val="24"/>
                <w:szCs w:val="24"/>
              </w:rPr>
            </w:pPr>
          </w:p>
        </w:tc>
        <w:tc>
          <w:tcPr>
            <w:tcW w:w="2078" w:type="dxa"/>
          </w:tcPr>
          <w:p w:rsidR="007A6559" w:rsidRPr="00A875E0" w:rsidRDefault="008602F0" w:rsidP="00A875E0">
            <w:pPr>
              <w:pStyle w:val="a3"/>
              <w:jc w:val="center"/>
              <w:rPr>
                <w:color w:val="000000"/>
              </w:rPr>
            </w:pPr>
            <w:r w:rsidRPr="00A875E0">
              <w:rPr>
                <w:color w:val="000000"/>
              </w:rPr>
              <w:t>Диротон</w:t>
            </w:r>
          </w:p>
        </w:tc>
        <w:tc>
          <w:tcPr>
            <w:tcW w:w="2373" w:type="dxa"/>
          </w:tcPr>
          <w:p w:rsidR="007A6559" w:rsidRPr="00A875E0" w:rsidRDefault="008602F0" w:rsidP="00A875E0">
            <w:pPr>
              <w:pStyle w:val="a3"/>
              <w:jc w:val="center"/>
              <w:rPr>
                <w:color w:val="000000"/>
              </w:rPr>
            </w:pPr>
            <w:r w:rsidRPr="00A875E0">
              <w:rPr>
                <w:color w:val="000000"/>
              </w:rPr>
              <w:t>Лизиноприл</w:t>
            </w:r>
          </w:p>
        </w:tc>
        <w:tc>
          <w:tcPr>
            <w:tcW w:w="2111" w:type="dxa"/>
          </w:tcPr>
          <w:p w:rsidR="007A6559" w:rsidRPr="00A875E0" w:rsidRDefault="008602F0" w:rsidP="00A875E0">
            <w:pPr>
              <w:pStyle w:val="a3"/>
              <w:jc w:val="center"/>
              <w:rPr>
                <w:color w:val="000000"/>
              </w:rPr>
            </w:pPr>
            <w:r w:rsidRPr="00A875E0">
              <w:rPr>
                <w:color w:val="000000"/>
              </w:rPr>
              <w:t>C09AA03</w:t>
            </w:r>
          </w:p>
        </w:tc>
      </w:tr>
      <w:tr w:rsidR="001F24BB" w:rsidRPr="00A875E0" w:rsidTr="001F24BB">
        <w:trPr>
          <w:trHeight w:val="829"/>
        </w:trPr>
        <w:tc>
          <w:tcPr>
            <w:tcW w:w="2975" w:type="dxa"/>
            <w:gridSpan w:val="2"/>
          </w:tcPr>
          <w:p w:rsidR="00BD6923" w:rsidRPr="00A875E0" w:rsidRDefault="00BD6923" w:rsidP="00A875E0">
            <w:pPr>
              <w:jc w:val="center"/>
              <w:rPr>
                <w:rFonts w:ascii="Times New Roman" w:hAnsi="Times New Roman"/>
                <w:sz w:val="24"/>
                <w:szCs w:val="24"/>
              </w:rPr>
            </w:pPr>
            <w:r w:rsidRPr="00A875E0">
              <w:rPr>
                <w:rFonts w:ascii="Times New Roman" w:hAnsi="Times New Roman"/>
                <w:sz w:val="24"/>
                <w:szCs w:val="24"/>
              </w:rPr>
              <w:t>Местноан</w:t>
            </w:r>
            <w:r w:rsidR="001F24BB" w:rsidRPr="00A875E0">
              <w:rPr>
                <w:rFonts w:ascii="Times New Roman" w:hAnsi="Times New Roman"/>
                <w:sz w:val="24"/>
                <w:szCs w:val="24"/>
              </w:rPr>
              <w:t>естезирующее средство</w:t>
            </w:r>
          </w:p>
          <w:p w:rsidR="007A6559" w:rsidRPr="00A875E0" w:rsidRDefault="007A6559" w:rsidP="00A875E0">
            <w:pPr>
              <w:pStyle w:val="a3"/>
              <w:ind w:left="74"/>
              <w:jc w:val="center"/>
              <w:rPr>
                <w:color w:val="000000"/>
              </w:rPr>
            </w:pPr>
          </w:p>
        </w:tc>
        <w:tc>
          <w:tcPr>
            <w:tcW w:w="2078" w:type="dxa"/>
          </w:tcPr>
          <w:p w:rsidR="007A6559" w:rsidRPr="00A875E0" w:rsidRDefault="008602F0" w:rsidP="00A875E0">
            <w:pPr>
              <w:spacing w:after="0" w:line="360" w:lineRule="auto"/>
              <w:jc w:val="center"/>
              <w:rPr>
                <w:rFonts w:ascii="Times New Roman" w:eastAsia="Times New Roman" w:hAnsi="Times New Roman"/>
                <w:color w:val="000000"/>
                <w:sz w:val="24"/>
                <w:szCs w:val="24"/>
                <w:lang w:eastAsia="ru-RU"/>
              </w:rPr>
            </w:pPr>
            <w:r w:rsidRPr="00A875E0">
              <w:rPr>
                <w:rFonts w:ascii="Times New Roman" w:eastAsia="Times New Roman" w:hAnsi="Times New Roman"/>
                <w:color w:val="000000"/>
                <w:sz w:val="24"/>
                <w:szCs w:val="24"/>
                <w:lang w:eastAsia="ru-RU"/>
              </w:rPr>
              <w:t>Новокаин</w:t>
            </w:r>
          </w:p>
          <w:p w:rsidR="007A6559" w:rsidRPr="00A875E0" w:rsidRDefault="007A6559" w:rsidP="00A875E0">
            <w:pPr>
              <w:pStyle w:val="a3"/>
              <w:jc w:val="center"/>
              <w:rPr>
                <w:color w:val="000000"/>
              </w:rPr>
            </w:pPr>
          </w:p>
        </w:tc>
        <w:tc>
          <w:tcPr>
            <w:tcW w:w="2373" w:type="dxa"/>
          </w:tcPr>
          <w:p w:rsidR="007A6559" w:rsidRPr="00A875E0" w:rsidRDefault="008602F0" w:rsidP="00A875E0">
            <w:pPr>
              <w:spacing w:after="0" w:line="360" w:lineRule="auto"/>
              <w:jc w:val="center"/>
              <w:rPr>
                <w:rFonts w:ascii="Times New Roman" w:eastAsia="Times New Roman" w:hAnsi="Times New Roman"/>
                <w:color w:val="000000"/>
                <w:sz w:val="24"/>
                <w:szCs w:val="24"/>
                <w:lang w:eastAsia="ru-RU"/>
              </w:rPr>
            </w:pPr>
            <w:r w:rsidRPr="00A875E0">
              <w:rPr>
                <w:rFonts w:ascii="Times New Roman" w:eastAsia="Times New Roman" w:hAnsi="Times New Roman"/>
                <w:color w:val="000000"/>
                <w:sz w:val="24"/>
                <w:szCs w:val="24"/>
                <w:lang w:eastAsia="ru-RU"/>
              </w:rPr>
              <w:t>Прокаин</w:t>
            </w:r>
          </w:p>
          <w:p w:rsidR="007A6559" w:rsidRPr="00A875E0" w:rsidRDefault="007A6559" w:rsidP="00A875E0">
            <w:pPr>
              <w:pStyle w:val="a3"/>
              <w:jc w:val="center"/>
              <w:rPr>
                <w:color w:val="000000"/>
              </w:rPr>
            </w:pPr>
          </w:p>
        </w:tc>
        <w:tc>
          <w:tcPr>
            <w:tcW w:w="2111" w:type="dxa"/>
          </w:tcPr>
          <w:p w:rsidR="007A6559" w:rsidRPr="00A875E0" w:rsidRDefault="00EC1C65" w:rsidP="00A875E0">
            <w:pPr>
              <w:spacing w:after="0" w:line="360" w:lineRule="auto"/>
              <w:jc w:val="center"/>
              <w:rPr>
                <w:rFonts w:ascii="Times New Roman" w:eastAsia="Times New Roman" w:hAnsi="Times New Roman"/>
                <w:color w:val="000000" w:themeColor="text1"/>
                <w:sz w:val="24"/>
                <w:szCs w:val="24"/>
                <w:lang w:eastAsia="ru-RU"/>
              </w:rPr>
            </w:pPr>
            <w:hyperlink r:id="rId8" w:history="1">
              <w:r w:rsidR="008602F0" w:rsidRPr="00A875E0">
                <w:rPr>
                  <w:rStyle w:val="a5"/>
                  <w:rFonts w:ascii="Times New Roman" w:hAnsi="Times New Roman"/>
                  <w:color w:val="000000" w:themeColor="text1"/>
                  <w:sz w:val="24"/>
                  <w:szCs w:val="24"/>
                  <w:u w:val="none"/>
                </w:rPr>
                <w:t>N01BA02</w:t>
              </w:r>
            </w:hyperlink>
          </w:p>
          <w:p w:rsidR="007A6559" w:rsidRPr="00A875E0" w:rsidRDefault="007A6559" w:rsidP="00A875E0">
            <w:pPr>
              <w:pStyle w:val="a3"/>
              <w:jc w:val="center"/>
              <w:rPr>
                <w:color w:val="000000"/>
              </w:rPr>
            </w:pPr>
          </w:p>
        </w:tc>
      </w:tr>
      <w:tr w:rsidR="001F24BB" w:rsidRPr="00A875E0" w:rsidTr="001F24BB">
        <w:trPr>
          <w:trHeight w:val="561"/>
        </w:trPr>
        <w:tc>
          <w:tcPr>
            <w:tcW w:w="2975" w:type="dxa"/>
            <w:gridSpan w:val="2"/>
          </w:tcPr>
          <w:p w:rsidR="007A6559" w:rsidRPr="00A875E0" w:rsidRDefault="00BD6923" w:rsidP="00A875E0">
            <w:pPr>
              <w:pStyle w:val="a4"/>
              <w:suppressAutoHyphens/>
              <w:spacing w:after="0" w:line="240" w:lineRule="auto"/>
              <w:ind w:left="0"/>
              <w:jc w:val="center"/>
              <w:rPr>
                <w:rFonts w:ascii="Times New Roman" w:hAnsi="Times New Roman"/>
                <w:sz w:val="24"/>
                <w:szCs w:val="24"/>
              </w:rPr>
            </w:pPr>
            <w:r w:rsidRPr="00A875E0">
              <w:rPr>
                <w:rFonts w:ascii="Times New Roman" w:hAnsi="Times New Roman"/>
                <w:sz w:val="24"/>
                <w:szCs w:val="24"/>
              </w:rPr>
              <w:lastRenderedPageBreak/>
              <w:t>Антацидное средство</w:t>
            </w:r>
          </w:p>
        </w:tc>
        <w:tc>
          <w:tcPr>
            <w:tcW w:w="2078" w:type="dxa"/>
          </w:tcPr>
          <w:p w:rsidR="007A6559" w:rsidRPr="00A875E0" w:rsidRDefault="008718B9" w:rsidP="00A875E0">
            <w:pPr>
              <w:pStyle w:val="a3"/>
              <w:jc w:val="center"/>
              <w:rPr>
                <w:color w:val="000000"/>
              </w:rPr>
            </w:pPr>
            <w:r w:rsidRPr="00A875E0">
              <w:rPr>
                <w:color w:val="000000"/>
              </w:rPr>
              <w:t>Маалокс</w:t>
            </w:r>
          </w:p>
        </w:tc>
        <w:tc>
          <w:tcPr>
            <w:tcW w:w="2373" w:type="dxa"/>
          </w:tcPr>
          <w:p w:rsidR="007A6559" w:rsidRPr="00A875E0" w:rsidRDefault="008718B9" w:rsidP="00A875E0">
            <w:pPr>
              <w:pStyle w:val="a3"/>
              <w:jc w:val="center"/>
              <w:rPr>
                <w:color w:val="000000"/>
              </w:rPr>
            </w:pPr>
            <w:r w:rsidRPr="00A875E0">
              <w:rPr>
                <w:color w:val="000000"/>
              </w:rPr>
              <w:t>Магния гидроксид</w:t>
            </w:r>
          </w:p>
          <w:p w:rsidR="00ED0A8E" w:rsidRDefault="008718B9" w:rsidP="00A60339">
            <w:pPr>
              <w:pStyle w:val="a3"/>
              <w:jc w:val="center"/>
              <w:rPr>
                <w:color w:val="000000"/>
              </w:rPr>
            </w:pPr>
            <w:r w:rsidRPr="00A875E0">
              <w:rPr>
                <w:color w:val="000000"/>
              </w:rPr>
              <w:t>Алгелдрат</w:t>
            </w:r>
          </w:p>
          <w:p w:rsidR="00ED0A8E" w:rsidRPr="00A875E0" w:rsidRDefault="00ED0A8E" w:rsidP="00A875E0">
            <w:pPr>
              <w:pStyle w:val="a3"/>
              <w:jc w:val="center"/>
              <w:rPr>
                <w:color w:val="000000"/>
              </w:rPr>
            </w:pPr>
          </w:p>
        </w:tc>
        <w:tc>
          <w:tcPr>
            <w:tcW w:w="2111" w:type="dxa"/>
          </w:tcPr>
          <w:p w:rsidR="007A6559" w:rsidRPr="00A875E0" w:rsidRDefault="00EC1C65" w:rsidP="00A875E0">
            <w:pPr>
              <w:spacing w:after="0" w:line="240" w:lineRule="auto"/>
              <w:jc w:val="center"/>
              <w:rPr>
                <w:rFonts w:ascii="Times New Roman" w:eastAsia="Times New Roman" w:hAnsi="Times New Roman"/>
                <w:color w:val="000000" w:themeColor="text1"/>
                <w:sz w:val="24"/>
                <w:szCs w:val="24"/>
                <w:lang w:eastAsia="ru-RU"/>
              </w:rPr>
            </w:pPr>
            <w:hyperlink r:id="rId9" w:history="1">
              <w:r w:rsidR="008718B9" w:rsidRPr="00A875E0">
                <w:rPr>
                  <w:rStyle w:val="a5"/>
                  <w:rFonts w:ascii="Times New Roman" w:hAnsi="Times New Roman"/>
                  <w:color w:val="000000" w:themeColor="text1"/>
                  <w:sz w:val="24"/>
                  <w:szCs w:val="24"/>
                  <w:u w:val="none"/>
                </w:rPr>
                <w:t>A02AX </w:t>
              </w:r>
            </w:hyperlink>
          </w:p>
        </w:tc>
      </w:tr>
      <w:tr w:rsidR="001F24BB" w:rsidRPr="00A875E0" w:rsidTr="001F24BB">
        <w:trPr>
          <w:trHeight w:val="729"/>
        </w:trPr>
        <w:tc>
          <w:tcPr>
            <w:tcW w:w="2975" w:type="dxa"/>
            <w:gridSpan w:val="2"/>
          </w:tcPr>
          <w:p w:rsidR="007A6559" w:rsidRPr="00A875E0" w:rsidRDefault="00BD6923" w:rsidP="00A875E0">
            <w:pPr>
              <w:pStyle w:val="a3"/>
              <w:ind w:left="74"/>
              <w:jc w:val="center"/>
              <w:rPr>
                <w:color w:val="000000"/>
              </w:rPr>
            </w:pPr>
            <w:r w:rsidRPr="00A875E0">
              <w:t>Противодиарейное средство</w:t>
            </w:r>
          </w:p>
        </w:tc>
        <w:tc>
          <w:tcPr>
            <w:tcW w:w="2078" w:type="dxa"/>
          </w:tcPr>
          <w:p w:rsidR="007A6559" w:rsidRPr="00A875E0" w:rsidRDefault="008718B9" w:rsidP="00A875E0">
            <w:pPr>
              <w:pStyle w:val="a3"/>
              <w:jc w:val="center"/>
              <w:rPr>
                <w:color w:val="000000"/>
              </w:rPr>
            </w:pPr>
            <w:r w:rsidRPr="00A875E0">
              <w:rPr>
                <w:color w:val="000000"/>
              </w:rPr>
              <w:t>Смекта</w:t>
            </w:r>
          </w:p>
        </w:tc>
        <w:tc>
          <w:tcPr>
            <w:tcW w:w="2373" w:type="dxa"/>
          </w:tcPr>
          <w:p w:rsidR="007A6559" w:rsidRPr="00A875E0" w:rsidRDefault="008718B9" w:rsidP="00A875E0">
            <w:pPr>
              <w:pStyle w:val="a3"/>
              <w:jc w:val="center"/>
              <w:rPr>
                <w:color w:val="000000"/>
              </w:rPr>
            </w:pPr>
            <w:r w:rsidRPr="00A875E0">
              <w:rPr>
                <w:color w:val="000000"/>
              </w:rPr>
              <w:t>Диосмектит</w:t>
            </w:r>
          </w:p>
        </w:tc>
        <w:tc>
          <w:tcPr>
            <w:tcW w:w="2111" w:type="dxa"/>
          </w:tcPr>
          <w:p w:rsidR="00E17893" w:rsidRPr="00A875E0" w:rsidRDefault="00E17893" w:rsidP="00A875E0">
            <w:pPr>
              <w:jc w:val="center"/>
              <w:rPr>
                <w:rFonts w:ascii="Times New Roman" w:hAnsi="Times New Roman"/>
                <w:sz w:val="24"/>
                <w:szCs w:val="24"/>
              </w:rPr>
            </w:pPr>
            <w:r w:rsidRPr="00A875E0">
              <w:rPr>
                <w:rFonts w:ascii="Times New Roman" w:hAnsi="Times New Roman"/>
                <w:sz w:val="24"/>
                <w:szCs w:val="24"/>
              </w:rPr>
              <w:t>A07BC05</w:t>
            </w:r>
          </w:p>
          <w:p w:rsidR="007A6559" w:rsidRPr="00A875E0" w:rsidRDefault="007A6559" w:rsidP="00A875E0">
            <w:pPr>
              <w:pStyle w:val="a3"/>
              <w:jc w:val="center"/>
              <w:rPr>
                <w:color w:val="000000"/>
              </w:rPr>
            </w:pPr>
          </w:p>
        </w:tc>
      </w:tr>
      <w:tr w:rsidR="00F442B4" w:rsidRPr="00A875E0" w:rsidTr="001F24BB">
        <w:trPr>
          <w:trHeight w:val="897"/>
        </w:trPr>
        <w:tc>
          <w:tcPr>
            <w:tcW w:w="2975" w:type="dxa"/>
            <w:gridSpan w:val="2"/>
          </w:tcPr>
          <w:p w:rsidR="007A6559" w:rsidRPr="00A875E0" w:rsidRDefault="00E17893" w:rsidP="00A875E0">
            <w:pPr>
              <w:pStyle w:val="a3"/>
              <w:ind w:left="74"/>
              <w:jc w:val="center"/>
              <w:rPr>
                <w:color w:val="000000"/>
              </w:rPr>
            </w:pPr>
            <w:r w:rsidRPr="00A875E0">
              <w:t>Средство лечения геморроя</w:t>
            </w:r>
          </w:p>
        </w:tc>
        <w:tc>
          <w:tcPr>
            <w:tcW w:w="2078" w:type="dxa"/>
          </w:tcPr>
          <w:p w:rsidR="007A6559" w:rsidRPr="00A875E0" w:rsidRDefault="00E17893" w:rsidP="00A875E0">
            <w:pPr>
              <w:pStyle w:val="a3"/>
              <w:ind w:left="74"/>
              <w:jc w:val="center"/>
              <w:rPr>
                <w:color w:val="000000"/>
              </w:rPr>
            </w:pPr>
            <w:r w:rsidRPr="00A875E0">
              <w:rPr>
                <w:color w:val="000000"/>
              </w:rPr>
              <w:t>Проктозан</w:t>
            </w:r>
          </w:p>
        </w:tc>
        <w:tc>
          <w:tcPr>
            <w:tcW w:w="2373" w:type="dxa"/>
          </w:tcPr>
          <w:p w:rsidR="007A6559" w:rsidRPr="00A875E0" w:rsidRDefault="00E17893" w:rsidP="00A875E0">
            <w:pPr>
              <w:pStyle w:val="a3"/>
              <w:ind w:left="74"/>
              <w:jc w:val="center"/>
              <w:rPr>
                <w:color w:val="000000"/>
              </w:rPr>
            </w:pPr>
            <w:r w:rsidRPr="00A875E0">
              <w:rPr>
                <w:color w:val="000000"/>
              </w:rPr>
              <w:t>Проктозан</w:t>
            </w:r>
          </w:p>
        </w:tc>
        <w:tc>
          <w:tcPr>
            <w:tcW w:w="2111" w:type="dxa"/>
          </w:tcPr>
          <w:p w:rsidR="007A6559" w:rsidRPr="00A875E0" w:rsidRDefault="00E17893" w:rsidP="00A875E0">
            <w:pPr>
              <w:pStyle w:val="a3"/>
              <w:ind w:left="74"/>
              <w:jc w:val="center"/>
              <w:rPr>
                <w:color w:val="000000"/>
              </w:rPr>
            </w:pPr>
            <w:r w:rsidRPr="00A875E0">
              <w:rPr>
                <w:lang w:eastAsia="en-US"/>
              </w:rPr>
              <w:t>C05AX02</w:t>
            </w:r>
          </w:p>
        </w:tc>
      </w:tr>
      <w:tr w:rsidR="00AB5D8E" w:rsidRPr="00A875E0" w:rsidTr="001F24BB">
        <w:trPr>
          <w:trHeight w:val="860"/>
        </w:trPr>
        <w:tc>
          <w:tcPr>
            <w:tcW w:w="2975" w:type="dxa"/>
            <w:gridSpan w:val="2"/>
          </w:tcPr>
          <w:p w:rsidR="007A6559" w:rsidRPr="00A875E0" w:rsidRDefault="00BD6923" w:rsidP="00A875E0">
            <w:pPr>
              <w:pStyle w:val="a3"/>
              <w:ind w:left="74"/>
              <w:jc w:val="center"/>
              <w:rPr>
                <w:color w:val="000000"/>
              </w:rPr>
            </w:pPr>
            <w:r w:rsidRPr="00A875E0">
              <w:rPr>
                <w:color w:val="000000"/>
              </w:rPr>
              <w:t>Спазмолитическое средство</w:t>
            </w:r>
          </w:p>
        </w:tc>
        <w:tc>
          <w:tcPr>
            <w:tcW w:w="2078" w:type="dxa"/>
          </w:tcPr>
          <w:p w:rsidR="007A6559" w:rsidRPr="00A875E0" w:rsidRDefault="00E17893" w:rsidP="00A875E0">
            <w:pPr>
              <w:pStyle w:val="a3"/>
              <w:ind w:left="74"/>
              <w:jc w:val="center"/>
              <w:rPr>
                <w:color w:val="000000"/>
              </w:rPr>
            </w:pPr>
            <w:r w:rsidRPr="00A875E0">
              <w:rPr>
                <w:color w:val="000000"/>
              </w:rPr>
              <w:t>Но-шпа</w:t>
            </w:r>
          </w:p>
        </w:tc>
        <w:tc>
          <w:tcPr>
            <w:tcW w:w="2373" w:type="dxa"/>
          </w:tcPr>
          <w:p w:rsidR="007A6559" w:rsidRPr="00A875E0" w:rsidRDefault="00A875E0" w:rsidP="00A875E0">
            <w:pPr>
              <w:pStyle w:val="a3"/>
              <w:ind w:left="74"/>
              <w:jc w:val="center"/>
              <w:rPr>
                <w:color w:val="000000"/>
              </w:rPr>
            </w:pPr>
            <w:r w:rsidRPr="00A875E0">
              <w:rPr>
                <w:color w:val="000000"/>
              </w:rPr>
              <w:t>Дротаверин</w:t>
            </w:r>
          </w:p>
        </w:tc>
        <w:tc>
          <w:tcPr>
            <w:tcW w:w="2111" w:type="dxa"/>
          </w:tcPr>
          <w:p w:rsidR="007A6559" w:rsidRPr="00A875E0" w:rsidRDefault="00A875E0" w:rsidP="00A875E0">
            <w:pPr>
              <w:pStyle w:val="a3"/>
              <w:ind w:left="74"/>
              <w:jc w:val="center"/>
              <w:rPr>
                <w:color w:val="000000"/>
              </w:rPr>
            </w:pPr>
            <w:r w:rsidRPr="00A875E0">
              <w:t>A03AD02</w:t>
            </w:r>
          </w:p>
        </w:tc>
      </w:tr>
      <w:tr w:rsidR="00AB5D8E" w:rsidRPr="00A875E0" w:rsidTr="001F24BB">
        <w:trPr>
          <w:trHeight w:val="786"/>
        </w:trPr>
        <w:tc>
          <w:tcPr>
            <w:tcW w:w="2975" w:type="dxa"/>
            <w:gridSpan w:val="2"/>
          </w:tcPr>
          <w:p w:rsidR="007A6559" w:rsidRPr="00A875E0" w:rsidRDefault="00BD6923" w:rsidP="00A875E0">
            <w:pPr>
              <w:pStyle w:val="a3"/>
              <w:jc w:val="center"/>
              <w:rPr>
                <w:color w:val="000000"/>
              </w:rPr>
            </w:pPr>
            <w:r w:rsidRPr="00A875E0">
              <w:rPr>
                <w:color w:val="000000"/>
              </w:rPr>
              <w:t>Ноотропное средство</w:t>
            </w:r>
          </w:p>
        </w:tc>
        <w:tc>
          <w:tcPr>
            <w:tcW w:w="2078" w:type="dxa"/>
          </w:tcPr>
          <w:p w:rsidR="007A6559" w:rsidRPr="00A875E0" w:rsidRDefault="00A875E0" w:rsidP="00A875E0">
            <w:pPr>
              <w:pStyle w:val="a3"/>
              <w:ind w:left="74"/>
              <w:jc w:val="center"/>
              <w:rPr>
                <w:color w:val="000000"/>
              </w:rPr>
            </w:pPr>
            <w:r w:rsidRPr="00A875E0">
              <w:rPr>
                <w:color w:val="000000"/>
              </w:rPr>
              <w:t>Пантогам</w:t>
            </w:r>
          </w:p>
        </w:tc>
        <w:tc>
          <w:tcPr>
            <w:tcW w:w="2373" w:type="dxa"/>
          </w:tcPr>
          <w:p w:rsidR="007A6559" w:rsidRPr="00A875E0" w:rsidRDefault="00A875E0" w:rsidP="00A875E0">
            <w:pPr>
              <w:pStyle w:val="a3"/>
              <w:ind w:left="74"/>
              <w:jc w:val="center"/>
              <w:rPr>
                <w:color w:val="000000"/>
              </w:rPr>
            </w:pPr>
            <w:r w:rsidRPr="00A875E0">
              <w:rPr>
                <w:color w:val="000000"/>
              </w:rPr>
              <w:t>Гопантеновая кислота</w:t>
            </w:r>
          </w:p>
        </w:tc>
        <w:tc>
          <w:tcPr>
            <w:tcW w:w="2111" w:type="dxa"/>
          </w:tcPr>
          <w:p w:rsidR="007A6559" w:rsidRPr="00A875E0" w:rsidRDefault="00A875E0" w:rsidP="00A875E0">
            <w:pPr>
              <w:pStyle w:val="a3"/>
              <w:ind w:left="74"/>
              <w:jc w:val="center"/>
              <w:rPr>
                <w:color w:val="000000"/>
              </w:rPr>
            </w:pPr>
            <w:r w:rsidRPr="00A875E0">
              <w:rPr>
                <w:color w:val="000000"/>
                <w:shd w:val="clear" w:color="auto" w:fill="FFFFFF"/>
              </w:rPr>
              <w:t>N06BX</w:t>
            </w:r>
          </w:p>
        </w:tc>
      </w:tr>
      <w:tr w:rsidR="00AB5D8E" w:rsidRPr="00A875E0" w:rsidTr="001F24BB">
        <w:trPr>
          <w:trHeight w:val="916"/>
        </w:trPr>
        <w:tc>
          <w:tcPr>
            <w:tcW w:w="2975" w:type="dxa"/>
            <w:gridSpan w:val="2"/>
          </w:tcPr>
          <w:p w:rsidR="007A6559" w:rsidRPr="00A875E0" w:rsidRDefault="001F24BB" w:rsidP="00A875E0">
            <w:pPr>
              <w:tabs>
                <w:tab w:val="left" w:pos="708"/>
              </w:tabs>
              <w:suppressAutoHyphens/>
              <w:spacing w:after="0" w:line="240" w:lineRule="auto"/>
              <w:jc w:val="center"/>
              <w:rPr>
                <w:rFonts w:ascii="Times New Roman" w:hAnsi="Times New Roman"/>
                <w:color w:val="000000"/>
                <w:sz w:val="24"/>
                <w:szCs w:val="24"/>
              </w:rPr>
            </w:pPr>
            <w:proofErr w:type="gramStart"/>
            <w:r w:rsidRPr="00A875E0">
              <w:rPr>
                <w:rFonts w:ascii="Times New Roman" w:hAnsi="Times New Roman"/>
                <w:sz w:val="24"/>
                <w:szCs w:val="24"/>
              </w:rPr>
              <w:t>Противоаллергическое</w:t>
            </w:r>
            <w:proofErr w:type="gramEnd"/>
            <w:r w:rsidRPr="00A875E0">
              <w:rPr>
                <w:rFonts w:ascii="Times New Roman" w:hAnsi="Times New Roman"/>
                <w:sz w:val="24"/>
                <w:szCs w:val="24"/>
              </w:rPr>
              <w:t xml:space="preserve"> средство-Н1 </w:t>
            </w:r>
            <w:proofErr w:type="spellStart"/>
            <w:r w:rsidRPr="00A875E0">
              <w:rPr>
                <w:rFonts w:ascii="Times New Roman" w:hAnsi="Times New Roman"/>
                <w:sz w:val="24"/>
                <w:szCs w:val="24"/>
              </w:rPr>
              <w:t>гистаминовых</w:t>
            </w:r>
            <w:proofErr w:type="spellEnd"/>
            <w:r w:rsidRPr="00A875E0">
              <w:rPr>
                <w:rFonts w:ascii="Times New Roman" w:hAnsi="Times New Roman"/>
                <w:sz w:val="24"/>
                <w:szCs w:val="24"/>
              </w:rPr>
              <w:t xml:space="preserve"> рецепторов </w:t>
            </w:r>
            <w:proofErr w:type="spellStart"/>
            <w:r w:rsidRPr="00A875E0">
              <w:rPr>
                <w:rFonts w:ascii="Times New Roman" w:hAnsi="Times New Roman"/>
                <w:sz w:val="24"/>
                <w:szCs w:val="24"/>
              </w:rPr>
              <w:t>блокатор</w:t>
            </w:r>
            <w:proofErr w:type="spellEnd"/>
          </w:p>
        </w:tc>
        <w:tc>
          <w:tcPr>
            <w:tcW w:w="2078" w:type="dxa"/>
          </w:tcPr>
          <w:p w:rsidR="007A6559" w:rsidRPr="00A875E0" w:rsidRDefault="00A875E0" w:rsidP="00A875E0">
            <w:pPr>
              <w:pStyle w:val="a3"/>
              <w:ind w:left="74"/>
              <w:jc w:val="center"/>
              <w:rPr>
                <w:color w:val="000000"/>
              </w:rPr>
            </w:pPr>
            <w:r w:rsidRPr="00A875E0">
              <w:rPr>
                <w:color w:val="000000"/>
              </w:rPr>
              <w:t>Эриус</w:t>
            </w:r>
          </w:p>
        </w:tc>
        <w:tc>
          <w:tcPr>
            <w:tcW w:w="2373" w:type="dxa"/>
          </w:tcPr>
          <w:p w:rsidR="007A6559" w:rsidRPr="00A875E0" w:rsidRDefault="00A875E0" w:rsidP="00A875E0">
            <w:pPr>
              <w:pStyle w:val="a3"/>
              <w:ind w:left="74"/>
              <w:jc w:val="center"/>
              <w:rPr>
                <w:color w:val="000000"/>
              </w:rPr>
            </w:pPr>
            <w:r w:rsidRPr="00A875E0">
              <w:rPr>
                <w:color w:val="000000"/>
              </w:rPr>
              <w:t>Дезлоратадин</w:t>
            </w:r>
          </w:p>
        </w:tc>
        <w:tc>
          <w:tcPr>
            <w:tcW w:w="2111" w:type="dxa"/>
          </w:tcPr>
          <w:p w:rsidR="007A6559" w:rsidRPr="00A875E0" w:rsidRDefault="00A875E0" w:rsidP="00A875E0">
            <w:pPr>
              <w:pStyle w:val="a3"/>
              <w:ind w:left="74"/>
              <w:jc w:val="center"/>
              <w:rPr>
                <w:color w:val="000000"/>
              </w:rPr>
            </w:pPr>
            <w:r w:rsidRPr="00A875E0">
              <w:rPr>
                <w:color w:val="000000"/>
                <w:shd w:val="clear" w:color="auto" w:fill="FFFFFF"/>
              </w:rPr>
              <w:t>R06AX27</w:t>
            </w:r>
          </w:p>
        </w:tc>
      </w:tr>
      <w:tr w:rsidR="00AB5D8E" w:rsidRPr="00A875E0" w:rsidTr="001F24BB">
        <w:trPr>
          <w:trHeight w:val="1477"/>
        </w:trPr>
        <w:tc>
          <w:tcPr>
            <w:tcW w:w="2975" w:type="dxa"/>
            <w:gridSpan w:val="2"/>
          </w:tcPr>
          <w:p w:rsidR="007A6559" w:rsidRPr="00A875E0" w:rsidRDefault="001F24BB" w:rsidP="00A875E0">
            <w:pPr>
              <w:pStyle w:val="a3"/>
              <w:ind w:left="74"/>
              <w:jc w:val="center"/>
              <w:rPr>
                <w:color w:val="000000"/>
              </w:rPr>
            </w:pPr>
            <w:r w:rsidRPr="00A875E0">
              <w:t>Противогрибковое средство</w:t>
            </w:r>
          </w:p>
        </w:tc>
        <w:tc>
          <w:tcPr>
            <w:tcW w:w="2078" w:type="dxa"/>
          </w:tcPr>
          <w:p w:rsidR="007A6559" w:rsidRPr="00A875E0" w:rsidRDefault="00A875E0" w:rsidP="00A875E0">
            <w:pPr>
              <w:pStyle w:val="a3"/>
              <w:ind w:left="74"/>
              <w:jc w:val="center"/>
              <w:rPr>
                <w:color w:val="000000"/>
              </w:rPr>
            </w:pPr>
            <w:r w:rsidRPr="00A875E0">
              <w:rPr>
                <w:color w:val="000000"/>
              </w:rPr>
              <w:t>Пимафуцин</w:t>
            </w:r>
          </w:p>
        </w:tc>
        <w:tc>
          <w:tcPr>
            <w:tcW w:w="2373" w:type="dxa"/>
          </w:tcPr>
          <w:p w:rsidR="007A6559" w:rsidRPr="00A875E0" w:rsidRDefault="00A875E0" w:rsidP="00A875E0">
            <w:pPr>
              <w:pStyle w:val="a3"/>
              <w:ind w:left="74"/>
              <w:jc w:val="center"/>
              <w:rPr>
                <w:color w:val="000000"/>
              </w:rPr>
            </w:pPr>
            <w:r w:rsidRPr="00A875E0">
              <w:rPr>
                <w:color w:val="000000"/>
              </w:rPr>
              <w:t>Натамицин</w:t>
            </w:r>
          </w:p>
        </w:tc>
        <w:tc>
          <w:tcPr>
            <w:tcW w:w="2111" w:type="dxa"/>
          </w:tcPr>
          <w:p w:rsidR="007A6559" w:rsidRPr="00A875E0" w:rsidRDefault="00A875E0" w:rsidP="00A875E0">
            <w:pPr>
              <w:pStyle w:val="a3"/>
              <w:ind w:left="74"/>
              <w:jc w:val="center"/>
              <w:rPr>
                <w:color w:val="000000"/>
              </w:rPr>
            </w:pPr>
            <w:r w:rsidRPr="00A875E0">
              <w:rPr>
                <w:lang w:eastAsia="en-US"/>
              </w:rPr>
              <w:t>G01AA02</w:t>
            </w:r>
          </w:p>
        </w:tc>
      </w:tr>
    </w:tbl>
    <w:p w:rsidR="00827368" w:rsidRPr="00827368" w:rsidRDefault="00827368" w:rsidP="00827368">
      <w:pPr>
        <w:pStyle w:val="1"/>
        <w:rPr>
          <w:rFonts w:ascii="Times New Roman" w:eastAsia="Times New Roman" w:hAnsi="Times New Roman" w:cs="Times New Roman"/>
          <w:color w:val="000000" w:themeColor="text1"/>
          <w:lang w:eastAsia="ru-RU"/>
        </w:rPr>
      </w:pPr>
      <w:r w:rsidRPr="00827368">
        <w:rPr>
          <w:rFonts w:ascii="Times New Roman" w:eastAsia="Times New Roman" w:hAnsi="Times New Roman" w:cs="Times New Roman"/>
          <w:color w:val="000000" w:themeColor="text1"/>
          <w:lang w:eastAsia="ru-RU"/>
        </w:rPr>
        <w:t xml:space="preserve">№61-ФЗ от 12.04.2010г. «Об обращении лекарственных средств» </w:t>
      </w:r>
    </w:p>
    <w:p w:rsidR="00827368" w:rsidRDefault="00827368" w:rsidP="00827368">
      <w:pPr>
        <w:rPr>
          <w:rFonts w:ascii="Times New Roman" w:hAnsi="Times New Roman"/>
          <w:sz w:val="28"/>
          <w:szCs w:val="28"/>
          <w:lang w:eastAsia="ru-RU"/>
        </w:rPr>
      </w:pPr>
      <w:r w:rsidRPr="00827368">
        <w:rPr>
          <w:rFonts w:ascii="Times New Roman" w:hAnsi="Times New Roman"/>
          <w:sz w:val="28"/>
          <w:szCs w:val="28"/>
          <w:lang w:eastAsia="ru-RU"/>
        </w:rPr>
        <w:t xml:space="preserve">Правила маркировки лекарственных средств </w:t>
      </w:r>
    </w:p>
    <w:p w:rsidR="00827368" w:rsidRPr="00B92E15" w:rsidRDefault="00827368" w:rsidP="00827368">
      <w:pPr>
        <w:suppressAutoHyphens/>
        <w:spacing w:after="0" w:line="240" w:lineRule="auto"/>
        <w:jc w:val="both"/>
        <w:rPr>
          <w:rFonts w:ascii="Times New Roman" w:hAnsi="Times New Roman"/>
          <w:sz w:val="28"/>
          <w:szCs w:val="28"/>
        </w:rPr>
      </w:pPr>
      <w:r w:rsidRPr="00B92E15">
        <w:rPr>
          <w:rFonts w:ascii="Times New Roman" w:hAnsi="Times New Roman"/>
          <w:sz w:val="28"/>
          <w:szCs w:val="28"/>
        </w:rPr>
        <w:t>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827368" w:rsidRPr="00B92E15" w:rsidRDefault="00827368" w:rsidP="00827368">
      <w:pPr>
        <w:suppressAutoHyphens/>
        <w:spacing w:after="0" w:line="240" w:lineRule="auto"/>
        <w:jc w:val="both"/>
        <w:rPr>
          <w:rFonts w:ascii="Times New Roman" w:hAnsi="Times New Roman"/>
          <w:sz w:val="28"/>
          <w:szCs w:val="28"/>
        </w:rPr>
      </w:pPr>
      <w:proofErr w:type="gramStart"/>
      <w:r w:rsidRPr="00B92E15">
        <w:rPr>
          <w:rFonts w:ascii="Times New Roman" w:hAnsi="Times New Roman"/>
          <w:sz w:val="28"/>
          <w:szCs w:val="28"/>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827368" w:rsidRPr="00B92E15" w:rsidRDefault="00827368" w:rsidP="00827368">
      <w:pPr>
        <w:suppressAutoHyphens/>
        <w:spacing w:after="0" w:line="240" w:lineRule="auto"/>
        <w:jc w:val="both"/>
        <w:rPr>
          <w:rFonts w:ascii="Times New Roman" w:hAnsi="Times New Roman"/>
          <w:sz w:val="28"/>
          <w:szCs w:val="28"/>
        </w:rPr>
      </w:pPr>
      <w:proofErr w:type="gramStart"/>
      <w:r w:rsidRPr="00B92E15">
        <w:rPr>
          <w:rFonts w:ascii="Times New Roman" w:hAnsi="Times New Roman"/>
          <w:sz w:val="28"/>
          <w:szCs w:val="28"/>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w:t>
      </w:r>
      <w:r w:rsidRPr="00B92E15">
        <w:rPr>
          <w:rFonts w:ascii="Times New Roman" w:hAnsi="Times New Roman"/>
          <w:sz w:val="28"/>
          <w:szCs w:val="28"/>
        </w:rPr>
        <w:lastRenderedPageBreak/>
        <w:t>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rsidRPr="00B92E15">
        <w:rPr>
          <w:rFonts w:ascii="Times New Roman" w:hAnsi="Times New Roman"/>
          <w:sz w:val="28"/>
          <w:szCs w:val="28"/>
        </w:rPr>
        <w:t xml:space="preserve"> отпуска, условия хранения, предупредительные надписи.</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На вторичную (потребительскую) упаковку гомеопатических лекарственных препаратов должна наноситься надпись: "Гомеопатический".</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Упаковка лекарственных средств, предназначенных исключительно для экспорта, маркируется в соответствии с требованиями страны-импортера.</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w:t>
      </w:r>
      <w:proofErr w:type="gramStart"/>
      <w:r w:rsidRPr="00B92E15">
        <w:rPr>
          <w:rFonts w:ascii="Times New Roman" w:hAnsi="Times New Roman"/>
          <w:sz w:val="28"/>
          <w:szCs w:val="28"/>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B92E15">
        <w:rPr>
          <w:rFonts w:ascii="Times New Roman" w:hAnsi="Times New Roman"/>
          <w:sz w:val="28"/>
          <w:szCs w:val="28"/>
        </w:rPr>
        <w:t xml:space="preserve"> об условиях его хранения и перевозки, необходимые предупредительные надписи и манипуляторные знаки.</w:t>
      </w:r>
    </w:p>
    <w:p w:rsidR="00827368" w:rsidRPr="00B92E15"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На первичную упаковку и вторичную (потребительскую) упаковку лекарственных сре</w:t>
      </w:r>
      <w:proofErr w:type="gramStart"/>
      <w:r w:rsidRPr="00B92E15">
        <w:rPr>
          <w:rFonts w:ascii="Times New Roman" w:hAnsi="Times New Roman"/>
          <w:sz w:val="28"/>
          <w:szCs w:val="28"/>
        </w:rPr>
        <w:t>дств дл</w:t>
      </w:r>
      <w:proofErr w:type="gramEnd"/>
      <w:r w:rsidRPr="00B92E15">
        <w:rPr>
          <w:rFonts w:ascii="Times New Roman" w:hAnsi="Times New Roman"/>
          <w:sz w:val="28"/>
          <w:szCs w:val="28"/>
        </w:rPr>
        <w:t>я ветеринарного применения должна наноситься надпись: "Для ветеринарного применения".</w:t>
      </w:r>
    </w:p>
    <w:p w:rsidR="00827368" w:rsidRDefault="00827368" w:rsidP="0082736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B92E15">
        <w:rPr>
          <w:rFonts w:ascii="Times New Roman" w:hAnsi="Times New Roman"/>
          <w:sz w:val="28"/>
          <w:szCs w:val="28"/>
        </w:rPr>
        <w:t xml:space="preserve"> На вторичную (потребительскую) упаковку лекарственного препарата наносится штриховой код.</w:t>
      </w:r>
    </w:p>
    <w:p w:rsidR="00F60C99" w:rsidRDefault="00F60C99" w:rsidP="00827368">
      <w:pPr>
        <w:suppressAutoHyphens/>
        <w:spacing w:after="0" w:line="240" w:lineRule="auto"/>
        <w:jc w:val="both"/>
        <w:rPr>
          <w:rFonts w:ascii="Times New Roman" w:hAnsi="Times New Roman"/>
          <w:sz w:val="28"/>
          <w:szCs w:val="28"/>
        </w:rPr>
      </w:pPr>
    </w:p>
    <w:p w:rsidR="00A60339" w:rsidRDefault="00A60339" w:rsidP="00827368">
      <w:pPr>
        <w:suppressAutoHyphens/>
        <w:spacing w:after="0" w:line="240" w:lineRule="auto"/>
        <w:jc w:val="both"/>
        <w:rPr>
          <w:rFonts w:ascii="Times New Roman" w:hAnsi="Times New Roman"/>
          <w:sz w:val="28"/>
          <w:szCs w:val="28"/>
        </w:rPr>
      </w:pPr>
    </w:p>
    <w:p w:rsidR="00827368" w:rsidRDefault="00827368" w:rsidP="00827368">
      <w:pPr>
        <w:suppressAutoHyphens/>
        <w:spacing w:after="0" w:line="240" w:lineRule="auto"/>
        <w:jc w:val="both"/>
        <w:rPr>
          <w:rFonts w:ascii="Times New Roman" w:hAnsi="Times New Roman"/>
          <w:sz w:val="28"/>
          <w:szCs w:val="28"/>
        </w:rPr>
      </w:pPr>
    </w:p>
    <w:p w:rsidR="000061DA" w:rsidRPr="002C00A3" w:rsidRDefault="000061DA" w:rsidP="000061DA">
      <w:pPr>
        <w:pStyle w:val="ConsPlusNormal"/>
        <w:spacing w:before="240" w:line="360" w:lineRule="auto"/>
        <w:ind w:firstLine="426"/>
        <w:jc w:val="both"/>
        <w:rPr>
          <w:rFonts w:eastAsia="Times New Roman"/>
          <w:b/>
          <w:i/>
          <w:sz w:val="28"/>
          <w:szCs w:val="28"/>
        </w:rPr>
      </w:pPr>
      <w:r w:rsidRPr="002C00A3">
        <w:rPr>
          <w:b/>
          <w:sz w:val="28"/>
          <w:szCs w:val="28"/>
        </w:rPr>
        <w:lastRenderedPageBreak/>
        <w:t>Приказ МЗ РФ от 31.08.2016 № 647н</w:t>
      </w:r>
      <w:r w:rsidRPr="002C00A3">
        <w:rPr>
          <w:b/>
          <w:sz w:val="28"/>
          <w:szCs w:val="28"/>
        </w:rPr>
        <w:br/>
        <w:t>"Об утверждении Правил надлежащей аптечной практики лекарственных препаратов для медицинского применения"</w:t>
      </w:r>
    </w:p>
    <w:p w:rsidR="000061DA" w:rsidRPr="002C00A3" w:rsidRDefault="000061DA" w:rsidP="000061DA">
      <w:pPr>
        <w:pStyle w:val="ConsPlusNormal"/>
        <w:spacing w:before="240" w:line="360" w:lineRule="auto"/>
        <w:ind w:firstLine="426"/>
        <w:jc w:val="both"/>
        <w:rPr>
          <w:sz w:val="28"/>
          <w:szCs w:val="28"/>
        </w:rPr>
      </w:pPr>
      <w:r w:rsidRPr="002C00A3">
        <w:rPr>
          <w:sz w:val="28"/>
          <w:szCs w:val="28"/>
        </w:rPr>
        <w:t>Помещения для хранения лекарственных препаратов должны быть оснащены оборудованием, позволяющим обеспечить их хранение с учетом требований надлежащей практики хранения и перевозки лекарственных препаратов.</w:t>
      </w:r>
    </w:p>
    <w:p w:rsidR="000061DA" w:rsidRPr="002C00A3" w:rsidRDefault="000061DA" w:rsidP="000061DA">
      <w:pPr>
        <w:pStyle w:val="ConsPlusNormal"/>
        <w:spacing w:before="240" w:line="360" w:lineRule="auto"/>
        <w:ind w:firstLine="426"/>
        <w:jc w:val="both"/>
        <w:rPr>
          <w:sz w:val="28"/>
          <w:szCs w:val="28"/>
        </w:rPr>
      </w:pPr>
      <w:r w:rsidRPr="002C00A3">
        <w:rPr>
          <w:sz w:val="28"/>
          <w:szCs w:val="28"/>
        </w:rPr>
        <w:t>Помещения, а также оборудование, используемое субъектом розничной торговли при осуществлении деятельности, должны отвечать санитарным требованиям пожарной безопасности, а также технике безопасности в соответствии с законодательством Российской Федерации.</w:t>
      </w:r>
    </w:p>
    <w:p w:rsidR="000061DA" w:rsidRPr="002C00A3" w:rsidRDefault="000061DA" w:rsidP="000061DA">
      <w:pPr>
        <w:spacing w:line="360" w:lineRule="auto"/>
        <w:ind w:firstLine="426"/>
        <w:jc w:val="both"/>
        <w:rPr>
          <w:rFonts w:ascii="Times New Roman" w:eastAsiaTheme="minorEastAsia" w:hAnsi="Times New Roman"/>
          <w:b/>
          <w:bCs/>
          <w:sz w:val="28"/>
          <w:szCs w:val="28"/>
          <w:lang w:eastAsia="ru-RU"/>
        </w:rPr>
      </w:pPr>
      <w:r w:rsidRPr="002C00A3">
        <w:rPr>
          <w:rFonts w:ascii="Times New Roman" w:hAnsi="Times New Roman"/>
          <w:b/>
          <w:sz w:val="28"/>
          <w:szCs w:val="28"/>
        </w:rPr>
        <w:t xml:space="preserve">Приказ МЗ от 23.08.2010 г. </w:t>
      </w:r>
      <w:r>
        <w:rPr>
          <w:rFonts w:ascii="Times New Roman" w:hAnsi="Times New Roman"/>
          <w:b/>
          <w:sz w:val="28"/>
          <w:szCs w:val="28"/>
        </w:rPr>
        <w:t>№</w:t>
      </w:r>
      <w:r w:rsidRPr="002C00A3">
        <w:rPr>
          <w:rFonts w:ascii="Times New Roman" w:hAnsi="Times New Roman"/>
          <w:b/>
          <w:sz w:val="28"/>
          <w:szCs w:val="28"/>
        </w:rPr>
        <w:t xml:space="preserve"> 706н «Об утверждении правил хранения лекарственных средств» </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 xml:space="preserve">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Показания этих приборов должны ежедневно регистрироваться в специальном журнале регистрации на бумажном носителе или в электронном виде с архивацией (для электронных гигрометров), который ведется ответственным лицом. Журнал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 xml:space="preserve">В помещениях для хранения лекарственные средства размещают в </w:t>
      </w:r>
      <w:r w:rsidRPr="002C00A3">
        <w:rPr>
          <w:rFonts w:ascii="Times New Roman" w:hAnsi="Times New Roman" w:cs="Times New Roman"/>
          <w:b w:val="0"/>
          <w:sz w:val="28"/>
          <w:szCs w:val="28"/>
        </w:rPr>
        <w:lastRenderedPageBreak/>
        <w:t>соответствии с требованиями нормативной документации, указанной на упаковке лекарственного препарата, с учетом:</w:t>
      </w:r>
    </w:p>
    <w:p w:rsidR="000061DA" w:rsidRPr="002C00A3" w:rsidRDefault="000061DA" w:rsidP="000061DA">
      <w:pPr>
        <w:pStyle w:val="ConsPlusTitle"/>
        <w:numPr>
          <w:ilvl w:val="0"/>
          <w:numId w:val="10"/>
        </w:numPr>
        <w:spacing w:line="360" w:lineRule="auto"/>
        <w:jc w:val="both"/>
        <w:rPr>
          <w:rFonts w:ascii="Times New Roman" w:hAnsi="Times New Roman" w:cs="Times New Roman"/>
          <w:b w:val="0"/>
          <w:sz w:val="28"/>
          <w:szCs w:val="28"/>
        </w:rPr>
      </w:pPr>
      <w:r w:rsidRPr="002C00A3">
        <w:rPr>
          <w:rFonts w:ascii="Times New Roman" w:hAnsi="Times New Roman" w:cs="Times New Roman"/>
          <w:b w:val="0"/>
          <w:sz w:val="28"/>
          <w:szCs w:val="28"/>
        </w:rPr>
        <w:t>физико-химических свойств лекарственных средств;</w:t>
      </w:r>
    </w:p>
    <w:p w:rsidR="000061DA" w:rsidRPr="002C00A3" w:rsidRDefault="000061DA" w:rsidP="000061DA">
      <w:pPr>
        <w:pStyle w:val="ConsPlusTitle"/>
        <w:numPr>
          <w:ilvl w:val="0"/>
          <w:numId w:val="10"/>
        </w:numPr>
        <w:spacing w:line="360" w:lineRule="auto"/>
        <w:jc w:val="both"/>
        <w:rPr>
          <w:rFonts w:ascii="Times New Roman" w:hAnsi="Times New Roman" w:cs="Times New Roman"/>
          <w:b w:val="0"/>
          <w:sz w:val="28"/>
          <w:szCs w:val="28"/>
        </w:rPr>
      </w:pPr>
      <w:r w:rsidRPr="002C00A3">
        <w:rPr>
          <w:rFonts w:ascii="Times New Roman" w:hAnsi="Times New Roman" w:cs="Times New Roman"/>
          <w:b w:val="0"/>
          <w:sz w:val="28"/>
          <w:szCs w:val="28"/>
        </w:rPr>
        <w:t>фармакологических групп (для аптечных и медицинских организаций);</w:t>
      </w:r>
    </w:p>
    <w:p w:rsidR="000061DA" w:rsidRPr="002C00A3" w:rsidRDefault="000061DA" w:rsidP="000061DA">
      <w:pPr>
        <w:pStyle w:val="ConsPlusTitle"/>
        <w:numPr>
          <w:ilvl w:val="0"/>
          <w:numId w:val="10"/>
        </w:numPr>
        <w:spacing w:line="360" w:lineRule="auto"/>
        <w:jc w:val="both"/>
        <w:rPr>
          <w:rFonts w:ascii="Times New Roman" w:hAnsi="Times New Roman" w:cs="Times New Roman"/>
          <w:b w:val="0"/>
          <w:sz w:val="28"/>
          <w:szCs w:val="28"/>
        </w:rPr>
      </w:pPr>
      <w:r w:rsidRPr="002C00A3">
        <w:rPr>
          <w:rFonts w:ascii="Times New Roman" w:hAnsi="Times New Roman" w:cs="Times New Roman"/>
          <w:b w:val="0"/>
          <w:sz w:val="28"/>
          <w:szCs w:val="28"/>
        </w:rPr>
        <w:t>способа применения (внутреннее, наружное);</w:t>
      </w:r>
    </w:p>
    <w:p w:rsidR="000061DA" w:rsidRPr="002C00A3" w:rsidRDefault="000061DA" w:rsidP="000061DA">
      <w:pPr>
        <w:pStyle w:val="ConsPlusTitle"/>
        <w:numPr>
          <w:ilvl w:val="0"/>
          <w:numId w:val="10"/>
        </w:numPr>
        <w:spacing w:line="360" w:lineRule="auto"/>
        <w:jc w:val="both"/>
        <w:rPr>
          <w:rFonts w:ascii="Times New Roman" w:hAnsi="Times New Roman" w:cs="Times New Roman"/>
          <w:b w:val="0"/>
          <w:sz w:val="28"/>
          <w:szCs w:val="28"/>
        </w:rPr>
      </w:pPr>
      <w:proofErr w:type="gramStart"/>
      <w:r w:rsidRPr="002C00A3">
        <w:rPr>
          <w:rFonts w:ascii="Times New Roman" w:hAnsi="Times New Roman" w:cs="Times New Roman"/>
          <w:b w:val="0"/>
          <w:sz w:val="28"/>
          <w:szCs w:val="28"/>
        </w:rPr>
        <w:t>агрегатного состояния фармацевтических субстанций (жидкие, сыпучие, газообразные).</w:t>
      </w:r>
      <w:proofErr w:type="gramEnd"/>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При размещении лекарственных средств допускается использование компьютерных технологий (по алфавитному принципу, по кодам).</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Отдельно, в технически укрепленных помещениях, соответствующих требованиям Федерального закона от 8 января 1998 г. N 3-ФЗ "О наркотических средствах и психотропных веществах", хранятся:</w:t>
      </w:r>
    </w:p>
    <w:p w:rsidR="000061DA" w:rsidRPr="002C00A3" w:rsidRDefault="000061DA" w:rsidP="000061DA">
      <w:pPr>
        <w:pStyle w:val="ConsPlusTitle"/>
        <w:numPr>
          <w:ilvl w:val="0"/>
          <w:numId w:val="11"/>
        </w:numPr>
        <w:spacing w:line="360" w:lineRule="auto"/>
        <w:jc w:val="both"/>
        <w:rPr>
          <w:rFonts w:ascii="Times New Roman" w:hAnsi="Times New Roman" w:cs="Times New Roman"/>
          <w:b w:val="0"/>
          <w:sz w:val="28"/>
          <w:szCs w:val="28"/>
        </w:rPr>
      </w:pPr>
      <w:r w:rsidRPr="002C00A3">
        <w:rPr>
          <w:rFonts w:ascii="Times New Roman" w:hAnsi="Times New Roman" w:cs="Times New Roman"/>
          <w:b w:val="0"/>
          <w:sz w:val="28"/>
          <w:szCs w:val="28"/>
        </w:rPr>
        <w:t>наркотические и психотропные лекарственные средства;</w:t>
      </w:r>
    </w:p>
    <w:p w:rsidR="000061DA" w:rsidRPr="002C00A3" w:rsidRDefault="000061DA" w:rsidP="000061DA">
      <w:pPr>
        <w:pStyle w:val="ConsPlusTitle"/>
        <w:numPr>
          <w:ilvl w:val="0"/>
          <w:numId w:val="11"/>
        </w:numPr>
        <w:spacing w:line="360" w:lineRule="auto"/>
        <w:jc w:val="both"/>
        <w:rPr>
          <w:rFonts w:ascii="Times New Roman" w:hAnsi="Times New Roman" w:cs="Times New Roman"/>
          <w:b w:val="0"/>
          <w:sz w:val="28"/>
          <w:szCs w:val="28"/>
        </w:rPr>
      </w:pPr>
      <w:r w:rsidRPr="002C00A3">
        <w:rPr>
          <w:rFonts w:ascii="Times New Roman" w:hAnsi="Times New Roman" w:cs="Times New Roman"/>
          <w:b w:val="0"/>
          <w:sz w:val="28"/>
          <w:szCs w:val="28"/>
        </w:rPr>
        <w:t>сильнодействующие и ядовитые лекарственные средства, находящиеся под контролем в соответствии с международными правовыми нормами.</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Стеллажи для хранения лекарственных сре</w:t>
      </w:r>
      <w:proofErr w:type="gramStart"/>
      <w:r w:rsidRPr="002C00A3">
        <w:rPr>
          <w:rFonts w:ascii="Times New Roman" w:hAnsi="Times New Roman" w:cs="Times New Roman"/>
          <w:b w:val="0"/>
          <w:sz w:val="28"/>
          <w:szCs w:val="28"/>
        </w:rPr>
        <w:t>дств в п</w:t>
      </w:r>
      <w:proofErr w:type="gramEnd"/>
      <w:r w:rsidRPr="002C00A3">
        <w:rPr>
          <w:rFonts w:ascii="Times New Roman" w:hAnsi="Times New Roman" w:cs="Times New Roman"/>
          <w:b w:val="0"/>
          <w:sz w:val="28"/>
          <w:szCs w:val="28"/>
        </w:rPr>
        <w:t>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Стеллажи, шкафы, полки, предназначенные для хранения лекарственных средств, должны быть идентифицированы.</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0061DA" w:rsidRPr="002C00A3" w:rsidRDefault="000061DA" w:rsidP="000061DA">
      <w:pPr>
        <w:pStyle w:val="ConsPlusTitle"/>
        <w:spacing w:line="360" w:lineRule="auto"/>
        <w:ind w:firstLine="426"/>
        <w:jc w:val="both"/>
        <w:rPr>
          <w:rFonts w:ascii="Times New Roman" w:hAnsi="Times New Roman" w:cs="Times New Roman"/>
          <w:b w:val="0"/>
          <w:sz w:val="28"/>
          <w:szCs w:val="28"/>
        </w:rPr>
      </w:pPr>
      <w:r w:rsidRPr="002C00A3">
        <w:rPr>
          <w:rFonts w:ascii="Times New Roman" w:hAnsi="Times New Roman" w:cs="Times New Roman"/>
          <w:b w:val="0"/>
          <w:sz w:val="28"/>
          <w:szCs w:val="28"/>
        </w:rPr>
        <w:t xml:space="preserve">В организациях и у индивидуальных предпринимателей необходимо </w:t>
      </w:r>
      <w:r w:rsidRPr="002C00A3">
        <w:rPr>
          <w:rFonts w:ascii="Times New Roman" w:hAnsi="Times New Roman" w:cs="Times New Roman"/>
          <w:b w:val="0"/>
          <w:sz w:val="28"/>
          <w:szCs w:val="28"/>
        </w:rPr>
        <w:lastRenderedPageBreak/>
        <w:t xml:space="preserve">вести учет лекарственных средств с ограниченным сроком годности на бумажном носителе или в электронном виде с архивацией. </w:t>
      </w:r>
      <w:proofErr w:type="gramStart"/>
      <w:r w:rsidRPr="002C00A3">
        <w:rPr>
          <w:rFonts w:ascii="Times New Roman" w:hAnsi="Times New Roman" w:cs="Times New Roman"/>
          <w:b w:val="0"/>
          <w:sz w:val="28"/>
          <w:szCs w:val="28"/>
        </w:rPr>
        <w:t>Контроль за</w:t>
      </w:r>
      <w:proofErr w:type="gramEnd"/>
      <w:r w:rsidRPr="002C00A3">
        <w:rPr>
          <w:rFonts w:ascii="Times New Roman" w:hAnsi="Times New Roman" w:cs="Times New Roman"/>
          <w:b w:val="0"/>
          <w:sz w:val="28"/>
          <w:szCs w:val="28"/>
        </w:rPr>
        <w:t xml:space="preserve">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F60C99" w:rsidRDefault="000061DA" w:rsidP="00F60C99">
      <w:pPr>
        <w:pStyle w:val="ConsPlusTitle"/>
        <w:spacing w:line="360" w:lineRule="auto"/>
        <w:ind w:firstLine="426"/>
        <w:jc w:val="both"/>
        <w:rPr>
          <w:rFonts w:ascii="Times New Roman" w:hAnsi="Times New Roman" w:cs="Times New Roman"/>
          <w:sz w:val="28"/>
          <w:szCs w:val="28"/>
        </w:rPr>
      </w:pPr>
      <w:r w:rsidRPr="002C00A3">
        <w:rPr>
          <w:rFonts w:ascii="Times New Roman" w:hAnsi="Times New Roman" w:cs="Times New Roman"/>
          <w:b w:val="0"/>
          <w:sz w:val="28"/>
          <w:szCs w:val="28"/>
        </w:rPr>
        <w:t>При выявлении лекарственных средств с истекшим сроком годности они должны храниться отдельно от других групп лекарственных сре</w:t>
      </w:r>
      <w:proofErr w:type="gramStart"/>
      <w:r w:rsidRPr="002C00A3">
        <w:rPr>
          <w:rFonts w:ascii="Times New Roman" w:hAnsi="Times New Roman" w:cs="Times New Roman"/>
          <w:b w:val="0"/>
          <w:sz w:val="28"/>
          <w:szCs w:val="28"/>
        </w:rPr>
        <w:t>дств в сп</w:t>
      </w:r>
      <w:proofErr w:type="gramEnd"/>
      <w:r w:rsidRPr="002C00A3">
        <w:rPr>
          <w:rFonts w:ascii="Times New Roman" w:hAnsi="Times New Roman" w:cs="Times New Roman"/>
          <w:b w:val="0"/>
          <w:sz w:val="28"/>
          <w:szCs w:val="28"/>
        </w:rPr>
        <w:t>ециально выделенной и обозначенной (карантинной) зоне.</w:t>
      </w:r>
      <w:r w:rsidRPr="002C00A3">
        <w:rPr>
          <w:rFonts w:ascii="Times New Roman" w:hAnsi="Times New Roman" w:cs="Times New Roman"/>
          <w:sz w:val="28"/>
          <w:szCs w:val="28"/>
        </w:rPr>
        <w:t xml:space="preserve"> </w:t>
      </w:r>
    </w:p>
    <w:p w:rsidR="00F95456" w:rsidRPr="00F95456" w:rsidRDefault="00F95456" w:rsidP="00F60C99">
      <w:pPr>
        <w:pStyle w:val="ConsPlusTitle"/>
        <w:spacing w:line="360" w:lineRule="auto"/>
        <w:ind w:firstLine="426"/>
        <w:jc w:val="both"/>
        <w:rPr>
          <w:rFonts w:ascii="Times New Roman" w:hAnsi="Times New Roman" w:cs="Times New Roman"/>
          <w:b w:val="0"/>
          <w:color w:val="FF0000"/>
          <w:sz w:val="32"/>
          <w:szCs w:val="32"/>
        </w:rPr>
      </w:pPr>
      <w:r>
        <w:rPr>
          <w:rFonts w:ascii="Times New Roman" w:hAnsi="Times New Roman" w:cs="Times New Roman"/>
          <w:b w:val="0"/>
          <w:color w:val="FF0000"/>
          <w:sz w:val="32"/>
          <w:szCs w:val="32"/>
        </w:rPr>
        <w:t>Оценка: 3-</w:t>
      </w:r>
    </w:p>
    <w:p w:rsidR="00F60C99" w:rsidRDefault="00F60C99" w:rsidP="00F60C99">
      <w:pPr>
        <w:pStyle w:val="1"/>
        <w:rPr>
          <w:rFonts w:ascii="Times New Roman" w:hAnsi="Times New Roman" w:cs="Times New Roman"/>
          <w:color w:val="000000" w:themeColor="text1"/>
        </w:rPr>
      </w:pPr>
      <w:r w:rsidRPr="00F60C99">
        <w:rPr>
          <w:rFonts w:ascii="Times New Roman" w:hAnsi="Times New Roman" w:cs="Times New Roman"/>
          <w:color w:val="000000" w:themeColor="text1"/>
        </w:rPr>
        <w:t>Тема № 3. (6 часов)</w:t>
      </w:r>
      <w:proofErr w:type="gramStart"/>
      <w:r w:rsidRPr="00F60C99">
        <w:rPr>
          <w:rFonts w:ascii="Times New Roman" w:hAnsi="Times New Roman" w:cs="Times New Roman"/>
          <w:color w:val="000000" w:themeColor="text1"/>
        </w:rPr>
        <w:t>.Г</w:t>
      </w:r>
      <w:proofErr w:type="gramEnd"/>
      <w:r w:rsidRPr="00F60C99">
        <w:rPr>
          <w:rFonts w:ascii="Times New Roman" w:hAnsi="Times New Roman" w:cs="Times New Roman"/>
          <w:color w:val="000000" w:themeColor="text1"/>
        </w:rPr>
        <w:t>омеопатические лекарственные препараты. Анализ ассортимента. Хранение. Реализация.</w:t>
      </w:r>
    </w:p>
    <w:p w:rsidR="00ED0A8E" w:rsidRPr="00ED0A8E" w:rsidRDefault="00ED0A8E" w:rsidP="00ED0A8E"/>
    <w:p w:rsidR="00F60C99" w:rsidRDefault="00ED0A8E" w:rsidP="00ED0A8E">
      <w:pPr>
        <w:suppressAutoHyphens/>
        <w:spacing w:after="0" w:line="240" w:lineRule="auto"/>
        <w:jc w:val="both"/>
        <w:rPr>
          <w:rFonts w:ascii="Times New Roman" w:hAnsi="Times New Roman"/>
          <w:sz w:val="28"/>
          <w:szCs w:val="28"/>
        </w:rPr>
      </w:pPr>
      <w:r>
        <w:rPr>
          <w:rFonts w:ascii="Times New Roman" w:hAnsi="Times New Roman"/>
          <w:sz w:val="28"/>
          <w:szCs w:val="28"/>
        </w:rPr>
        <w:t>1.</w:t>
      </w:r>
      <w:r w:rsidR="00CA2B8D">
        <w:rPr>
          <w:rFonts w:ascii="Times New Roman" w:hAnsi="Times New Roman"/>
          <w:sz w:val="28"/>
          <w:szCs w:val="28"/>
        </w:rPr>
        <w:t>Гомеопа</w:t>
      </w:r>
      <w:r w:rsidR="007C6399">
        <w:rPr>
          <w:rFonts w:ascii="Times New Roman" w:hAnsi="Times New Roman"/>
          <w:sz w:val="28"/>
          <w:szCs w:val="28"/>
        </w:rPr>
        <w:t xml:space="preserve">тические лекарственные препараты </w:t>
      </w:r>
      <w:r w:rsidRPr="003B7FB4">
        <w:rPr>
          <w:rFonts w:ascii="Times New Roman" w:hAnsi="Times New Roman"/>
          <w:sz w:val="28"/>
          <w:szCs w:val="28"/>
        </w:rPr>
        <w:t>— это вещества растительного, животного, минерального происхождения (или их комбинации), содержащие чрезвычайно малые дозы активных соединений, которые производятся по специальной технологии и разрешаются для широкого клинического применения после их регистрации по правилам, установленным М3 РФ.</w:t>
      </w:r>
    </w:p>
    <w:p w:rsidR="00CA2B8D" w:rsidRDefault="00CA2B8D" w:rsidP="00ED0A8E">
      <w:pPr>
        <w:suppressAutoHyphens/>
        <w:spacing w:after="0" w:line="240" w:lineRule="auto"/>
        <w:jc w:val="both"/>
        <w:rPr>
          <w:rFonts w:ascii="Times New Roman" w:hAnsi="Times New Roman"/>
          <w:sz w:val="28"/>
          <w:szCs w:val="28"/>
        </w:rPr>
      </w:pPr>
    </w:p>
    <w:p w:rsidR="00827368" w:rsidRDefault="00CA2B8D" w:rsidP="00CA2B8D">
      <w:pPr>
        <w:suppressAutoHyphens/>
        <w:spacing w:after="0" w:line="240" w:lineRule="auto"/>
        <w:jc w:val="both"/>
        <w:rPr>
          <w:rFonts w:ascii="Times New Roman" w:hAnsi="Times New Roman"/>
          <w:sz w:val="28"/>
          <w:szCs w:val="28"/>
        </w:rPr>
      </w:pPr>
      <w:r w:rsidRPr="005E78B9">
        <w:rPr>
          <w:rFonts w:ascii="Times New Roman" w:hAnsi="Times New Roman"/>
          <w:sz w:val="28"/>
          <w:szCs w:val="28"/>
        </w:rPr>
        <w:t>2. Анализ</w:t>
      </w:r>
      <w:r w:rsidRPr="00FA7315">
        <w:rPr>
          <w:rFonts w:ascii="Times New Roman" w:hAnsi="Times New Roman"/>
          <w:sz w:val="28"/>
          <w:szCs w:val="28"/>
        </w:rPr>
        <w:t xml:space="preserve"> ассортимента гомеоп</w:t>
      </w:r>
      <w:r>
        <w:rPr>
          <w:rFonts w:ascii="Times New Roman" w:hAnsi="Times New Roman"/>
          <w:sz w:val="28"/>
          <w:szCs w:val="28"/>
        </w:rPr>
        <w:t>атических лекарственных средств.</w:t>
      </w:r>
    </w:p>
    <w:p w:rsidR="007C6399" w:rsidRDefault="007C6399" w:rsidP="00CA2B8D">
      <w:pPr>
        <w:suppressAutoHyphens/>
        <w:spacing w:after="0" w:line="240" w:lineRule="auto"/>
        <w:jc w:val="both"/>
        <w:rPr>
          <w:rFonts w:ascii="Times New Roman" w:hAnsi="Times New Roman"/>
          <w:sz w:val="28"/>
          <w:szCs w:val="28"/>
        </w:rPr>
      </w:pPr>
    </w:p>
    <w:tbl>
      <w:tblPr>
        <w:tblStyle w:val="a6"/>
        <w:tblW w:w="0" w:type="auto"/>
        <w:tblLook w:val="04A0"/>
      </w:tblPr>
      <w:tblGrid>
        <w:gridCol w:w="896"/>
        <w:gridCol w:w="2568"/>
        <w:gridCol w:w="2222"/>
        <w:gridCol w:w="1692"/>
        <w:gridCol w:w="2179"/>
        <w:gridCol w:w="14"/>
      </w:tblGrid>
      <w:tr w:rsidR="00AB764E" w:rsidTr="00AB764E">
        <w:trPr>
          <w:trHeight w:val="638"/>
        </w:trPr>
        <w:tc>
          <w:tcPr>
            <w:tcW w:w="896" w:type="dxa"/>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w:t>
            </w:r>
            <w:proofErr w:type="gramStart"/>
            <w:r w:rsidRPr="005328AB">
              <w:rPr>
                <w:rFonts w:ascii="Times New Roman" w:hAnsi="Times New Roman"/>
                <w:sz w:val="24"/>
                <w:szCs w:val="24"/>
              </w:rPr>
              <w:t>П</w:t>
            </w:r>
            <w:proofErr w:type="gramEnd"/>
            <w:r w:rsidRPr="005328AB">
              <w:rPr>
                <w:rFonts w:ascii="Times New Roman" w:hAnsi="Times New Roman"/>
                <w:sz w:val="24"/>
                <w:szCs w:val="24"/>
              </w:rPr>
              <w:t>/п</w:t>
            </w:r>
          </w:p>
        </w:tc>
        <w:tc>
          <w:tcPr>
            <w:tcW w:w="2568" w:type="dxa"/>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Наименование</w:t>
            </w:r>
          </w:p>
        </w:tc>
        <w:tc>
          <w:tcPr>
            <w:tcW w:w="2222" w:type="dxa"/>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Форма выпуска</w:t>
            </w:r>
          </w:p>
        </w:tc>
        <w:tc>
          <w:tcPr>
            <w:tcW w:w="1692" w:type="dxa"/>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 xml:space="preserve">Дозировка </w:t>
            </w:r>
          </w:p>
        </w:tc>
        <w:tc>
          <w:tcPr>
            <w:tcW w:w="2193" w:type="dxa"/>
            <w:gridSpan w:val="2"/>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 xml:space="preserve">Применение </w:t>
            </w:r>
          </w:p>
        </w:tc>
      </w:tr>
      <w:tr w:rsidR="00AB764E" w:rsidTr="00AB764E">
        <w:trPr>
          <w:trHeight w:val="1197"/>
        </w:trPr>
        <w:tc>
          <w:tcPr>
            <w:tcW w:w="896" w:type="dxa"/>
          </w:tcPr>
          <w:p w:rsidR="007C6399" w:rsidRPr="005328AB" w:rsidRDefault="007C6399" w:rsidP="005328AB">
            <w:pPr>
              <w:suppressAutoHyphens/>
              <w:spacing w:after="0" w:line="240" w:lineRule="auto"/>
              <w:jc w:val="center"/>
              <w:rPr>
                <w:rFonts w:ascii="Times New Roman" w:hAnsi="Times New Roman"/>
                <w:sz w:val="24"/>
                <w:szCs w:val="24"/>
              </w:rPr>
            </w:pPr>
            <w:r w:rsidRPr="005328AB">
              <w:rPr>
                <w:rFonts w:ascii="Times New Roman" w:hAnsi="Times New Roman"/>
                <w:sz w:val="24"/>
                <w:szCs w:val="24"/>
              </w:rPr>
              <w:t>1.</w:t>
            </w:r>
          </w:p>
        </w:tc>
        <w:tc>
          <w:tcPr>
            <w:tcW w:w="2568" w:type="dxa"/>
          </w:tcPr>
          <w:p w:rsidR="007C6399" w:rsidRPr="007C6399" w:rsidRDefault="007C6399" w:rsidP="005328AB">
            <w:pPr>
              <w:suppressAutoHyphens/>
              <w:spacing w:after="0" w:line="240" w:lineRule="auto"/>
              <w:rPr>
                <w:rFonts w:ascii="Times New Roman" w:hAnsi="Times New Roman"/>
                <w:sz w:val="24"/>
                <w:szCs w:val="24"/>
              </w:rPr>
            </w:pPr>
            <w:r w:rsidRPr="007C6399">
              <w:rPr>
                <w:rFonts w:ascii="Times New Roman" w:hAnsi="Times New Roman"/>
                <w:sz w:val="24"/>
                <w:szCs w:val="24"/>
              </w:rPr>
              <w:t>Оциллококцинум</w:t>
            </w:r>
          </w:p>
        </w:tc>
        <w:tc>
          <w:tcPr>
            <w:tcW w:w="2222" w:type="dxa"/>
          </w:tcPr>
          <w:p w:rsidR="007C6399" w:rsidRPr="007C6399" w:rsidRDefault="007C6399" w:rsidP="005328AB">
            <w:pPr>
              <w:suppressAutoHyphens/>
              <w:rPr>
                <w:rFonts w:ascii="Times New Roman" w:hAnsi="Times New Roman"/>
                <w:sz w:val="24"/>
                <w:szCs w:val="24"/>
              </w:rPr>
            </w:pPr>
            <w:r w:rsidRPr="007C6399">
              <w:rPr>
                <w:rFonts w:ascii="Times New Roman" w:hAnsi="Times New Roman"/>
                <w:sz w:val="24"/>
                <w:szCs w:val="24"/>
              </w:rPr>
              <w:t>Гранулы гомеопатические</w:t>
            </w:r>
          </w:p>
          <w:p w:rsidR="007C6399" w:rsidRPr="007C6399" w:rsidRDefault="007C6399" w:rsidP="005328AB">
            <w:pPr>
              <w:suppressAutoHyphens/>
              <w:spacing w:after="0" w:line="240" w:lineRule="auto"/>
              <w:rPr>
                <w:rFonts w:ascii="Times New Roman" w:hAnsi="Times New Roman"/>
                <w:sz w:val="24"/>
                <w:szCs w:val="24"/>
              </w:rPr>
            </w:pPr>
          </w:p>
        </w:tc>
        <w:tc>
          <w:tcPr>
            <w:tcW w:w="1692" w:type="dxa"/>
          </w:tcPr>
          <w:p w:rsidR="005328AB" w:rsidRPr="005328AB" w:rsidRDefault="005328AB" w:rsidP="005328AB">
            <w:pPr>
              <w:suppressAutoHyphens/>
              <w:rPr>
                <w:rFonts w:ascii="Times New Roman" w:hAnsi="Times New Roman"/>
                <w:sz w:val="24"/>
                <w:szCs w:val="24"/>
              </w:rPr>
            </w:pPr>
            <w:r w:rsidRPr="005328AB">
              <w:rPr>
                <w:rFonts w:ascii="Times New Roman" w:hAnsi="Times New Roman"/>
                <w:sz w:val="24"/>
                <w:szCs w:val="24"/>
              </w:rPr>
              <w:t>1 г – тубы (6)</w:t>
            </w:r>
          </w:p>
          <w:p w:rsidR="005328AB" w:rsidRPr="005328AB" w:rsidRDefault="005328AB" w:rsidP="005328AB">
            <w:pPr>
              <w:suppressAutoHyphens/>
              <w:rPr>
                <w:rFonts w:ascii="Times New Roman" w:hAnsi="Times New Roman"/>
                <w:sz w:val="24"/>
                <w:szCs w:val="24"/>
              </w:rPr>
            </w:pPr>
            <w:r w:rsidRPr="005328AB">
              <w:rPr>
                <w:rFonts w:ascii="Times New Roman" w:hAnsi="Times New Roman"/>
                <w:sz w:val="24"/>
                <w:szCs w:val="24"/>
              </w:rPr>
              <w:t>1 г – тубы (12)</w:t>
            </w:r>
          </w:p>
          <w:p w:rsidR="005328AB" w:rsidRPr="005328AB" w:rsidRDefault="005328AB" w:rsidP="005328AB">
            <w:pPr>
              <w:suppressAutoHyphens/>
              <w:rPr>
                <w:rFonts w:ascii="Times New Roman" w:hAnsi="Times New Roman"/>
                <w:sz w:val="24"/>
                <w:szCs w:val="24"/>
              </w:rPr>
            </w:pPr>
            <w:r w:rsidRPr="005328AB">
              <w:rPr>
                <w:rFonts w:ascii="Times New Roman" w:hAnsi="Times New Roman"/>
                <w:sz w:val="24"/>
                <w:szCs w:val="24"/>
              </w:rPr>
              <w:t>1 г – тубы (30)</w:t>
            </w:r>
          </w:p>
          <w:p w:rsidR="007C6399" w:rsidRPr="007C6399" w:rsidRDefault="007C6399" w:rsidP="005328AB">
            <w:pPr>
              <w:suppressAutoHyphens/>
              <w:spacing w:after="0" w:line="240" w:lineRule="auto"/>
              <w:rPr>
                <w:rFonts w:ascii="Times New Roman" w:hAnsi="Times New Roman"/>
                <w:sz w:val="24"/>
                <w:szCs w:val="24"/>
              </w:rPr>
            </w:pPr>
          </w:p>
        </w:tc>
        <w:tc>
          <w:tcPr>
            <w:tcW w:w="2193" w:type="dxa"/>
            <w:gridSpan w:val="2"/>
          </w:tcPr>
          <w:p w:rsidR="007C6399" w:rsidRPr="007C6399" w:rsidRDefault="007C6399" w:rsidP="005328AB">
            <w:pPr>
              <w:suppressAutoHyphens/>
              <w:rPr>
                <w:rFonts w:ascii="Times New Roman" w:hAnsi="Times New Roman"/>
                <w:sz w:val="24"/>
                <w:szCs w:val="24"/>
              </w:rPr>
            </w:pPr>
            <w:r w:rsidRPr="007C6399">
              <w:rPr>
                <w:rFonts w:ascii="Times New Roman" w:hAnsi="Times New Roman"/>
                <w:sz w:val="24"/>
                <w:szCs w:val="24"/>
              </w:rPr>
              <w:t>Грипп легкой и средней степени тяжести;</w:t>
            </w:r>
          </w:p>
          <w:p w:rsidR="007C6399" w:rsidRPr="007C6399" w:rsidRDefault="007C6399" w:rsidP="005328AB">
            <w:pPr>
              <w:suppressAutoHyphens/>
              <w:rPr>
                <w:rFonts w:ascii="Times New Roman" w:hAnsi="Times New Roman"/>
                <w:sz w:val="24"/>
                <w:szCs w:val="24"/>
              </w:rPr>
            </w:pPr>
            <w:r w:rsidRPr="007C6399">
              <w:rPr>
                <w:rFonts w:ascii="Times New Roman" w:hAnsi="Times New Roman"/>
                <w:sz w:val="24"/>
                <w:szCs w:val="24"/>
              </w:rPr>
              <w:t>Острая респираторная вирусная инфекция</w:t>
            </w:r>
          </w:p>
        </w:tc>
      </w:tr>
      <w:tr w:rsidR="005328AB" w:rsidTr="00AB764E">
        <w:tblPrEx>
          <w:tblLook w:val="0000"/>
        </w:tblPrEx>
        <w:trPr>
          <w:gridAfter w:val="1"/>
          <w:wAfter w:w="14" w:type="dxa"/>
          <w:trHeight w:val="1278"/>
        </w:trPr>
        <w:tc>
          <w:tcPr>
            <w:tcW w:w="896" w:type="dxa"/>
          </w:tcPr>
          <w:p w:rsidR="005328AB" w:rsidRPr="005328AB" w:rsidRDefault="005328AB" w:rsidP="005328AB">
            <w:pPr>
              <w:suppressAutoHyphens/>
              <w:spacing w:line="240" w:lineRule="auto"/>
              <w:ind w:left="108"/>
              <w:rPr>
                <w:rFonts w:ascii="Times New Roman" w:hAnsi="Times New Roman"/>
                <w:sz w:val="24"/>
                <w:szCs w:val="24"/>
              </w:rPr>
            </w:pPr>
            <w:r w:rsidRPr="005328AB">
              <w:rPr>
                <w:rFonts w:ascii="Times New Roman" w:hAnsi="Times New Roman"/>
                <w:sz w:val="24"/>
                <w:szCs w:val="24"/>
              </w:rPr>
              <w:lastRenderedPageBreak/>
              <w:t>2.</w:t>
            </w:r>
          </w:p>
          <w:p w:rsidR="005328AB" w:rsidRPr="005328AB" w:rsidRDefault="005328AB" w:rsidP="005328AB">
            <w:pPr>
              <w:suppressAutoHyphens/>
              <w:spacing w:line="240" w:lineRule="auto"/>
              <w:ind w:left="108"/>
              <w:rPr>
                <w:rFonts w:ascii="Times New Roman" w:hAnsi="Times New Roman"/>
                <w:sz w:val="24"/>
                <w:szCs w:val="24"/>
              </w:rPr>
            </w:pPr>
          </w:p>
          <w:p w:rsidR="005328AB" w:rsidRPr="005328AB" w:rsidRDefault="005328AB" w:rsidP="005328AB">
            <w:pPr>
              <w:pStyle w:val="a3"/>
              <w:ind w:left="108"/>
              <w:jc w:val="left"/>
            </w:pPr>
          </w:p>
        </w:tc>
        <w:tc>
          <w:tcPr>
            <w:tcW w:w="2568" w:type="dxa"/>
            <w:shd w:val="clear" w:color="auto" w:fill="auto"/>
          </w:tcPr>
          <w:p w:rsidR="005328AB" w:rsidRPr="00AB764E" w:rsidRDefault="00AB764E" w:rsidP="00AB764E">
            <w:pPr>
              <w:spacing w:after="0" w:line="360" w:lineRule="auto"/>
              <w:jc w:val="left"/>
              <w:rPr>
                <w:rFonts w:ascii="Times New Roman" w:hAnsi="Times New Roman"/>
                <w:sz w:val="24"/>
                <w:szCs w:val="24"/>
              </w:rPr>
            </w:pPr>
            <w:r w:rsidRPr="00AB764E">
              <w:rPr>
                <w:rFonts w:ascii="Times New Roman" w:hAnsi="Times New Roman"/>
                <w:sz w:val="24"/>
                <w:szCs w:val="24"/>
              </w:rPr>
              <w:t>Стодаль</w:t>
            </w:r>
          </w:p>
        </w:tc>
        <w:tc>
          <w:tcPr>
            <w:tcW w:w="2222" w:type="dxa"/>
            <w:shd w:val="clear" w:color="auto" w:fill="auto"/>
          </w:tcPr>
          <w:p w:rsidR="005328AB" w:rsidRPr="00AB764E" w:rsidRDefault="00AB764E" w:rsidP="00AB764E">
            <w:pPr>
              <w:spacing w:after="0" w:line="360" w:lineRule="auto"/>
              <w:jc w:val="left"/>
              <w:rPr>
                <w:rFonts w:ascii="Times New Roman" w:hAnsi="Times New Roman"/>
                <w:sz w:val="24"/>
                <w:szCs w:val="24"/>
              </w:rPr>
            </w:pPr>
            <w:r w:rsidRPr="00AB764E">
              <w:rPr>
                <w:rFonts w:ascii="Times New Roman" w:hAnsi="Times New Roman"/>
                <w:color w:val="000000"/>
                <w:sz w:val="24"/>
                <w:szCs w:val="24"/>
                <w:shd w:val="clear" w:color="auto" w:fill="FFFFFF"/>
              </w:rPr>
              <w:t>Сироп гомеопатический</w:t>
            </w:r>
          </w:p>
        </w:tc>
        <w:tc>
          <w:tcPr>
            <w:tcW w:w="1692" w:type="dxa"/>
            <w:shd w:val="clear" w:color="auto" w:fill="auto"/>
          </w:tcPr>
          <w:p w:rsidR="005328AB" w:rsidRPr="00AB764E" w:rsidRDefault="00AB764E" w:rsidP="00AB764E">
            <w:pPr>
              <w:spacing w:after="0" w:line="360" w:lineRule="auto"/>
              <w:jc w:val="left"/>
              <w:rPr>
                <w:rFonts w:ascii="Times New Roman" w:hAnsi="Times New Roman"/>
                <w:sz w:val="24"/>
                <w:szCs w:val="24"/>
              </w:rPr>
            </w:pPr>
            <w:r w:rsidRPr="00AB764E">
              <w:rPr>
                <w:rFonts w:ascii="Times New Roman" w:hAnsi="Times New Roman"/>
                <w:color w:val="000000"/>
                <w:sz w:val="24"/>
                <w:szCs w:val="24"/>
                <w:shd w:val="clear" w:color="auto" w:fill="FFFFFF"/>
              </w:rPr>
              <w:t>200 мл  флаконы</w:t>
            </w:r>
          </w:p>
        </w:tc>
        <w:tc>
          <w:tcPr>
            <w:tcW w:w="2179" w:type="dxa"/>
            <w:shd w:val="clear" w:color="auto" w:fill="auto"/>
          </w:tcPr>
          <w:p w:rsidR="005328AB" w:rsidRPr="00AB764E" w:rsidRDefault="00AB764E" w:rsidP="00AB764E">
            <w:pPr>
              <w:spacing w:after="0" w:line="360" w:lineRule="auto"/>
              <w:jc w:val="left"/>
              <w:rPr>
                <w:rFonts w:ascii="Times New Roman" w:hAnsi="Times New Roman"/>
                <w:sz w:val="24"/>
                <w:szCs w:val="24"/>
              </w:rPr>
            </w:pPr>
            <w:r w:rsidRPr="00AB764E">
              <w:rPr>
                <w:rFonts w:ascii="Times New Roman" w:hAnsi="Times New Roman"/>
                <w:sz w:val="24"/>
                <w:szCs w:val="24"/>
              </w:rPr>
              <w:t>Симптоматическое лечение кашля различной этиологии</w:t>
            </w:r>
          </w:p>
        </w:tc>
      </w:tr>
    </w:tbl>
    <w:p w:rsidR="00AB764E" w:rsidRDefault="00AB764E" w:rsidP="00AB764E">
      <w:pPr>
        <w:suppressAutoHyphens/>
        <w:spacing w:after="0" w:line="240" w:lineRule="auto"/>
        <w:jc w:val="both"/>
        <w:rPr>
          <w:rFonts w:ascii="Times New Roman" w:hAnsi="Times New Roman"/>
          <w:sz w:val="28"/>
          <w:szCs w:val="28"/>
        </w:rPr>
      </w:pPr>
    </w:p>
    <w:p w:rsidR="00AB764E" w:rsidRPr="00FA7315" w:rsidRDefault="00AB764E" w:rsidP="00AB764E">
      <w:pPr>
        <w:suppressAutoHyphens/>
        <w:spacing w:after="0" w:line="240" w:lineRule="auto"/>
        <w:jc w:val="both"/>
        <w:rPr>
          <w:rFonts w:ascii="Times New Roman" w:hAnsi="Times New Roman"/>
          <w:sz w:val="28"/>
          <w:szCs w:val="28"/>
        </w:rPr>
      </w:pPr>
      <w:r w:rsidRPr="00FA7315">
        <w:rPr>
          <w:rFonts w:ascii="Times New Roman" w:hAnsi="Times New Roman"/>
          <w:sz w:val="28"/>
          <w:szCs w:val="28"/>
        </w:rPr>
        <w:t>3. Особенности маркировки гомеопатических лекарственных средств.</w:t>
      </w:r>
    </w:p>
    <w:p w:rsidR="00AB764E" w:rsidRDefault="00AB764E" w:rsidP="00AB764E">
      <w:pPr>
        <w:suppressAutoHyphens/>
        <w:spacing w:after="0" w:line="240" w:lineRule="auto"/>
        <w:jc w:val="both"/>
        <w:rPr>
          <w:rFonts w:ascii="Times New Roman" w:hAnsi="Times New Roman"/>
          <w:sz w:val="28"/>
          <w:szCs w:val="28"/>
        </w:rPr>
      </w:pPr>
      <w:r w:rsidRPr="004A2A8B">
        <w:rPr>
          <w:rFonts w:ascii="Times New Roman" w:hAnsi="Times New Roman"/>
          <w:sz w:val="28"/>
          <w:szCs w:val="28"/>
        </w:rPr>
        <w:t>Особенность маркировки гомеопатических ЛС, в соответствии с ФЗ №61 -</w:t>
      </w:r>
      <w:r w:rsidRPr="004A2A8B">
        <w:rPr>
          <w:rFonts w:ascii="Times New Roman" w:hAnsi="Times New Roman"/>
          <w:i/>
          <w:sz w:val="28"/>
          <w:szCs w:val="28"/>
        </w:rPr>
        <w:t xml:space="preserve"> </w:t>
      </w:r>
      <w:r w:rsidRPr="004A2A8B">
        <w:rPr>
          <w:rFonts w:ascii="Times New Roman" w:hAnsi="Times New Roman"/>
          <w:sz w:val="28"/>
          <w:szCs w:val="28"/>
        </w:rPr>
        <w:t>на вторичную (потребительскую) упаковку гомеопатических лекарственных препаратов должна наноситься надпись: "Гомеопатический".</w:t>
      </w:r>
    </w:p>
    <w:p w:rsidR="00AB764E" w:rsidRDefault="00AB764E" w:rsidP="00AB764E">
      <w:pPr>
        <w:suppressAutoHyphens/>
        <w:spacing w:after="0" w:line="240" w:lineRule="auto"/>
        <w:jc w:val="both"/>
        <w:rPr>
          <w:rFonts w:ascii="Times New Roman" w:hAnsi="Times New Roman"/>
          <w:sz w:val="28"/>
          <w:szCs w:val="28"/>
        </w:rPr>
      </w:pPr>
    </w:p>
    <w:p w:rsidR="00AB764E" w:rsidRPr="00FA7315" w:rsidRDefault="00AB764E" w:rsidP="00AB764E">
      <w:pPr>
        <w:suppressAutoHyphens/>
        <w:spacing w:after="0" w:line="240" w:lineRule="auto"/>
        <w:jc w:val="both"/>
        <w:rPr>
          <w:rFonts w:ascii="Times New Roman" w:hAnsi="Times New Roman"/>
          <w:sz w:val="28"/>
          <w:szCs w:val="28"/>
        </w:rPr>
      </w:pPr>
      <w:r w:rsidRPr="00FA7315">
        <w:rPr>
          <w:rFonts w:ascii="Times New Roman" w:hAnsi="Times New Roman"/>
          <w:sz w:val="28"/>
          <w:szCs w:val="28"/>
        </w:rPr>
        <w:t>4. Правила хранения и реализации гомеопатических лекарственных средств.</w:t>
      </w:r>
    </w:p>
    <w:p w:rsidR="007C6399" w:rsidRDefault="00AB764E" w:rsidP="00AB764E">
      <w:pPr>
        <w:pStyle w:val="a3"/>
        <w:rPr>
          <w:sz w:val="28"/>
          <w:szCs w:val="28"/>
        </w:rPr>
      </w:pPr>
      <w:r w:rsidRPr="00BC0A98">
        <w:rPr>
          <w:sz w:val="28"/>
          <w:szCs w:val="28"/>
        </w:rPr>
        <w:t>Хранение гомеопатических лекарственных средств производится в соответствии с указаниями на упаковке (инструкциями по применению)</w:t>
      </w:r>
      <w:r>
        <w:rPr>
          <w:sz w:val="28"/>
          <w:szCs w:val="28"/>
        </w:rPr>
        <w:t xml:space="preserve">, избегая воздействия прямых солнечных лучей, повышенной температуры и влажности, вдали </w:t>
      </w:r>
      <w:proofErr w:type="gramStart"/>
      <w:r>
        <w:rPr>
          <w:sz w:val="28"/>
          <w:szCs w:val="28"/>
        </w:rPr>
        <w:t>от</w:t>
      </w:r>
      <w:proofErr w:type="gramEnd"/>
      <w:r>
        <w:rPr>
          <w:sz w:val="28"/>
          <w:szCs w:val="28"/>
        </w:rPr>
        <w:t xml:space="preserve"> пахучих ЛС.</w:t>
      </w:r>
    </w:p>
    <w:p w:rsidR="00AB764E" w:rsidRDefault="00AB764E" w:rsidP="00AB764E">
      <w:pPr>
        <w:suppressAutoHyphens/>
        <w:spacing w:after="0" w:line="240" w:lineRule="auto"/>
        <w:jc w:val="both"/>
        <w:rPr>
          <w:rFonts w:ascii="Times New Roman" w:hAnsi="Times New Roman"/>
          <w:sz w:val="28"/>
          <w:szCs w:val="28"/>
        </w:rPr>
      </w:pPr>
      <w:r w:rsidRPr="003B7FB4">
        <w:rPr>
          <w:rFonts w:ascii="Times New Roman" w:hAnsi="Times New Roman"/>
          <w:sz w:val="28"/>
          <w:szCs w:val="28"/>
        </w:rPr>
        <w:t>В соответствии с прика</w:t>
      </w:r>
      <w:r>
        <w:rPr>
          <w:rFonts w:ascii="Times New Roman" w:hAnsi="Times New Roman"/>
          <w:sz w:val="28"/>
          <w:szCs w:val="28"/>
        </w:rPr>
        <w:t xml:space="preserve">зом М3 РФ </w:t>
      </w:r>
      <w:r w:rsidRPr="003B7FB4">
        <w:rPr>
          <w:rFonts w:ascii="Times New Roman" w:hAnsi="Times New Roman"/>
          <w:sz w:val="28"/>
          <w:szCs w:val="28"/>
        </w:rPr>
        <w:t>№</w:t>
      </w:r>
      <w:r>
        <w:rPr>
          <w:rFonts w:ascii="Times New Roman" w:hAnsi="Times New Roman"/>
          <w:sz w:val="28"/>
          <w:szCs w:val="28"/>
        </w:rPr>
        <w:t xml:space="preserve"> </w:t>
      </w:r>
      <w:r w:rsidRPr="003B7FB4">
        <w:rPr>
          <w:rFonts w:ascii="Times New Roman" w:hAnsi="Times New Roman"/>
          <w:sz w:val="28"/>
          <w:szCs w:val="28"/>
        </w:rPr>
        <w:t>335</w:t>
      </w:r>
      <w:r>
        <w:rPr>
          <w:rFonts w:ascii="Times New Roman" w:hAnsi="Times New Roman"/>
          <w:sz w:val="28"/>
          <w:szCs w:val="28"/>
        </w:rPr>
        <w:t xml:space="preserve"> - гомеопатические ЛС</w:t>
      </w:r>
      <w:r w:rsidRPr="003B7FB4">
        <w:rPr>
          <w:rFonts w:ascii="Times New Roman" w:hAnsi="Times New Roman"/>
          <w:sz w:val="28"/>
          <w:szCs w:val="28"/>
        </w:rPr>
        <w:t xml:space="preserve"> отпускаются без рецепта врача за исключение</w:t>
      </w:r>
      <w:r>
        <w:rPr>
          <w:rFonts w:ascii="Times New Roman" w:hAnsi="Times New Roman"/>
          <w:sz w:val="28"/>
          <w:szCs w:val="28"/>
        </w:rPr>
        <w:t>м инъекционных форм</w:t>
      </w:r>
      <w:r w:rsidR="00022CC0">
        <w:rPr>
          <w:rFonts w:ascii="Times New Roman" w:hAnsi="Times New Roman"/>
          <w:sz w:val="28"/>
          <w:szCs w:val="28"/>
        </w:rPr>
        <w:t>.</w:t>
      </w:r>
    </w:p>
    <w:p w:rsidR="00F95456" w:rsidRDefault="00F95456" w:rsidP="00AB764E">
      <w:pPr>
        <w:suppressAutoHyphens/>
        <w:spacing w:after="0" w:line="240" w:lineRule="auto"/>
        <w:jc w:val="both"/>
        <w:rPr>
          <w:rFonts w:ascii="Times New Roman" w:hAnsi="Times New Roman"/>
          <w:sz w:val="28"/>
          <w:szCs w:val="28"/>
        </w:rPr>
      </w:pPr>
    </w:p>
    <w:p w:rsidR="00F95456" w:rsidRPr="00F95456" w:rsidRDefault="00F95456" w:rsidP="00AB764E">
      <w:pPr>
        <w:suppressAutoHyphens/>
        <w:spacing w:after="0" w:line="240" w:lineRule="auto"/>
        <w:jc w:val="both"/>
        <w:rPr>
          <w:rFonts w:ascii="Times New Roman" w:eastAsia="Times New Roman" w:hAnsi="Times New Roman"/>
          <w:bCs/>
          <w:color w:val="FF0000"/>
          <w:sz w:val="32"/>
          <w:szCs w:val="32"/>
        </w:rPr>
      </w:pPr>
      <w:r w:rsidRPr="00F95456">
        <w:rPr>
          <w:rFonts w:ascii="Times New Roman" w:hAnsi="Times New Roman"/>
          <w:color w:val="FF0000"/>
          <w:sz w:val="32"/>
          <w:szCs w:val="32"/>
        </w:rPr>
        <w:t>Оценка: 3</w:t>
      </w:r>
    </w:p>
    <w:p w:rsidR="00AB764E" w:rsidRPr="00827368" w:rsidRDefault="00AB764E" w:rsidP="00AB764E">
      <w:pPr>
        <w:pStyle w:val="a3"/>
        <w:rPr>
          <w:color w:val="000000"/>
          <w:sz w:val="28"/>
          <w:szCs w:val="28"/>
        </w:rPr>
      </w:pPr>
    </w:p>
    <w:sectPr w:rsidR="00AB764E" w:rsidRPr="00827368" w:rsidSect="00C2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BDE"/>
    <w:multiLevelType w:val="hybridMultilevel"/>
    <w:tmpl w:val="C8C6F1E6"/>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3DC6"/>
    <w:multiLevelType w:val="hybridMultilevel"/>
    <w:tmpl w:val="0B74B5E0"/>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0E7546A5"/>
    <w:multiLevelType w:val="hybridMultilevel"/>
    <w:tmpl w:val="34168272"/>
    <w:lvl w:ilvl="0" w:tplc="1A00E560">
      <w:start w:val="1"/>
      <w:numFmt w:val="decimal"/>
      <w:lvlText w:val="%1)"/>
      <w:lvlJc w:val="left"/>
      <w:pPr>
        <w:ind w:left="1710" w:hanging="360"/>
      </w:pPr>
      <w:rPr>
        <w:rFonts w:cs="Times New Roman" w:hint="default"/>
      </w:rPr>
    </w:lvl>
    <w:lvl w:ilvl="1" w:tplc="04190019" w:tentative="1">
      <w:start w:val="1"/>
      <w:numFmt w:val="lowerLetter"/>
      <w:lvlText w:val="%2."/>
      <w:lvlJc w:val="left"/>
      <w:pPr>
        <w:ind w:left="2430" w:hanging="360"/>
      </w:pPr>
      <w:rPr>
        <w:rFonts w:cs="Times New Roman"/>
      </w:rPr>
    </w:lvl>
    <w:lvl w:ilvl="2" w:tplc="0419001B" w:tentative="1">
      <w:start w:val="1"/>
      <w:numFmt w:val="lowerRoman"/>
      <w:lvlText w:val="%3."/>
      <w:lvlJc w:val="right"/>
      <w:pPr>
        <w:ind w:left="3150" w:hanging="180"/>
      </w:pPr>
      <w:rPr>
        <w:rFonts w:cs="Times New Roman"/>
      </w:rPr>
    </w:lvl>
    <w:lvl w:ilvl="3" w:tplc="0419000F" w:tentative="1">
      <w:start w:val="1"/>
      <w:numFmt w:val="decimal"/>
      <w:lvlText w:val="%4."/>
      <w:lvlJc w:val="left"/>
      <w:pPr>
        <w:ind w:left="3870" w:hanging="360"/>
      </w:pPr>
      <w:rPr>
        <w:rFonts w:cs="Times New Roman"/>
      </w:rPr>
    </w:lvl>
    <w:lvl w:ilvl="4" w:tplc="04190019" w:tentative="1">
      <w:start w:val="1"/>
      <w:numFmt w:val="lowerLetter"/>
      <w:lvlText w:val="%5."/>
      <w:lvlJc w:val="left"/>
      <w:pPr>
        <w:ind w:left="4590" w:hanging="360"/>
      </w:pPr>
      <w:rPr>
        <w:rFonts w:cs="Times New Roman"/>
      </w:rPr>
    </w:lvl>
    <w:lvl w:ilvl="5" w:tplc="0419001B" w:tentative="1">
      <w:start w:val="1"/>
      <w:numFmt w:val="lowerRoman"/>
      <w:lvlText w:val="%6."/>
      <w:lvlJc w:val="right"/>
      <w:pPr>
        <w:ind w:left="5310" w:hanging="180"/>
      </w:pPr>
      <w:rPr>
        <w:rFonts w:cs="Times New Roman"/>
      </w:rPr>
    </w:lvl>
    <w:lvl w:ilvl="6" w:tplc="0419000F" w:tentative="1">
      <w:start w:val="1"/>
      <w:numFmt w:val="decimal"/>
      <w:lvlText w:val="%7."/>
      <w:lvlJc w:val="left"/>
      <w:pPr>
        <w:ind w:left="6030" w:hanging="360"/>
      </w:pPr>
      <w:rPr>
        <w:rFonts w:cs="Times New Roman"/>
      </w:rPr>
    </w:lvl>
    <w:lvl w:ilvl="7" w:tplc="04190019" w:tentative="1">
      <w:start w:val="1"/>
      <w:numFmt w:val="lowerLetter"/>
      <w:lvlText w:val="%8."/>
      <w:lvlJc w:val="left"/>
      <w:pPr>
        <w:ind w:left="6750" w:hanging="360"/>
      </w:pPr>
      <w:rPr>
        <w:rFonts w:cs="Times New Roman"/>
      </w:rPr>
    </w:lvl>
    <w:lvl w:ilvl="8" w:tplc="0419001B" w:tentative="1">
      <w:start w:val="1"/>
      <w:numFmt w:val="lowerRoman"/>
      <w:lvlText w:val="%9."/>
      <w:lvlJc w:val="right"/>
      <w:pPr>
        <w:ind w:left="7470" w:hanging="180"/>
      </w:pPr>
      <w:rPr>
        <w:rFonts w:cs="Times New Roman"/>
      </w:rPr>
    </w:lvl>
  </w:abstractNum>
  <w:abstractNum w:abstractNumId="3">
    <w:nsid w:val="1FA5309D"/>
    <w:multiLevelType w:val="hybridMultilevel"/>
    <w:tmpl w:val="6CF0CB48"/>
    <w:lvl w:ilvl="0" w:tplc="0419000F">
      <w:start w:val="1"/>
      <w:numFmt w:val="decimal"/>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2340057B"/>
    <w:multiLevelType w:val="hybridMultilevel"/>
    <w:tmpl w:val="EBB6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C19AD"/>
    <w:multiLevelType w:val="hybridMultilevel"/>
    <w:tmpl w:val="8E3AB2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5465D"/>
    <w:multiLevelType w:val="hybridMultilevel"/>
    <w:tmpl w:val="46D2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E05BFE"/>
    <w:multiLevelType w:val="hybridMultilevel"/>
    <w:tmpl w:val="B626613E"/>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95EB0"/>
    <w:multiLevelType w:val="hybridMultilevel"/>
    <w:tmpl w:val="B0A2AB4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nsid w:val="5EB45FE8"/>
    <w:multiLevelType w:val="hybridMultilevel"/>
    <w:tmpl w:val="D6A4EBBA"/>
    <w:lvl w:ilvl="0" w:tplc="0419000F">
      <w:start w:val="1"/>
      <w:numFmt w:val="decimal"/>
      <w:lvlText w:val="%1."/>
      <w:lvlJc w:val="left"/>
      <w:pPr>
        <w:ind w:left="720" w:hanging="360"/>
      </w:pPr>
      <w:rPr>
        <w:rFonts w:hint="default"/>
      </w:rPr>
    </w:lvl>
    <w:lvl w:ilvl="1" w:tplc="E15E6EA8">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9E7B93"/>
    <w:multiLevelType w:val="hybridMultilevel"/>
    <w:tmpl w:val="FADC61D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4"/>
  </w:num>
  <w:num w:numId="7">
    <w:abstractNumId w:val="6"/>
  </w:num>
  <w:num w:numId="8">
    <w:abstractNumId w:val="8"/>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44973"/>
    <w:rsid w:val="000061DA"/>
    <w:rsid w:val="00022CC0"/>
    <w:rsid w:val="00042921"/>
    <w:rsid w:val="000A0084"/>
    <w:rsid w:val="00193FC9"/>
    <w:rsid w:val="001F24BB"/>
    <w:rsid w:val="002D3D17"/>
    <w:rsid w:val="003D527D"/>
    <w:rsid w:val="004A6713"/>
    <w:rsid w:val="004E6A7B"/>
    <w:rsid w:val="005328AB"/>
    <w:rsid w:val="005412D2"/>
    <w:rsid w:val="00573CE2"/>
    <w:rsid w:val="005A566D"/>
    <w:rsid w:val="005C651D"/>
    <w:rsid w:val="00682885"/>
    <w:rsid w:val="006C6AF4"/>
    <w:rsid w:val="006D234A"/>
    <w:rsid w:val="00721C43"/>
    <w:rsid w:val="007A6559"/>
    <w:rsid w:val="007C6399"/>
    <w:rsid w:val="007D1059"/>
    <w:rsid w:val="00804BA2"/>
    <w:rsid w:val="00827368"/>
    <w:rsid w:val="00836D7D"/>
    <w:rsid w:val="008602F0"/>
    <w:rsid w:val="008718B9"/>
    <w:rsid w:val="008819A9"/>
    <w:rsid w:val="008833AF"/>
    <w:rsid w:val="00896172"/>
    <w:rsid w:val="00897936"/>
    <w:rsid w:val="00964068"/>
    <w:rsid w:val="009C2690"/>
    <w:rsid w:val="00A60339"/>
    <w:rsid w:val="00A875E0"/>
    <w:rsid w:val="00AB5D8E"/>
    <w:rsid w:val="00AB764E"/>
    <w:rsid w:val="00B002B0"/>
    <w:rsid w:val="00B22B18"/>
    <w:rsid w:val="00B44973"/>
    <w:rsid w:val="00BD6923"/>
    <w:rsid w:val="00C22FB1"/>
    <w:rsid w:val="00C26737"/>
    <w:rsid w:val="00CA2B8D"/>
    <w:rsid w:val="00CB7F2F"/>
    <w:rsid w:val="00DD418A"/>
    <w:rsid w:val="00DE10FB"/>
    <w:rsid w:val="00E17893"/>
    <w:rsid w:val="00EC1C65"/>
    <w:rsid w:val="00ED0A8E"/>
    <w:rsid w:val="00F442B4"/>
    <w:rsid w:val="00F60C99"/>
    <w:rsid w:val="00F81568"/>
    <w:rsid w:val="00F9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2F"/>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54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17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93FC9"/>
    <w:pPr>
      <w:ind w:left="720"/>
      <w:contextualSpacing/>
    </w:pPr>
  </w:style>
  <w:style w:type="character" w:customStyle="1" w:styleId="10">
    <w:name w:val="Заголовок 1 Знак"/>
    <w:basedOn w:val="a0"/>
    <w:link w:val="1"/>
    <w:uiPriority w:val="99"/>
    <w:rsid w:val="005412D2"/>
    <w:rPr>
      <w:rFonts w:asciiTheme="majorHAnsi" w:eastAsiaTheme="majorEastAsia" w:hAnsiTheme="majorHAnsi" w:cstheme="majorBidi"/>
      <w:b/>
      <w:bCs/>
      <w:color w:val="365F91" w:themeColor="accent1" w:themeShade="BF"/>
      <w:sz w:val="28"/>
      <w:szCs w:val="28"/>
    </w:rPr>
  </w:style>
  <w:style w:type="character" w:customStyle="1" w:styleId="block-content">
    <w:name w:val="block-content"/>
    <w:basedOn w:val="a0"/>
    <w:rsid w:val="004E6A7B"/>
  </w:style>
  <w:style w:type="character" w:styleId="a5">
    <w:name w:val="Hyperlink"/>
    <w:basedOn w:val="a0"/>
    <w:uiPriority w:val="99"/>
    <w:semiHidden/>
    <w:unhideWhenUsed/>
    <w:rsid w:val="004E6A7B"/>
    <w:rPr>
      <w:color w:val="0000FF"/>
      <w:u w:val="single"/>
    </w:rPr>
  </w:style>
  <w:style w:type="character" w:customStyle="1" w:styleId="atc-name">
    <w:name w:val="atc-name"/>
    <w:basedOn w:val="a0"/>
    <w:rsid w:val="00F442B4"/>
  </w:style>
  <w:style w:type="paragraph" w:customStyle="1" w:styleId="ConsPlusNormal">
    <w:name w:val="ConsPlusNormal"/>
    <w:rsid w:val="000061DA"/>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1DA"/>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 w:type="table" w:styleId="a6">
    <w:name w:val="Table Grid"/>
    <w:basedOn w:val="a1"/>
    <w:uiPriority w:val="59"/>
    <w:rsid w:val="007C63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096794">
      <w:bodyDiv w:val="1"/>
      <w:marLeft w:val="0"/>
      <w:marRight w:val="0"/>
      <w:marTop w:val="0"/>
      <w:marBottom w:val="0"/>
      <w:divBdr>
        <w:top w:val="none" w:sz="0" w:space="0" w:color="auto"/>
        <w:left w:val="none" w:sz="0" w:space="0" w:color="auto"/>
        <w:bottom w:val="none" w:sz="0" w:space="0" w:color="auto"/>
        <w:right w:val="none" w:sz="0" w:space="0" w:color="auto"/>
      </w:divBdr>
      <w:divsChild>
        <w:div w:id="148442487">
          <w:marLeft w:val="0"/>
          <w:marRight w:val="0"/>
          <w:marTop w:val="318"/>
          <w:marBottom w:val="0"/>
          <w:divBdr>
            <w:top w:val="none" w:sz="0" w:space="0" w:color="auto"/>
            <w:left w:val="none" w:sz="0" w:space="0" w:color="auto"/>
            <w:bottom w:val="none" w:sz="0" w:space="0" w:color="auto"/>
            <w:right w:val="none" w:sz="0" w:space="0" w:color="auto"/>
          </w:divBdr>
        </w:div>
      </w:divsChild>
    </w:div>
    <w:div w:id="595673270">
      <w:bodyDiv w:val="1"/>
      <w:marLeft w:val="0"/>
      <w:marRight w:val="0"/>
      <w:marTop w:val="0"/>
      <w:marBottom w:val="0"/>
      <w:divBdr>
        <w:top w:val="none" w:sz="0" w:space="0" w:color="auto"/>
        <w:left w:val="none" w:sz="0" w:space="0" w:color="auto"/>
        <w:bottom w:val="none" w:sz="0" w:space="0" w:color="auto"/>
        <w:right w:val="none" w:sz="0" w:space="0" w:color="auto"/>
      </w:divBdr>
    </w:div>
    <w:div w:id="1257058312">
      <w:bodyDiv w:val="1"/>
      <w:marLeft w:val="0"/>
      <w:marRight w:val="0"/>
      <w:marTop w:val="0"/>
      <w:marBottom w:val="0"/>
      <w:divBdr>
        <w:top w:val="none" w:sz="0" w:space="0" w:color="auto"/>
        <w:left w:val="none" w:sz="0" w:space="0" w:color="auto"/>
        <w:bottom w:val="none" w:sz="0" w:space="0" w:color="auto"/>
        <w:right w:val="none" w:sz="0" w:space="0" w:color="auto"/>
      </w:divBdr>
    </w:div>
    <w:div w:id="1396008502">
      <w:bodyDiv w:val="1"/>
      <w:marLeft w:val="0"/>
      <w:marRight w:val="0"/>
      <w:marTop w:val="0"/>
      <w:marBottom w:val="0"/>
      <w:divBdr>
        <w:top w:val="none" w:sz="0" w:space="0" w:color="auto"/>
        <w:left w:val="none" w:sz="0" w:space="0" w:color="auto"/>
        <w:bottom w:val="none" w:sz="0" w:space="0" w:color="auto"/>
        <w:right w:val="none" w:sz="0" w:space="0" w:color="auto"/>
      </w:divBdr>
      <w:divsChild>
        <w:div w:id="1630893340">
          <w:marLeft w:val="0"/>
          <w:marRight w:val="0"/>
          <w:marTop w:val="31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atc/n01ba02" TargetMode="External"/><Relationship Id="rId3" Type="http://schemas.openxmlformats.org/officeDocument/2006/relationships/styles" Target="styles.xml"/><Relationship Id="rId7" Type="http://schemas.openxmlformats.org/officeDocument/2006/relationships/hyperlink" Target="https://www.vidal.ru/drugs/atc/c02ac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dal.ru/drugs/atc/c03aa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al.ru/drugs/atc/a02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16D08-6672-4E26-8A33-A1203FFD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2020-05-14T08:11:00Z</dcterms:created>
  <dcterms:modified xsi:type="dcterms:W3CDTF">2020-05-26T08:48:00Z</dcterms:modified>
</cp:coreProperties>
</file>