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8E" w:rsidRPr="00D73C4E" w:rsidRDefault="00D0038E" w:rsidP="00D0038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2504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  <w:r w:rsidRPr="00D73C4E">
        <w:rPr>
          <w:rFonts w:ascii="Times New Roman" w:hAnsi="Times New Roman" w:cs="Times New Roman"/>
          <w:sz w:val="28"/>
          <w:szCs w:val="28"/>
        </w:rPr>
        <w:t>.</w:t>
      </w:r>
    </w:p>
    <w:p w:rsidR="00D0038E" w:rsidRPr="00D73C4E" w:rsidRDefault="00D0038E" w:rsidP="00D0038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038E" w:rsidRPr="00D73C4E" w:rsidRDefault="00D0038E" w:rsidP="00D0038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0038E" w:rsidRDefault="00D0038E" w:rsidP="00D0038E">
      <w:pPr>
        <w:rPr>
          <w:rFonts w:ascii="Times New Roman" w:hAnsi="Times New Roman" w:cs="Times New Roman"/>
          <w:sz w:val="28"/>
          <w:szCs w:val="28"/>
        </w:rPr>
      </w:pPr>
    </w:p>
    <w:p w:rsidR="00D0038E" w:rsidRPr="00D73C4E" w:rsidRDefault="00D0038E" w:rsidP="00D0038E">
      <w:pPr>
        <w:rPr>
          <w:rFonts w:ascii="Times New Roman" w:hAnsi="Times New Roman" w:cs="Times New Roman"/>
          <w:sz w:val="28"/>
          <w:szCs w:val="28"/>
        </w:rPr>
      </w:pPr>
    </w:p>
    <w:p w:rsidR="00D0038E" w:rsidRPr="00D73C4E" w:rsidRDefault="00D0038E" w:rsidP="00D0038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Зав. кафедр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3C4E">
        <w:rPr>
          <w:rFonts w:ascii="Times New Roman" w:hAnsi="Times New Roman" w:cs="Times New Roman"/>
          <w:sz w:val="28"/>
          <w:szCs w:val="28"/>
        </w:rPr>
        <w:t>: д.м.н, проф. Таранушенко Т.Е.</w:t>
      </w:r>
    </w:p>
    <w:p w:rsidR="00D0038E" w:rsidRPr="00EB7259" w:rsidRDefault="00D0038E" w:rsidP="00D0038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Проверил</w:t>
      </w:r>
      <w:r w:rsidR="00CF021A">
        <w:rPr>
          <w:rFonts w:ascii="Times New Roman" w:hAnsi="Times New Roman" w:cs="Times New Roman"/>
          <w:sz w:val="28"/>
          <w:szCs w:val="28"/>
        </w:rPr>
        <w:t xml:space="preserve">: </w:t>
      </w:r>
      <w:r w:rsidR="00EB7259" w:rsidRPr="0081262F">
        <w:rPr>
          <w:rFonts w:ascii="Times New Roman" w:hAnsi="Times New Roman" w:cs="Times New Roman"/>
          <w:sz w:val="28"/>
          <w:szCs w:val="28"/>
        </w:rPr>
        <w:t>д.м.н.</w:t>
      </w:r>
      <w:r w:rsidR="00EB7259">
        <w:rPr>
          <w:rFonts w:ascii="Times New Roman" w:hAnsi="Times New Roman" w:cs="Times New Roman"/>
          <w:sz w:val="28"/>
          <w:szCs w:val="28"/>
        </w:rPr>
        <w:t>,</w:t>
      </w:r>
      <w:r w:rsidR="00EB7259" w:rsidRPr="0081262F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EB7259">
        <w:rPr>
          <w:rFonts w:ascii="Times New Roman" w:hAnsi="Times New Roman" w:cs="Times New Roman"/>
          <w:sz w:val="28"/>
          <w:szCs w:val="28"/>
        </w:rPr>
        <w:t xml:space="preserve"> Емельянчик Е.Ю. </w:t>
      </w:r>
    </w:p>
    <w:p w:rsidR="00D0038E" w:rsidRPr="00D73C4E" w:rsidRDefault="00D0038E" w:rsidP="00D0038E">
      <w:pPr>
        <w:rPr>
          <w:rFonts w:ascii="Times New Roman" w:hAnsi="Times New Roman" w:cs="Times New Roman"/>
          <w:sz w:val="28"/>
          <w:szCs w:val="28"/>
        </w:rPr>
      </w:pPr>
    </w:p>
    <w:p w:rsidR="00D0038E" w:rsidRDefault="00D0038E" w:rsidP="00D0038E">
      <w:pPr>
        <w:rPr>
          <w:rFonts w:ascii="Times New Roman" w:hAnsi="Times New Roman" w:cs="Times New Roman"/>
          <w:sz w:val="28"/>
          <w:szCs w:val="28"/>
        </w:rPr>
      </w:pPr>
    </w:p>
    <w:p w:rsidR="00D0038E" w:rsidRPr="00D73C4E" w:rsidRDefault="00D0038E" w:rsidP="00CF6BA8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 w:rsidRPr="00D73C4E">
        <w:rPr>
          <w:rFonts w:ascii="Times New Roman" w:hAnsi="Times New Roman" w:cs="Times New Roman"/>
          <w:sz w:val="44"/>
          <w:szCs w:val="44"/>
        </w:rPr>
        <w:t>Реферат</w:t>
      </w:r>
    </w:p>
    <w:p w:rsidR="00D0038E" w:rsidRPr="00D73C4E" w:rsidRDefault="00D0038E" w:rsidP="00D0038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На тему: «</w:t>
      </w:r>
      <w:r w:rsidR="00EB7259">
        <w:rPr>
          <w:rFonts w:ascii="Times New Roman" w:hAnsi="Times New Roman" w:cs="Times New Roman"/>
          <w:sz w:val="28"/>
          <w:szCs w:val="28"/>
        </w:rPr>
        <w:t>Семейная гиперхолестеринемия у детей</w:t>
      </w:r>
      <w:r w:rsidR="00CF6BA8">
        <w:rPr>
          <w:rFonts w:ascii="Times New Roman" w:hAnsi="Times New Roman" w:cs="Times New Roman"/>
          <w:sz w:val="28"/>
          <w:szCs w:val="28"/>
        </w:rPr>
        <w:t>: этиология, диагностика, лечени</w:t>
      </w:r>
      <w:r w:rsidR="00D2381B">
        <w:rPr>
          <w:rFonts w:ascii="Times New Roman" w:hAnsi="Times New Roman" w:cs="Times New Roman"/>
          <w:sz w:val="28"/>
          <w:szCs w:val="28"/>
        </w:rPr>
        <w:t>е</w:t>
      </w:r>
      <w:r w:rsidRPr="00D73C4E">
        <w:rPr>
          <w:rFonts w:ascii="Times New Roman" w:hAnsi="Times New Roman" w:cs="Times New Roman"/>
          <w:sz w:val="28"/>
          <w:szCs w:val="28"/>
        </w:rPr>
        <w:t>»</w:t>
      </w:r>
    </w:p>
    <w:p w:rsidR="00D0038E" w:rsidRDefault="00D0038E" w:rsidP="00D0038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0038E" w:rsidRDefault="00D0038E" w:rsidP="00D0038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0038E" w:rsidRDefault="00D0038E" w:rsidP="00D0038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0038E" w:rsidRDefault="00D0038E" w:rsidP="00D0038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0038E" w:rsidRDefault="00D0038E" w:rsidP="00D0038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0038E" w:rsidRDefault="00D0038E" w:rsidP="00D0038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0038E" w:rsidRDefault="00D0038E" w:rsidP="00D0038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0038E" w:rsidRDefault="00D0038E" w:rsidP="00D0038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0038E" w:rsidRPr="00D73C4E" w:rsidRDefault="00D0038E" w:rsidP="00D0038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Выполнил</w:t>
      </w:r>
      <w:r w:rsidR="00CF021A">
        <w:rPr>
          <w:rFonts w:ascii="Times New Roman" w:hAnsi="Times New Roman" w:cs="Times New Roman"/>
          <w:sz w:val="28"/>
          <w:szCs w:val="28"/>
        </w:rPr>
        <w:t>а</w:t>
      </w:r>
      <w:r w:rsidRPr="00D73C4E">
        <w:rPr>
          <w:rFonts w:ascii="Times New Roman" w:hAnsi="Times New Roman" w:cs="Times New Roman"/>
          <w:sz w:val="28"/>
          <w:szCs w:val="28"/>
        </w:rPr>
        <w:t>: врач-</w:t>
      </w:r>
      <w:r>
        <w:rPr>
          <w:rFonts w:ascii="Times New Roman" w:hAnsi="Times New Roman" w:cs="Times New Roman"/>
          <w:sz w:val="28"/>
          <w:szCs w:val="28"/>
        </w:rPr>
        <w:t>ординатор</w:t>
      </w:r>
      <w:r w:rsidR="00CF021A">
        <w:rPr>
          <w:rFonts w:ascii="Times New Roman" w:hAnsi="Times New Roman" w:cs="Times New Roman"/>
          <w:sz w:val="28"/>
          <w:szCs w:val="28"/>
        </w:rPr>
        <w:t xml:space="preserve"> Моисеева А.М.</w:t>
      </w:r>
    </w:p>
    <w:p w:rsidR="00D0038E" w:rsidRPr="00D73C4E" w:rsidRDefault="00D0038E" w:rsidP="00D0038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0038E" w:rsidRPr="00D73C4E" w:rsidRDefault="00D0038E" w:rsidP="00D0038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0038E" w:rsidRPr="00D73C4E" w:rsidRDefault="00D0038E" w:rsidP="00D0038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0038E" w:rsidRPr="00D73C4E" w:rsidRDefault="00D0038E" w:rsidP="00D0038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0038E" w:rsidRDefault="00D0038E" w:rsidP="00D0038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г. Красноярск, 20</w:t>
      </w:r>
      <w:r w:rsidR="00EB7259">
        <w:rPr>
          <w:rFonts w:ascii="Times New Roman" w:hAnsi="Times New Roman" w:cs="Times New Roman"/>
          <w:sz w:val="28"/>
          <w:szCs w:val="28"/>
        </w:rPr>
        <w:t>22</w:t>
      </w:r>
      <w:r w:rsidRPr="00D73C4E">
        <w:rPr>
          <w:rFonts w:ascii="Times New Roman" w:hAnsi="Times New Roman" w:cs="Times New Roman"/>
          <w:sz w:val="28"/>
          <w:szCs w:val="28"/>
        </w:rPr>
        <w:t xml:space="preserve"> г</w:t>
      </w:r>
      <w:r w:rsidR="00E93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021A" w:rsidRDefault="00CF021A" w:rsidP="00D0038E">
      <w:pPr>
        <w:rPr>
          <w:rFonts w:ascii="Times New Roman" w:hAnsi="Times New Roman" w:cs="Times New Roman"/>
          <w:sz w:val="28"/>
          <w:szCs w:val="28"/>
        </w:rPr>
        <w:sectPr w:rsidR="00CF021A" w:rsidSect="00475952">
          <w:foot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F021A" w:rsidRDefault="00CF021A" w:rsidP="00CF0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92"/>
        <w:gridCol w:w="1099"/>
      </w:tblGrid>
      <w:tr w:rsidR="00CF021A" w:rsidTr="0055224B">
        <w:tc>
          <w:tcPr>
            <w:tcW w:w="8592" w:type="dxa"/>
          </w:tcPr>
          <w:p w:rsidR="00CF021A" w:rsidRPr="00CB7429" w:rsidRDefault="00CF021A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СОКРАЩЕНИЙ….…………………………………………..</w:t>
            </w:r>
          </w:p>
        </w:tc>
        <w:tc>
          <w:tcPr>
            <w:tcW w:w="1099" w:type="dxa"/>
          </w:tcPr>
          <w:p w:rsidR="00CF021A" w:rsidRPr="00A548FA" w:rsidRDefault="00724AED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021A" w:rsidTr="0055224B">
        <w:tc>
          <w:tcPr>
            <w:tcW w:w="8592" w:type="dxa"/>
          </w:tcPr>
          <w:p w:rsidR="00CF021A" w:rsidRPr="00CB7429" w:rsidRDefault="00F32694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Этиология СГ……</w:t>
            </w:r>
            <w:r w:rsidR="00CF021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1099" w:type="dxa"/>
          </w:tcPr>
          <w:p w:rsidR="00CF021A" w:rsidRPr="00A548FA" w:rsidRDefault="00724AED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021A" w:rsidTr="0055224B">
        <w:tc>
          <w:tcPr>
            <w:tcW w:w="8592" w:type="dxa"/>
          </w:tcPr>
          <w:p w:rsidR="00CF021A" w:rsidRPr="00CB7429" w:rsidRDefault="00F32694" w:rsidP="005100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Распространенность…………………………….</w:t>
            </w:r>
            <w:r w:rsidR="00CF021A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997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21A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1099" w:type="dxa"/>
          </w:tcPr>
          <w:p w:rsidR="00CF021A" w:rsidRPr="00A548FA" w:rsidRDefault="00400E06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021A" w:rsidTr="0055224B">
        <w:tc>
          <w:tcPr>
            <w:tcW w:w="8592" w:type="dxa"/>
          </w:tcPr>
          <w:p w:rsidR="00CF021A" w:rsidRPr="00CB7429" w:rsidRDefault="00F32694" w:rsidP="007747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r w:rsidR="00282F17">
              <w:rPr>
                <w:rFonts w:ascii="Times New Roman" w:hAnsi="Times New Roman" w:cs="Times New Roman"/>
                <w:sz w:val="28"/>
                <w:szCs w:val="28"/>
              </w:rPr>
              <w:t xml:space="preserve"> СГ…………………..</w:t>
            </w:r>
            <w:r w:rsidR="00997519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="00CF021A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99751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CF021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1099" w:type="dxa"/>
          </w:tcPr>
          <w:p w:rsidR="00CF021A" w:rsidRPr="00A548FA" w:rsidRDefault="00400E06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021A" w:rsidTr="0055224B">
        <w:tc>
          <w:tcPr>
            <w:tcW w:w="8592" w:type="dxa"/>
          </w:tcPr>
          <w:p w:rsidR="00CF021A" w:rsidRPr="00CB7429" w:rsidRDefault="00282F17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картина…………………</w:t>
            </w:r>
            <w:r w:rsidR="00CF021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1099" w:type="dxa"/>
          </w:tcPr>
          <w:p w:rsidR="00CF021A" w:rsidRPr="00A548FA" w:rsidRDefault="00400E06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021A" w:rsidTr="0055224B">
        <w:tc>
          <w:tcPr>
            <w:tcW w:w="8592" w:type="dxa"/>
          </w:tcPr>
          <w:p w:rsidR="00CF021A" w:rsidRPr="00CB7429" w:rsidRDefault="00400E06" w:rsidP="0040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диагностики…….</w:t>
            </w:r>
            <w:r w:rsidR="00CF021A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99751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CF021A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1099" w:type="dxa"/>
          </w:tcPr>
          <w:p w:rsidR="00CF021A" w:rsidRPr="00A548FA" w:rsidRDefault="00400E06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4458" w:rsidTr="00F91D1F"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194458" w:rsidRPr="00CB7429" w:rsidRDefault="00282F17" w:rsidP="005522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Каскадный скрининг ……</w:t>
            </w:r>
            <w:r w:rsidR="00194458">
              <w:rPr>
                <w:rFonts w:ascii="Times New Roman" w:hAnsi="Times New Roman" w:cs="Times New Roman"/>
                <w:sz w:val="28"/>
                <w:szCs w:val="28"/>
              </w:rPr>
              <w:t>…….………………………………………….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82F17" w:rsidRPr="00A548FA" w:rsidRDefault="00194458" w:rsidP="0028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4458" w:rsidTr="0055224B">
        <w:tc>
          <w:tcPr>
            <w:tcW w:w="8592" w:type="dxa"/>
          </w:tcPr>
          <w:p w:rsidR="00194458" w:rsidRPr="00CB7429" w:rsidRDefault="00282F17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Лечение……………………………………………………………………</w:t>
            </w:r>
          </w:p>
        </w:tc>
        <w:tc>
          <w:tcPr>
            <w:tcW w:w="1099" w:type="dxa"/>
          </w:tcPr>
          <w:p w:rsidR="00194458" w:rsidRPr="00A548FA" w:rsidRDefault="00282F17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4458" w:rsidTr="0055224B">
        <w:tc>
          <w:tcPr>
            <w:tcW w:w="8592" w:type="dxa"/>
          </w:tcPr>
          <w:p w:rsidR="00194458" w:rsidRPr="00CB7429" w:rsidRDefault="00282F17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………………………………………………………</w:t>
            </w:r>
          </w:p>
        </w:tc>
        <w:tc>
          <w:tcPr>
            <w:tcW w:w="1099" w:type="dxa"/>
          </w:tcPr>
          <w:p w:rsidR="00194458" w:rsidRPr="00A548FA" w:rsidRDefault="00282F17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4458" w:rsidRPr="00A548FA" w:rsidTr="0055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194458" w:rsidRPr="00CB7429" w:rsidRDefault="00194458" w:rsidP="005522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94458" w:rsidRPr="00A548FA" w:rsidRDefault="00194458" w:rsidP="00552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21A" w:rsidRDefault="00CF021A" w:rsidP="00D0038E">
      <w:pPr>
        <w:rPr>
          <w:rFonts w:ascii="Times New Roman" w:hAnsi="Times New Roman" w:cs="Times New Roman"/>
          <w:sz w:val="28"/>
          <w:szCs w:val="28"/>
        </w:rPr>
        <w:sectPr w:rsidR="00CF021A" w:rsidSect="0055224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F021A" w:rsidRPr="006D667F" w:rsidRDefault="00CF021A" w:rsidP="00CF02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СОКРАЩЕНИЙ </w:t>
      </w:r>
    </w:p>
    <w:p w:rsidR="00F32694" w:rsidRDefault="00F32694" w:rsidP="00F32694">
      <w:pPr>
        <w:spacing w:before="100" w:beforeAutospacing="1" w:after="100" w:afterAutospacing="1" w:line="240" w:lineRule="auto"/>
        <w:ind w:firstLine="709"/>
        <w:jc w:val="left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АРОВ – аполипопротеин В</w:t>
      </w:r>
    </w:p>
    <w:p w:rsidR="00F32694" w:rsidRPr="00F32694" w:rsidRDefault="00F32694" w:rsidP="00F32694">
      <w:pPr>
        <w:spacing w:before="100" w:beforeAutospacing="1" w:after="100" w:afterAutospacing="1" w:line="240" w:lineRule="auto"/>
        <w:ind w:firstLine="709"/>
        <w:jc w:val="left"/>
        <w:rPr>
          <w:rStyle w:val="layout"/>
          <w:rFonts w:ascii="Times New Roman" w:hAnsi="Times New Roman" w:cs="Times New Roman"/>
          <w:sz w:val="28"/>
          <w:szCs w:val="28"/>
        </w:rPr>
      </w:pPr>
      <w:r w:rsidRPr="004127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DLCN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127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Dutch Lipid Clinic Network </w:t>
      </w:r>
    </w:p>
    <w:p w:rsidR="00F32694" w:rsidRDefault="00F32694" w:rsidP="00F32694">
      <w:pPr>
        <w:spacing w:before="100" w:beforeAutospacing="1" w:after="100" w:afterAutospacing="1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A7">
        <w:rPr>
          <w:rStyle w:val="layout"/>
          <w:rFonts w:ascii="Times New Roman" w:hAnsi="Times New Roman" w:cs="Times New Roman"/>
          <w:sz w:val="28"/>
          <w:szCs w:val="28"/>
        </w:rPr>
        <w:t>HeFH</w:t>
      </w:r>
      <w:r w:rsidRPr="0041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гетерозиготная гиперхолестериемия</w:t>
      </w:r>
    </w:p>
    <w:p w:rsidR="00F32694" w:rsidRDefault="00F32694" w:rsidP="00F32694">
      <w:pPr>
        <w:spacing w:before="100" w:beforeAutospacing="1" w:after="100" w:afterAutospacing="1" w:line="240" w:lineRule="auto"/>
        <w:ind w:firstLine="709"/>
        <w:jc w:val="left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Hо</w:t>
      </w:r>
      <w:r w:rsidRPr="003116A7">
        <w:rPr>
          <w:rStyle w:val="layout"/>
          <w:rFonts w:ascii="Times New Roman" w:hAnsi="Times New Roman" w:cs="Times New Roman"/>
          <w:sz w:val="28"/>
          <w:szCs w:val="28"/>
        </w:rPr>
        <w:t>FH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– гомозиготная гиперхолестериемия</w:t>
      </w:r>
    </w:p>
    <w:p w:rsidR="00F32694" w:rsidRDefault="00F32694" w:rsidP="00F32694">
      <w:pPr>
        <w:spacing w:before="100" w:beforeAutospacing="1" w:after="100" w:afterAutospacing="1" w:line="240" w:lineRule="auto"/>
        <w:ind w:firstLine="709"/>
        <w:jc w:val="left"/>
        <w:rPr>
          <w:rStyle w:val="layout"/>
          <w:rFonts w:ascii="Times New Roman" w:hAnsi="Times New Roman" w:cs="Times New Roman"/>
          <w:sz w:val="28"/>
          <w:szCs w:val="28"/>
        </w:rPr>
      </w:pPr>
      <w:r w:rsidRPr="003116A7">
        <w:rPr>
          <w:rStyle w:val="layout"/>
          <w:rFonts w:ascii="Times New Roman" w:hAnsi="Times New Roman" w:cs="Times New Roman"/>
          <w:sz w:val="28"/>
          <w:szCs w:val="28"/>
        </w:rPr>
        <w:t>LDLR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– рецептор липопротеиновнизкой плотности</w:t>
      </w:r>
    </w:p>
    <w:p w:rsidR="00F32694" w:rsidRDefault="00F32694" w:rsidP="00F32694">
      <w:pPr>
        <w:spacing w:before="100" w:beforeAutospacing="1" w:after="100" w:afterAutospacing="1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6">
        <w:rPr>
          <w:rFonts w:ascii="Times New Roman" w:eastAsia="Times New Roman" w:hAnsi="Times New Roman" w:cs="Times New Roman"/>
          <w:sz w:val="28"/>
          <w:szCs w:val="28"/>
          <w:lang w:eastAsia="ru-RU"/>
        </w:rPr>
        <w:t>PCSK9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1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пропротеинконвертазу субтилизин/кексин тип 9</w:t>
      </w:r>
    </w:p>
    <w:p w:rsidR="00F32694" w:rsidRDefault="00F32694" w:rsidP="00F32694">
      <w:pPr>
        <w:spacing w:before="100" w:beforeAutospacing="1" w:after="100" w:afterAutospacing="1" w:line="240" w:lineRule="auto"/>
        <w:ind w:firstLine="709"/>
        <w:jc w:val="left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ИБС – ишемическая болезнь сердца</w:t>
      </w:r>
    </w:p>
    <w:p w:rsidR="00F32694" w:rsidRDefault="00F32694" w:rsidP="00F32694">
      <w:pPr>
        <w:spacing w:before="100" w:beforeAutospacing="1" w:after="100" w:afterAutospacing="1" w:line="240" w:lineRule="auto"/>
        <w:ind w:firstLine="709"/>
        <w:jc w:val="left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ИМ – инфаркт миокарда</w:t>
      </w:r>
    </w:p>
    <w:p w:rsidR="00F32694" w:rsidRDefault="00F32694" w:rsidP="00F32694">
      <w:pPr>
        <w:spacing w:before="100" w:beforeAutospacing="1" w:after="100" w:afterAutospacing="1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ОХС – общий холестерин</w:t>
      </w:r>
    </w:p>
    <w:p w:rsidR="00F32694" w:rsidRDefault="00F32694" w:rsidP="00F32694">
      <w:pPr>
        <w:spacing w:before="100" w:beforeAutospacing="1" w:after="100" w:afterAutospacing="1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СГХС</w:t>
      </w:r>
      <w:r w:rsidRPr="0086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26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семейная гиперхолестеринемия</w:t>
      </w:r>
    </w:p>
    <w:p w:rsidR="00F32694" w:rsidRDefault="00F32694" w:rsidP="00F32694">
      <w:pPr>
        <w:spacing w:before="100" w:beforeAutospacing="1" w:after="100" w:afterAutospacing="1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ССЗ – сердечно-сосудистые заболевания</w:t>
      </w:r>
    </w:p>
    <w:p w:rsidR="00F32694" w:rsidRDefault="00F32694" w:rsidP="00F32694">
      <w:pPr>
        <w:spacing w:before="100" w:beforeAutospacing="1" w:after="100" w:afterAutospacing="1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6">
        <w:rPr>
          <w:rFonts w:ascii="Times New Roman" w:eastAsia="Times New Roman" w:hAnsi="Times New Roman" w:cs="Times New Roman"/>
          <w:sz w:val="28"/>
          <w:szCs w:val="28"/>
          <w:lang w:eastAsia="ru-RU"/>
        </w:rPr>
        <w:t>ХС-ЛНП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холестерин липопротеиды</w:t>
      </w:r>
      <w:r w:rsidRPr="0041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плотности</w:t>
      </w:r>
    </w:p>
    <w:p w:rsidR="00F32694" w:rsidRDefault="00F32694" w:rsidP="00F32694">
      <w:pPr>
        <w:spacing w:before="100" w:beforeAutospacing="1" w:after="100" w:afterAutospacing="1" w:line="24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32694" w:rsidSect="0055224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6514C" w:rsidRDefault="0086514C" w:rsidP="008651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Этиология</w:t>
      </w:r>
    </w:p>
    <w:p w:rsidR="00412706" w:rsidRPr="00400E06" w:rsidRDefault="00412706" w:rsidP="00400E06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гиперхолестеринемия (СГХС) — моногенное заболевание с преимущественно аутосомно-доминантным типом наследования, сопровождающееся значительным повышением уровня холестерина липопротеидов низкой плотности (ХС-ЛНП) в крови, и как следствие, преждевременным развитием и прогрессирующим течением атеросклероза, как правило, в молодом возрасте.</w:t>
      </w:r>
    </w:p>
    <w:p w:rsidR="00CF6BA8" w:rsidRPr="00400E06" w:rsidRDefault="00CF6BA8" w:rsidP="00400E0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Гетерозиготная СГХС - СГХС, при которой дефектный ген ЛНП-рецептора передается от одного из родителей.</w:t>
      </w:r>
    </w:p>
    <w:p w:rsidR="00CF6BA8" w:rsidRPr="00400E06" w:rsidRDefault="00CF6BA8" w:rsidP="00400E06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Гомозиготная СГХС - СГХС, при которой дефектный ген ЛНП-рецептора передается от обоих родителей.</w:t>
      </w:r>
    </w:p>
    <w:p w:rsidR="00CF6BA8" w:rsidRPr="00400E06" w:rsidRDefault="00CF6BA8" w:rsidP="00400E06">
      <w:pPr>
        <w:spacing w:line="276" w:lineRule="auto"/>
        <w:ind w:firstLine="709"/>
        <w:rPr>
          <w:rStyle w:val="layout"/>
          <w:rFonts w:ascii="Times New Roman" w:hAnsi="Times New Roman" w:cs="Times New Roman"/>
          <w:sz w:val="28"/>
          <w:szCs w:val="28"/>
        </w:rPr>
      </w:pPr>
      <w:r w:rsidRPr="00400E06">
        <w:rPr>
          <w:rStyle w:val="layout"/>
          <w:rFonts w:ascii="Times New Roman" w:hAnsi="Times New Roman" w:cs="Times New Roman"/>
          <w:sz w:val="28"/>
          <w:szCs w:val="28"/>
        </w:rPr>
        <w:t xml:space="preserve">Помимо клинически подозреваемых случаев HeFH, которые являются отрицательными по мутациям LDLR, APOB или PCSK9, есть пациенты с тяжелой гиперхолестеринемией, у которых </w:t>
      </w:r>
      <w:r w:rsidR="0081262F" w:rsidRPr="00400E06">
        <w:rPr>
          <w:rStyle w:val="layout"/>
          <w:rFonts w:ascii="Times New Roman" w:hAnsi="Times New Roman" w:cs="Times New Roman"/>
          <w:sz w:val="28"/>
          <w:szCs w:val="28"/>
        </w:rPr>
        <w:t>происходит</w:t>
      </w:r>
      <w:r w:rsidRPr="00400E06">
        <w:rPr>
          <w:rStyle w:val="layout"/>
          <w:rFonts w:ascii="Times New Roman" w:hAnsi="Times New Roman" w:cs="Times New Roman"/>
          <w:sz w:val="28"/>
          <w:szCs w:val="28"/>
        </w:rPr>
        <w:t xml:space="preserve"> накопление общих аллелей</w:t>
      </w:r>
      <w:r w:rsidR="0081262F" w:rsidRPr="00400E06">
        <w:rPr>
          <w:rStyle w:val="layout"/>
          <w:rFonts w:ascii="Times New Roman" w:hAnsi="Times New Roman" w:cs="Times New Roman"/>
          <w:sz w:val="28"/>
          <w:szCs w:val="28"/>
        </w:rPr>
        <w:t>, ассоциированных с</w:t>
      </w:r>
      <w:r w:rsidRPr="00400E06">
        <w:rPr>
          <w:rStyle w:val="layout"/>
          <w:rFonts w:ascii="Times New Roman" w:hAnsi="Times New Roman" w:cs="Times New Roman"/>
          <w:sz w:val="28"/>
          <w:szCs w:val="28"/>
        </w:rPr>
        <w:t xml:space="preserve"> повышени</w:t>
      </w:r>
      <w:r w:rsidR="0081262F" w:rsidRPr="00400E06">
        <w:rPr>
          <w:rStyle w:val="layout"/>
          <w:rFonts w:ascii="Times New Roman" w:hAnsi="Times New Roman" w:cs="Times New Roman"/>
          <w:sz w:val="28"/>
          <w:szCs w:val="28"/>
        </w:rPr>
        <w:t>ем</w:t>
      </w:r>
      <w:r w:rsidRPr="00400E06">
        <w:rPr>
          <w:rStyle w:val="layout"/>
          <w:rFonts w:ascii="Times New Roman" w:hAnsi="Times New Roman" w:cs="Times New Roman"/>
          <w:sz w:val="28"/>
          <w:szCs w:val="28"/>
        </w:rPr>
        <w:t xml:space="preserve"> холестерина ЛПНП (Talmud et al., 2013). Эти пациенты определяются как «полигенная гиперхолестеринемия». Jarauta et al. подчеркнули важность новых генетических методов для ранней диагностики «полигенной гиперхолестеринемии» и обеспечения своевременного начала гиполипидемической терапии. Однако генетический критерий диагностики «полигенной гиперхолестеринемии» остается проблемой. Генетич</w:t>
      </w:r>
      <w:r w:rsidR="0081262F" w:rsidRPr="00400E06">
        <w:rPr>
          <w:rStyle w:val="layout"/>
          <w:rFonts w:ascii="Times New Roman" w:hAnsi="Times New Roman" w:cs="Times New Roman"/>
          <w:sz w:val="28"/>
          <w:szCs w:val="28"/>
        </w:rPr>
        <w:t>еское тестирование на моногенные</w:t>
      </w:r>
      <w:r w:rsidRPr="00400E06">
        <w:rPr>
          <w:rStyle w:val="layout"/>
          <w:rFonts w:ascii="Times New Roman" w:hAnsi="Times New Roman" w:cs="Times New Roman"/>
          <w:sz w:val="28"/>
          <w:szCs w:val="28"/>
        </w:rPr>
        <w:t xml:space="preserve"> HeFH потенциально может также помочь выявить «полигенную гиперхолестеринемию», но этот вариант не используется эффективно. </w:t>
      </w:r>
    </w:p>
    <w:p w:rsidR="00CF6BA8" w:rsidRPr="00400E06" w:rsidRDefault="00412706" w:rsidP="00400E0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СГХС обусловлено дефектами генов белков, участвующих в метаболизме липопротеидов, в результате которых нарушается захват клетками ЛНП-частиц и в к</w:t>
      </w:r>
      <w:r w:rsidR="00CF6BA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рови повышается уровень ХС-ЛНП.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частая генетическая причина СГХС – мутация в гене рецептора липопротеидов низкой плотности (ЛНП-рецептора), который расположен главным образом на поверхности гепатоцитов и играет ключевую роль в связывании и выведении из кровотока циркулирующих ЛНП-частиц. На сегодняшний день известно более 1600 мутаций LDLR, способных нарушить функцию рецептора и вызывать развитие СГХС. Мутации в гене LDLR обуславливают от 85 до 90% случаев СГХС.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Вторая по частоте причина – мутация в гене аполипопротеина В (APOB), кодирующего апобелок В100 (апоВ), входящий в состав ЛНП-частиц и ответственный за связывание ЛНП с рецептором. В результате изменений в гене половина ЛНП-частиц не способна связаться с ЛНП-рецептором. Мутации гена APOB обеспечивают от 5 до 10% случаев СГХС. Выявлено несколько патогенных мутаций гена APOB. Показано, что носители мутаций гена LDLR имеют более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высокий уровень ОХС и ХС-ЛНП и более выраженные проявления атеросклероза артерий, </w:t>
      </w:r>
      <w:r w:rsidR="00CF6BA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носители мутаций гена APOB. </w:t>
      </w:r>
    </w:p>
    <w:p w:rsidR="0081262F" w:rsidRPr="00400E06" w:rsidRDefault="00412706" w:rsidP="00400E06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ген, мутации в котором способны приводить к развитию СГХС, – это ген PCSK9, кодирующий пропротеинконвертазу субтилизин/кексин тип 9 -сериновую протеазу, участвующую в разрушении ЛНП-рецептора. Мутации, приводящие к усилению функциональной активности PCSK9 (миссенс-мутации), вызывают повышенное разрушение ЛН</w:t>
      </w:r>
      <w:r w:rsidR="00CF6BA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П-рецепторов, в результате чего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количество рецепторов на поверхности клетки и развивается ГХС. Кроме того, мутации, усиливающие функциональную активность PCSK9, способны стимулировать синтез печенью липопротеидов, содержащих апоВ, что также приводит к ГХС. Мутации гена PCSK9 обеспечивают меньше 5% случаев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СГХС. Уровни ХС-ЛНП у носителей миссенс-мутаций PCSK9 </w:t>
      </w:r>
      <w:r w:rsidR="0081262F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варьируют от относительно умеренных до очень высоких.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Мутации в генах LDLRAP1, ABCG5, ABCG8, CYP7A1 имеют рецессивный тип наследования и клинически проявляются только как гомозиготная форма СГХС.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последнее время в качестве генов-кандидатов, мутации в которых вызывают развитие СГХС, рассматриваются также STAP1, LIPA и PNPLA5.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современной концепции развития атеросклероза, в соответствии с липидно-инфильтрационной теорией, формирование атеросклеротической бляшки обусловлено поступлением в субэндотелиальное пространство как нативных, так и окисленных (модифицированных) ЛНП. Чем выше уровень последних в плазме крови, тем интенсивнее протекает этот процесс. Более того, при длительном нахождении ЛНП в крови вероятность окисления частиц возрастает. Пациенты с СГХС характеризуются длительной экспозицией высокого уровня ХС-ЛНП в кровотоке, что и обусловливает раннее и прогрессирующее развитие атеросклероза. На развитие атеросклероза, в частности ИБС, у пациентов с СГХС оказывают влияние те же факторы риска, что и у лиц без СГХС: модифицируемые (артериальная гипертензия (АГ),</w:t>
      </w:r>
      <w:r w:rsidR="00CF6BA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(СД), курение, низкая физ</w:t>
      </w:r>
      <w:r w:rsidR="00CF6BA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ическая активность, ожирение) и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немодифицируемые факторы (мужской пол, возраст, отягощенность семейного анамнеза по сердеч</w:t>
      </w:r>
      <w:r w:rsidR="00CF6BA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но-сосудистым заболеваниям (ССЗ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Дополнительные факторы риска атеросклероза, помимо ГХС, увеличивают смертность при СГХС.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514C" w:rsidRPr="00400E06" w:rsidRDefault="0086514C" w:rsidP="00400E06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Распространенность</w:t>
      </w:r>
    </w:p>
    <w:p w:rsidR="00400E06" w:rsidRDefault="00412706" w:rsidP="00400E06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мета-анализу 2017 г., распространенность гетерозиготной СГХС в мире составляет 1 на 250 человек. По данным недавнего эпидемиологического исследования, проведенного в двух регионах Российской Федерации,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распространенность СГХС 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 на 108 человек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Распространенность гоСГХС – значительно меньше (1 н</w:t>
      </w:r>
      <w:r w:rsidR="0081262F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а 6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– 1 млн. человек)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лиц с гиперхолестеринемией СГХС встречается значительно чаще – в 5-10% случаев.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СГХС является причиной развития ИМ до 45 лет в 20% случаев. Пациенты с СГХС имеют также повышенный риск развития преждевременной смерти. У мужчин, больных геСГХС, в случае отсутствия лечения ИБС развивается к 30 годам у 5,4%, к 50 годам – 51,4%, к 60 годам – 85,4%, а у женщин к 60 годам 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53,3%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докладу ВОЗ (1997), 50% мужчин с геСГХС умирают в возрасте до 60 лет из-за ИБС. В России продолжительность жизни у мужчин с геСГХС – 53 года, у женщин 62 года. У нелеченных пациентов с гоСГХС атеросклероз развивается в возрасте до 20 лет, и продолжительность жизни составляет не более 30 лет. </w:t>
      </w:r>
    </w:p>
    <w:p w:rsidR="00CF6BA8" w:rsidRPr="00400E06" w:rsidRDefault="00412706" w:rsidP="00400E06">
      <w:pPr>
        <w:spacing w:line="276" w:lineRule="auto"/>
        <w:ind w:firstLine="709"/>
        <w:rPr>
          <w:rStyle w:val="layout"/>
          <w:rFonts w:ascii="Times New Roman" w:hAnsi="Times New Roman" w:cs="Times New Roman"/>
          <w:sz w:val="28"/>
          <w:szCs w:val="28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СГ все еще остается недиагностированным заболеванием. В качестве примера можно привести исследование Ramaswami et al. (2019), который проводился в педиатрической популяции Великобритании. Это исследование показало, что &lt;550 детей с подтвержденным диагнозом гетерозиготной СГ (HeFH) находились под наблюдением в системе здравоохранения. И это несмотря на предполагаемую распространенность HeFH среди 50 000 детей в возрасте до 18 лет в Великобритании на основе распространенности в популяции 1 из 250.</w:t>
      </w:r>
      <w:r w:rsidR="004B78E0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E0" w:rsidRPr="00400E06">
        <w:rPr>
          <w:rStyle w:val="layout"/>
          <w:rFonts w:ascii="Times New Roman" w:hAnsi="Times New Roman" w:cs="Times New Roman"/>
          <w:sz w:val="28"/>
          <w:szCs w:val="28"/>
        </w:rPr>
        <w:t xml:space="preserve">После постановки диагноза важно обеспечить </w:t>
      </w:r>
      <w:r w:rsidR="00400E06">
        <w:rPr>
          <w:rStyle w:val="layout"/>
          <w:rFonts w:ascii="Times New Roman" w:hAnsi="Times New Roman" w:cs="Times New Roman"/>
          <w:sz w:val="28"/>
          <w:szCs w:val="28"/>
        </w:rPr>
        <w:t>постоян</w:t>
      </w:r>
      <w:r w:rsidR="004B78E0" w:rsidRPr="00400E06">
        <w:rPr>
          <w:rStyle w:val="layout"/>
          <w:rFonts w:ascii="Times New Roman" w:hAnsi="Times New Roman" w:cs="Times New Roman"/>
          <w:sz w:val="28"/>
          <w:szCs w:val="28"/>
        </w:rPr>
        <w:t>ное наблюдение за этими пациентами и сопоставление резул</w:t>
      </w:r>
      <w:r w:rsidR="0086514C" w:rsidRPr="00400E06">
        <w:rPr>
          <w:rStyle w:val="layout"/>
          <w:rFonts w:ascii="Times New Roman" w:hAnsi="Times New Roman" w:cs="Times New Roman"/>
          <w:sz w:val="28"/>
          <w:szCs w:val="28"/>
        </w:rPr>
        <w:t xml:space="preserve">ьтатов продольных исследований. </w:t>
      </w:r>
      <w:r w:rsidR="00CF6BA8" w:rsidRPr="00400E06">
        <w:rPr>
          <w:rStyle w:val="layout"/>
          <w:rFonts w:ascii="Times New Roman" w:hAnsi="Times New Roman" w:cs="Times New Roman"/>
          <w:sz w:val="28"/>
          <w:szCs w:val="28"/>
        </w:rPr>
        <w:t>Гомозиготная форма СГ (HoFH) - редкое заболевание с распространенностью ~ 1: 200 000–30 000 (Sjouke et al., 2015). HoFH - серьезное заболевание из-за очень агрессивного прогрессирования атеросклероза. Без раннего вмешательства HoFH вызывает ОИМ в детстве (Vallejo-Vaz et al., 2015).</w:t>
      </w:r>
    </w:p>
    <w:p w:rsidR="0086514C" w:rsidRPr="00400E06" w:rsidRDefault="0086514C" w:rsidP="00400E06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</w:t>
      </w:r>
    </w:p>
    <w:p w:rsidR="00412706" w:rsidRPr="00400E06" w:rsidRDefault="00412706" w:rsidP="00400E0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наследования выделяют сле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формы СГХС:</w:t>
      </w:r>
    </w:p>
    <w:p w:rsidR="00412706" w:rsidRPr="00400E06" w:rsidRDefault="00412706" w:rsidP="00400E0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гетерозиготная СГХС;</w:t>
      </w:r>
    </w:p>
    <w:p w:rsidR="00412706" w:rsidRPr="00400E06" w:rsidRDefault="00412706" w:rsidP="00400E0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гомозиготная СГХС.</w:t>
      </w:r>
    </w:p>
    <w:p w:rsidR="00412706" w:rsidRPr="00400E06" w:rsidRDefault="00412706" w:rsidP="00400E0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холестерина (ОХС) у пациентов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гетерозиготной формой СГХС (геСГХС), когда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генетический дефект унаследован от одного из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обычно составляет 7,5–14 ммоль/л.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гомозиготной СГХС (гоСГХС), при которой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генетический д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 унаследован от обоих роди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дителей, – 14–26 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ммоль/л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Особого внимания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заслуживают носители гоСГХС, у которых тяжелая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гиперхолестеринемия (ГХС) приводит к сердечно-сосудистым заболеваниям (ССЗ) уже в детстве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юности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706" w:rsidRPr="00400E06" w:rsidRDefault="00412706" w:rsidP="00400E0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диагностическими критериями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Dutch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Lipid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Clinic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Network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00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DLCN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вероятности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геСГХС выделяют:</w:t>
      </w:r>
    </w:p>
    <w:p w:rsidR="00412706" w:rsidRPr="00400E06" w:rsidRDefault="00412706" w:rsidP="00400E0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определенную СГХС;</w:t>
      </w:r>
    </w:p>
    <w:p w:rsidR="00412706" w:rsidRPr="00400E06" w:rsidRDefault="00412706" w:rsidP="00400E0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вероятную СГХС;</w:t>
      </w:r>
    </w:p>
    <w:p w:rsidR="00412706" w:rsidRPr="00400E06" w:rsidRDefault="00412706" w:rsidP="00400E0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возможную СГХС.</w:t>
      </w:r>
    </w:p>
    <w:p w:rsidR="00412706" w:rsidRPr="00400E06" w:rsidRDefault="00412706" w:rsidP="00400E0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критериями Саймона Брума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(Simon Broome) по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вероятности наличия геСГХС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выделяют:</w:t>
      </w:r>
    </w:p>
    <w:p w:rsidR="00412706" w:rsidRPr="00400E06" w:rsidRDefault="00412706" w:rsidP="00400E0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определенную СГХС;</w:t>
      </w:r>
    </w:p>
    <w:p w:rsidR="00412706" w:rsidRPr="00400E06" w:rsidRDefault="00412706" w:rsidP="00400E0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вероятную СГХС.</w:t>
      </w:r>
    </w:p>
    <w:p w:rsidR="0086514C" w:rsidRPr="00400E06" w:rsidRDefault="00412706" w:rsidP="00400E06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Клиническая картина</w:t>
      </w:r>
    </w:p>
    <w:p w:rsidR="0086514C" w:rsidRPr="00400E06" w:rsidRDefault="00412706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СГХС является результатом генетического нарушения или нарушений, ГХС развивается уже с рождения и приводит к раннему развитию, прежде всего, ишемической болезни сердца (ИБС). В связи с тем, что ГХС сама по себе не вызывает никаких жалоб, заболевание длительные годы протекает бессимптомно и зачастую манифестирует в виде ИБС, в частности, инфаркта миокарда (ИМ) или внезапной смерти. У 30-55% пациентов с СГХС выявляются сухожильные ксантомы, которые можно обнаружить в любом возрасте. Патогномоничным признаком для СГХС является липоидная дуга роговицы, выявляемая в возрасте до 45 лет. Для пациентов с гоСГХС ха</w:t>
      </w:r>
      <w:r w:rsidR="0086514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рактерны также кожные ксантомы.</w:t>
      </w:r>
    </w:p>
    <w:p w:rsidR="00412706" w:rsidRPr="00400E06" w:rsidRDefault="00412706" w:rsidP="00400E06">
      <w:pPr>
        <w:spacing w:before="100" w:beforeAutospacing="1" w:after="100" w:afterAutospacing="1"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с СГХС, даже при отсутствии ССЗ атеросклеротического генеза, относятся к группе высокого риска, а при их наличии – к группе очень высокого риска развития сердечно-сосудистых (СС) осложнений.</w:t>
      </w:r>
    </w:p>
    <w:p w:rsidR="0086514C" w:rsidRPr="00400E06" w:rsidRDefault="0086514C" w:rsidP="00400E06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диагностики</w:t>
      </w:r>
    </w:p>
    <w:p w:rsidR="0086514C" w:rsidRPr="00400E06" w:rsidRDefault="00412706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целесообразным подходом для выявления новых случаев СГХС является проведение целевого скрининга, направленного на диагностику данного заболевания среди следующих категорий лиц:</w:t>
      </w:r>
    </w:p>
    <w:p w:rsidR="0086514C" w:rsidRPr="00400E06" w:rsidRDefault="00412706" w:rsidP="00400E06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индивидуальным и/или семейным анамнезом ГХС (ОХС&gt; 7,5 ммоль/л или ХС-ЛНП&gt; 4,9 ммоль/л у взрослых или ОХС&gt; 6,7 ммоль/л или ХС-ЛНП&gt; 3,5 ммоль/л у детей); </w:t>
      </w:r>
    </w:p>
    <w:p w:rsidR="0086514C" w:rsidRPr="00400E06" w:rsidRDefault="00412706" w:rsidP="00400E06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индивидуальным анамнезом раннего (у мужчин &lt;55 лет; у женщин &lt;60 лет) развития ССЗ атеросклеротического генеза; с кожными/сухожильными ксантомами или периорбитальными ксантелазмами.</w:t>
      </w:r>
    </w:p>
    <w:p w:rsidR="000F1BDD" w:rsidRPr="00400E06" w:rsidRDefault="00412706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диагностика СГХС основывается на применении критериев, разработанных для взрослых и детей с геСГСХ и для пациентов с гоСГСХ. Необходимая информация для применения данных критериев должна быть получена в ходе </w:t>
      </w:r>
      <w:r w:rsidR="00222B21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диагностического обследования.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проведение обследования, направленного на исключение причин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вторичных гиперлипидемий, у всех лиц с подозрением на СГХС.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наличие у пациента этих факторов не исключает диагноз СГХС. Возможно сочетание СГХС и вторичных нарушений липидного обмена.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6CF7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 подростков в возрасте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F7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16 лет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диагноза геСГХС использ</w:t>
      </w:r>
      <w:r w:rsidR="00936CF7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Саймона Брума (Simon Broome Registry</w:t>
      </w:r>
      <w:r w:rsidR="00936CF7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модифицированные критерии экспертов европейского общества по атеросклерозу (EAS, 2015</w:t>
      </w:r>
      <w:r w:rsidR="00936CF7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быть использованы у</w:t>
      </w:r>
      <w:r w:rsidR="00936CF7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до 19 лет.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1BDD" w:rsidRPr="00400E06" w:rsidRDefault="000F1BDD" w:rsidP="00400E06">
      <w:pPr>
        <w:spacing w:before="100" w:beforeAutospacing="1" w:after="100" w:afterAutospacing="1" w:line="276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0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  <w:r w:rsidRPr="00400E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Саймона</w:t>
      </w:r>
      <w:r w:rsidRPr="00400E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Pr="0040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Брума</w:t>
      </w:r>
      <w:r w:rsidRPr="00400E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(SIMON BROOME REGISTRY)</w:t>
      </w:r>
    </w:p>
    <w:p w:rsidR="000F1BDD" w:rsidRPr="00400E06" w:rsidRDefault="000F1BDD" w:rsidP="00400E06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524"/>
      <w:bookmarkEnd w:id="0"/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Саймона Брума (Simon Broome Registry) применяют для диагностики геСГХС у взрослых, а также у детей и подростков в возрасте до 16 лет.</w:t>
      </w:r>
      <w:bookmarkStart w:id="1" w:name="100525"/>
      <w:bookmarkEnd w:id="1"/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 геСГХС выставляется в случае соответствия пациента критериям "определенного" или "вероятного" диагноза СГХС.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"/>
        <w:gridCol w:w="9842"/>
      </w:tblGrid>
      <w:tr w:rsidR="000F1BDD" w:rsidRPr="00400E06" w:rsidTr="000F1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BDD" w:rsidRPr="00400E06" w:rsidRDefault="000F1BDD" w:rsidP="00400E0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100526"/>
            <w:bookmarkEnd w:id="2"/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Определенный диагноз геСГХС ставится, ес</w:t>
            </w:r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ли:</w:t>
            </w:r>
          </w:p>
          <w:p w:rsidR="000F1BDD" w:rsidRPr="00400E06" w:rsidRDefault="000F1BDD" w:rsidP="00400E06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ОХС &gt; 6,7 ммоль/л или ХС-ЛНП &gt; 4,0 ммоль/л у пациента младше 16 лет, или</w:t>
            </w:r>
          </w:p>
          <w:p w:rsidR="000F1BDD" w:rsidRPr="00400E06" w:rsidRDefault="000F1BDD" w:rsidP="00400E06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ОХС &gt; 7,5 ммоль/л или ХС-ЛНП &gt; 4,9 ммоль/л у пациента старше 16 лет</w:t>
            </w:r>
          </w:p>
          <w:p w:rsidR="000F1BDD" w:rsidRPr="00400E06" w:rsidRDefault="000F1BDD" w:rsidP="00400E0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 одно из нижеперечисленного:</w:t>
            </w:r>
          </w:p>
        </w:tc>
      </w:tr>
      <w:tr w:rsidR="000F1BDD" w:rsidRPr="00400E06" w:rsidTr="000F1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BDD" w:rsidRPr="00400E06" w:rsidRDefault="000F1BDD" w:rsidP="00400E0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100527"/>
            <w:bookmarkEnd w:id="3"/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F1BDD" w:rsidRPr="00400E06" w:rsidRDefault="000F1BDD" w:rsidP="00400E0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100528"/>
            <w:bookmarkEnd w:id="4"/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сухожильных ксантом у пациента или родственника первой степени родства (родители, дети, братья, сестры), или у родственника 2-ой степени родства (дедушки, бабушки, дяди или тети), и/или</w:t>
            </w:r>
          </w:p>
        </w:tc>
      </w:tr>
      <w:tr w:rsidR="000F1BDD" w:rsidRPr="00400E06" w:rsidTr="000F1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BDD" w:rsidRPr="00400E06" w:rsidRDefault="000F1BDD" w:rsidP="00400E0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100529"/>
            <w:bookmarkEnd w:id="5"/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Позитивный тест ДНК-диагностики, подтверждающий наличие патогенного или вероятно патогенного варианта нуклеотидной последовательности в генах LDLR, APOB или PCSK9</w:t>
            </w:r>
          </w:p>
          <w:p w:rsidR="000F1BDD" w:rsidRPr="00400E06" w:rsidRDefault="000F1BDD" w:rsidP="00400E0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Вероятный диагноз геСГХС ставится, если</w:t>
            </w:r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F1BDD" w:rsidRPr="00400E06" w:rsidRDefault="000F1BDD" w:rsidP="00400E0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ОХС &gt; 6,7 ммоль/л или ХС-ЛНП &gt; 4,0 ммоль/л у пациента младше 16 лет, или</w:t>
            </w:r>
          </w:p>
          <w:p w:rsidR="000F1BDD" w:rsidRPr="00400E06" w:rsidRDefault="000F1BDD" w:rsidP="00400E0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ОХС &gt; 7,5 ммоль/л или ХС-ЛНП &gt; 4,9 ммоль/л у пациента старше 16 </w:t>
            </w:r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</w:t>
            </w:r>
          </w:p>
        </w:tc>
      </w:tr>
      <w:tr w:rsidR="000F1BDD" w:rsidRPr="00400E06" w:rsidTr="000F1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BDD" w:rsidRPr="00400E06" w:rsidRDefault="000F1BDD" w:rsidP="00400E0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100530"/>
            <w:bookmarkEnd w:id="6"/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Плюс одно из нижеперечисленного:</w:t>
            </w:r>
          </w:p>
        </w:tc>
      </w:tr>
      <w:tr w:rsidR="000F1BDD" w:rsidRPr="00400E06" w:rsidTr="000F1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BDD" w:rsidRPr="00400E06" w:rsidRDefault="000F1BDD" w:rsidP="00400E0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100531"/>
            <w:bookmarkEnd w:id="7"/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F1BDD" w:rsidRPr="00400E06" w:rsidRDefault="000F1BDD" w:rsidP="00400E06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100532"/>
            <w:bookmarkEnd w:id="8"/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ИМ в анамнезе родственника 2-й степени родства до 50 лет, родственника 1-й степени родства - до 60 лет, и/или</w:t>
            </w:r>
          </w:p>
        </w:tc>
      </w:tr>
      <w:tr w:rsidR="000F1BDD" w:rsidRPr="00400E06" w:rsidTr="000F1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BDD" w:rsidRPr="00400E06" w:rsidRDefault="000F1BDD" w:rsidP="00400E06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100533"/>
            <w:bookmarkEnd w:id="9"/>
            <w:r w:rsidRPr="0040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ОХС &gt; 7,5 ммоль/л у пациента старше 16 лет 1-й или 2-й степени родства или повышение ОХС &gt; 6,7 ммоль/л у пациента или родственника 1-й степени родства в возрасте менее 16 лет.</w:t>
            </w:r>
          </w:p>
        </w:tc>
      </w:tr>
    </w:tbl>
    <w:p w:rsidR="00412706" w:rsidRPr="00400E06" w:rsidRDefault="00412706" w:rsidP="00400E06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провести осмотр и пальпацию следующи</w:t>
      </w:r>
      <w:r w:rsidR="00936CF7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сухожилий: ахилловых,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разгибателей пальцев рук, трицепсов и коленных суставов с целью диагностики наличия сухожильных ксантом. Выявление сухожильных ксантом является патогномоничным признаком СГХС, однако отсутствие ксантом не исключает диагноза СГХС.</w:t>
      </w:r>
      <w:r w:rsidR="00936CF7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осмотр кожных покровов с целью диагностики наличия туберозных ксантом на коже. Наличие кожных туберозных ксантом в молодом возрасте характерно в большей степени для гоСГХС. Однако их отсутствие не исключает диагноза СГХС. Кожные ксантелазмы не являются патогномоничным признаком СГХС. Рекомендуется провести осмотр роговицы обоих глаз с целью диагностики липоидной дуги роговицы. Комментарии: Наличие липоидной дуги роговицы явл</w:t>
      </w:r>
      <w:r w:rsidR="00936CF7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патогномоничным признаком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СГХС только в случае ее обнаружения в возрасте до 45 лет.</w:t>
      </w:r>
    </w:p>
    <w:p w:rsidR="00936CF7" w:rsidRPr="00400E06" w:rsidRDefault="0029623F" w:rsidP="00400E06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ХС-ЛНП должно проводиться исходно всем пациентам с гиперхолестеринемией. Если уровень триглицеридов ≤ 4.5 ммоль/л, то расчет ХС-ЛНП нужно проводить </w:t>
      </w:r>
      <w:r w:rsidR="00936CF7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 Фридвальда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623F" w:rsidRPr="00400E06" w:rsidRDefault="00412706" w:rsidP="00400E06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гиполипидемической терапии в плане снижения СС рисков также напрямую связана со снижением уровня ХС-ЛНП. Каждый 1 ммоль/л снижения ХС-ЛНП ассоциируется со уменьшение</w:t>
      </w:r>
      <w:r w:rsidR="00936CF7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относительного риска развития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ИБС на 20%, поэтому необходима оценка динамики этого показателя на фоне лечения. </w:t>
      </w:r>
    </w:p>
    <w:p w:rsidR="0029623F" w:rsidRPr="00400E06" w:rsidRDefault="0029623F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ХС-ЛНП &gt; 3,5 ммоль/л у детей и подростков до 15 лет является основным фенотипическим признаком СГХС. У детей с уровнем ХС-ЛНП более 11 ммоль/л требуется проводить диагностику гоСГХС. Измерять уровень холестерина у детей следует начиная с двухлетнего возраста, если у родителей имеется СГХС, ксантоматоз или раннее начало ИБС. В таких семьях все лица должны быть обследованы для ис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СГХС как можно раньше.</w:t>
      </w:r>
    </w:p>
    <w:p w:rsidR="0029623F" w:rsidRPr="00400E06" w:rsidRDefault="0029623F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выявление повышения ХС-ЛНП &gt; 3,5 ммоль/л у детей и подростков до 15 лет проводить его повторное измерение не позднее чем через 3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месяца с целью исключения влияния индивидуальной и лабораторной вариа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бельности на данный показатель.</w:t>
      </w:r>
    </w:p>
    <w:p w:rsidR="0029623F" w:rsidRPr="00400E06" w:rsidRDefault="0029623F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уровень ОХС всем лицам с подозрением на СГХС с целью расчета уровня ХС-ЛНП по формуле Фридвальда и для постановки диагноза геСГХС по критериям Саймона Брума в случае невозможности определения ХС-ЛНП.</w:t>
      </w:r>
    </w:p>
    <w:p w:rsidR="0029623F" w:rsidRPr="00400E06" w:rsidRDefault="00412706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Фридавальда позволяет, зная значения ОХ, ХС-ЛВП и триглицеридов, рассчитать концентрацию ХС-ЛНП: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Концентрация ХС-ЛНП (ммоль/л)= ОХ – (ХС-ЛВП + ТГ/2,2).</w:t>
      </w:r>
    </w:p>
    <w:p w:rsidR="00C8352A" w:rsidRPr="00400E06" w:rsidRDefault="0029623F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подтверждения диагноза гоСГХС проведение молекулярно-генетического исследования, направленного на выявление патогенных или вероятно патогенных вариантов нуклеотид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в генах LDLR, АРОВ, PCSK9, </w:t>
      </w:r>
      <w:r w:rsidR="00C8352A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LDLRAP1, ABCG5, ABCG8, CYP7A1.</w:t>
      </w:r>
    </w:p>
    <w:p w:rsidR="00D34FAC" w:rsidRPr="00400E06" w:rsidRDefault="00412706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диагноза геСГХС возможна без выполнения молекулярно-генетического исследования по клиническим критериям, однако выявление конкретной генной мутации существенно облегчает постановку диагноза СГХС и последующее проведение каскадного скрининга, уточняет риск развития ССЗ, а также может быть полезным при планировании семьи. Кроме того, выявление мутации нередко увеличивает приверженность пациента к терапии. Согласно рандомизированному исследованию, генетическое подтверждение диагноза СГХС усиливает веру в эффективность медикаментозного снижения уровня холестерина.</w:t>
      </w:r>
      <w:r w:rsidR="00D34FA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FAC" w:rsidRPr="00400E06">
        <w:rPr>
          <w:rStyle w:val="layout"/>
          <w:rFonts w:ascii="Times New Roman" w:hAnsi="Times New Roman" w:cs="Times New Roman"/>
          <w:sz w:val="28"/>
          <w:szCs w:val="28"/>
        </w:rPr>
        <w:t xml:space="preserve">Более глубокое понимание сложной наследственной основы семейной гиперхолестеринемии (СГ) привело к необходимости генетического тестирования, которое мало используется в клинической практике. </w:t>
      </w:r>
    </w:p>
    <w:p w:rsidR="00D34FAC" w:rsidRPr="00400E06" w:rsidRDefault="00D34FAC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генетическое тестирование СГ, поскольку его результаты могут изменить или повлиять на ведение пациента и выявить биологических родственников первой степени риска. В 2018 году Американский колледж кардиологии сообщил (на основе мнений кардиологов, поставщиков первичной медико-санитарной помощи и членов группы специалистов по сердечно-сосудистой системе), что одной из ключевых проблем, влияющих на ведение пациентов с СГ, является отсутствие знаний о рекомендациях по диагностике, ведению и лечению СГ. и лечение. В нескольких обзорах литературы обобщены данные о полезности генетического тестирования СГ для устранения этого пробела в образовании. Кроме того, недостаточно знаний о том, как тестирование СГ используется в исследованиях и клинических условиях во всем мире, а также </w:t>
      </w:r>
      <w:r w:rsidRPr="0040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общей ценности генетического тестирования СГ с точки зрения улучшения клинических результатов.</w:t>
      </w:r>
    </w:p>
    <w:p w:rsidR="00400E06" w:rsidRDefault="00412706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проводить диагностику наличия атеросклеротического поражения сонных артерий и артерий нижних конечностей у взрослых лиц с подозрением на СГХС при помощи УЗИ во всех случаях, когда такое обследование не проводилось ранее </w:t>
      </w:r>
      <w:r w:rsidR="00D34FA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12 месяцев.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наличия атеросклероза </w:t>
      </w:r>
      <w:r w:rsidR="00D34FA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сонных артерий и артерий нижних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конечностей у взрослых необходима как для постановки диагноза СГХС согласно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диагностическим критериям, так и стратификации риска СС осложнений и определения тактики лечения.</w:t>
      </w:r>
    </w:p>
    <w:p w:rsidR="00D34FAC" w:rsidRPr="00400E06" w:rsidRDefault="00412706" w:rsidP="00400E06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Каскадный скрининг</w:t>
      </w:r>
    </w:p>
    <w:p w:rsidR="00D34FAC" w:rsidRPr="00400E06" w:rsidRDefault="00412706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 целью исключения/подтверждения заболевания СГХС обследовать родственников первой, второй, и, если возможно, третьей степени родства пациента с установленным диагн</w:t>
      </w:r>
      <w:r w:rsidR="00B64B05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озом СГХС (каскадный скрининг).</w:t>
      </w:r>
    </w:p>
    <w:p w:rsidR="00D34FAC" w:rsidRPr="00400E06" w:rsidRDefault="00412706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Каскадный скрининг – поэтапная идентификация пациентов с СГХС среди членов семьи пробанда (первого лица в семье с установленным диагнозом геСГХС), т.е. первого лица в семье, у которого выставлен диагноз СГХС. По мере выявления новых пациентов с СГХС, их родственники также обследуются. Каскадный скрининг -</w:t>
      </w:r>
      <w:r w:rsidR="00D34FA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целесообразный способ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ранее не диагностированной СГХС, так как он позволяет выявить пациентов с СГХС, в том числе на доклинической стадии. Это помогает проводить профилактические мероприятия, включающие изменение образа жизни, коррекцию факторов риска ССЗ и адекватную лекарственную терапию, снижающую уровень холестерина в крови и предотвращающую развитие сердечно-сосудистых осложнений. Родственники первой степени родства: родители (мать, отец) и дети (сын, дочь), брат и с</w:t>
      </w:r>
      <w:r w:rsidR="00D34FA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естра; второй: бабушка, дедушка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внуки, внучки, дядя, тетя и племянники, племянницы; третьей: прадед, прабабушка и правнуки, правнучки; двоюродн</w:t>
      </w:r>
      <w:r w:rsidR="00D34FAC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брат и сестра. </w:t>
      </w:r>
    </w:p>
    <w:p w:rsidR="000A4628" w:rsidRPr="00400E06" w:rsidRDefault="00D34FAC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разъяснять пациенту важность пр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каскадного скрининга и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приглашения его родственников на обследование, поскольку раннее выявление среди них новых случаев СГХС позволит начать профилактические мероприятия и лекарственную терапию, направленные на предотвращение развития сердечно-сосудистых осложнений. Рекомендуется в случае, если у пробанда было проведено молекулярно-генетическое обследование и выявлен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патогенный или вероятно-патогенный вариант нуклеотидной последовательности генов LDLR, APOB, PCSK9, проведение генетического каскадного скрининга у родственников пробанда с целью определения у них наличия или отсутствия </w:t>
      </w:r>
      <w:r w:rsidR="000A462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генетического варианта.</w:t>
      </w:r>
    </w:p>
    <w:p w:rsidR="00412706" w:rsidRPr="00400E06" w:rsidRDefault="000A4628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данных молекул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ярно-генетического обследования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пробанда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фенотипический каскадный скрининг среди его родственников, основанный на применении критериев диагностики СГХС родственников пробанда. Учитывая более высокую вероятность наличия СГХС у родственников пробанда (вероятность 50% для родственников 1 степени родства и 25% для 2-ой степени) по сравнению с общепопуляционной (ориентировочно 1/200), применение отдельных критериев для родственников повышает чувствительность при достаточной специфичности по сравнению с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критериями, применяемыми у пробанда. Высокая чувствительность (93%) и специфичность (82%) этих критериев в диагностике СГХС была продемонстрирована и для российской популяции.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A4628" w:rsidRPr="00400E06" w:rsidRDefault="000A4628" w:rsidP="00400E06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</w:t>
      </w:r>
    </w:p>
    <w:p w:rsidR="00412706" w:rsidRPr="00400E06" w:rsidRDefault="00412706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всем пациентам с СГХС вне зависимости от их возраста в обязательном порядке проводить консультирование по вопросам диеты,</w:t>
      </w:r>
      <w:r w:rsidR="000A462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активности, образа жизни</w:t>
      </w:r>
      <w:r w:rsidR="000A462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рекомендации по здоровому питанию и физической активности пациенту с СГХС при каждом визите к врачу.</w:t>
      </w:r>
      <w:r w:rsidR="000A462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пациентам с СГХС с целью снижения уровня ОХС и ХС-ЛНП и риска развития ССЗ </w:t>
      </w:r>
      <w:r w:rsidR="000A462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диеты с ограничением потребления насыщенных жиров (&lt;7% от потребляемых кал/день) и трансжиров (&lt;1% кал/день) за счет введения в рацион моно- (орехи, нерафинированное оливковое масло) и полиненасыщенных (рыба, льняное масло) жирных кислот в количестве, беспечивающем до 30% суточного калоража</w:t>
      </w:r>
      <w:r w:rsidR="000A462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потребление холестерина до 200 мг/день.</w:t>
      </w:r>
      <w:r w:rsidR="000A462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потребление пищи, богатой растительной клетчаткой (по крайней мере 5 </w:t>
      </w:r>
      <w:r w:rsidR="000A462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порций овощей и фруктов в день),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пищевых продуктов, обогащенных станолами и стеролами.</w:t>
      </w:r>
    </w:p>
    <w:p w:rsidR="00412706" w:rsidRPr="00400E06" w:rsidRDefault="000A4628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MS Mincho" w:hAnsi="Times New Roman" w:cs="Times New Roman"/>
          <w:sz w:val="28"/>
          <w:szCs w:val="28"/>
          <w:lang w:eastAsia="ru-RU"/>
        </w:rPr>
        <w:t>Консультирование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пациента с СГХС врачом-диетологом по вопросам здорового питания ребенка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начать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возраста 2 лет. Диетические рекомендации аналогичны рекомендациям для взрослых с СГХС, однако необходимо соблюдать особую осторожность, чтобы избежать недостатка калорий (если вес нормальный) и контролировать кривую роста.</w:t>
      </w:r>
    </w:p>
    <w:p w:rsidR="00412706" w:rsidRPr="00400E06" w:rsidRDefault="00412706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Рекомендуется всем пациентам с СГХС с целью снижения уровня ОХС, ХС-ЛНП, триглицеридов и повышения ХС-ЛВП аэробная физическая активность умеренной интенсивности (или выше, по согласованию с врачом) по меньшей мере 30 минут в день в течение не менее чем 5 дней в неделю. Лиц, которые по состоянию здоровья не могут выполнять умеренно интенсивную физическую</w:t>
      </w:r>
      <w:r w:rsidR="000A4628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нагрузку, необходимо мотивировать к выполнению максимально переносимой для них физической активности. </w:t>
      </w:r>
    </w:p>
    <w:p w:rsidR="00A56FA2" w:rsidRPr="00400E06" w:rsidRDefault="00A56FA2" w:rsidP="00400E06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Аферез липопротеидов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(ЛП аферез) – группа селективных методов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экстракорпоральной гемокоррекции, обеспечивающих селективное и эффективное удаление из крови холестерина и атерогенных липопротеидов.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Существует 6 методов ЛП афереза, использующих различные свойства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атерогенных липопротеидов для их удаления и базирующихся на разных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технологиях: каскадная плазмофильтрация, липидная фильтрация, гепарин-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индуцированная преципитация липопротеидов, аффинная плазмо- и гемосорбция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липопротеидов, иммуносорбция липопротеидов. В основе удаления липопротеидов при каскадной и липидной фильтрации лежит их размер, при гепарин-индуцированной преципитации липопротеидов – изменение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пространственной структуры молекулы липопротеидов при достижении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изоэлектрической точки, при аффинной и иммунной сорбции – физико-химические и биохимические свойства АПО белков, входящих в состав липопротеидов. Выбор предпочтительного метода ЛП афереза определяется особенностями конкретного пациента и возможностями лечебного учреждения. </w:t>
      </w:r>
      <w:r w:rsidR="000F1BDD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ЛП аферез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«золотым» стандартом лечения гомозиготной СГХС.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Рекомендуется проведение ЛП аферез детям, начин</w:t>
      </w:r>
      <w:r w:rsidR="000F1BDD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 7 лет, и взрослым с гоСГХС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 длительно с периодичностью 1 раз в 1-2 недели</w:t>
      </w:r>
      <w:r w:rsidR="000F1BDD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706" w:rsidRPr="00400E06" w:rsidRDefault="00412706" w:rsidP="00400E06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Медикаментозное лечение пациентов детского возраста</w:t>
      </w:r>
    </w:p>
    <w:p w:rsidR="00412706" w:rsidRPr="00400E06" w:rsidRDefault="000A4628" w:rsidP="00400E06">
      <w:pPr>
        <w:pStyle w:val="a3"/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ХС-ЛНП у мальчиков и девочек с СГХС в возрасте до 10 лет составляет &lt;4,0 ммоль/л .</w:t>
      </w:r>
    </w:p>
    <w:p w:rsidR="00412706" w:rsidRPr="00400E06" w:rsidRDefault="000A4628" w:rsidP="00400E06">
      <w:pPr>
        <w:pStyle w:val="a3"/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уровень ХС-ЛНП у мальчиков и девочек с СГХС в возрасте старше 10 лет составляет &lt; 3,5 ммоль/л .</w:t>
      </w:r>
    </w:p>
    <w:p w:rsidR="00412706" w:rsidRPr="00400E06" w:rsidRDefault="000A4628" w:rsidP="00400E06">
      <w:pPr>
        <w:pStyle w:val="a3"/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уровень ХС-ЛНП у детей с СГХС при наличии ССЗ атеросклеротического генеза составляет &lt;1,8 ммоль/л.</w:t>
      </w:r>
    </w:p>
    <w:p w:rsidR="00A56FA2" w:rsidRPr="00400E06" w:rsidRDefault="000A4628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препаратов первой линии для лечения СГХС у детей назнача</w:t>
      </w:r>
      <w:r w:rsidR="00A56FA2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статины, одобренные для клинического применения в детском возрасте.</w:t>
      </w:r>
      <w:r w:rsidR="00A56FA2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момент в РФ для лечения гиперхолестеринемии у детей с геСГХС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зарегистрированы аторвастатин с 10 лет, симвастатин с 10 лет и флувастатин с 9 лет. Однако в дальнейшем другие статины могут получить показания для назначения в детском возрасте. Так, в США и ЕС для лечения детей с СГХС с 10 лет одобрены симвастатин, ловастатин, аторвастатин, флувастатин. Кроме того, правастатин одобрен в США с 8 лет, а розувастатин – в ЕС с 6 лет.</w:t>
      </w:r>
      <w:r w:rsidR="00A56FA2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настоящий момент в РФ эзетимиб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мг/</w:t>
      </w:r>
      <w:r w:rsidR="00A56FA2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 зарегистрирован для лечения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гиперхолестеринемии у детей с геСГХС с 10 лет.</w:t>
      </w:r>
      <w:r w:rsidR="00A56FA2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разъяснять пациентам и их родителям, что гиполепидемическая терапия проводится пожизненно. </w:t>
      </w:r>
    </w:p>
    <w:p w:rsidR="00412706" w:rsidRPr="00400E06" w:rsidRDefault="00412706" w:rsidP="00400E06">
      <w:pPr>
        <w:spacing w:before="100" w:beforeAutospacing="1" w:after="100" w:afterAutospacing="1"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инициировать терапию статинами, начиная с низких доз, как у мальчиков, так и у девочек с установленным диагнозом геСГХС с возраста 8 лет и старше в случае, если на фоне коррекции диеты и уровня физической активности ХС-ЛНП остается выше указанных целевых значений как минимум при двух последовательных измерениях.</w:t>
      </w:r>
    </w:p>
    <w:p w:rsidR="00A56FA2" w:rsidRPr="00400E06" w:rsidRDefault="00A56FA2" w:rsidP="00400E06">
      <w:pPr>
        <w:spacing w:before="100" w:beforeAutospacing="1" w:after="100" w:afterAutospacing="1" w:line="276" w:lineRule="auto"/>
        <w:ind w:firstLine="709"/>
        <w:rPr>
          <w:rStyle w:val="layou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с гоСГХС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наблюдать 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центрах, специализирующихся на лечении нарушений липидного обмена, так как дети с гоСГХС относятся к группе очень высокого риска развития ранних (до 20 лет), в том числе фатальных, СС осложнений.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детям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гиполипидемическую терапию 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р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аньше после постановки диагноза.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у детей с гоСГХС в возрасте ≥12 лет в случае недостижения целевого уровня ХС-ЛНП добавить к комплексной меди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каментозной терапии эволокумаб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420 мг п/к 1 раз в месяц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или эволокумаб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420 мг п/к 2 раза в месяц при наличии сопутствующего ЛП афереза.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127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момент среди ингибиторов PCSK9 только эволокумаб имеет показание для лечения гоСГХС с 12 лет.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06">
        <w:rPr>
          <w:rStyle w:val="layout"/>
          <w:rFonts w:ascii="Times New Roman" w:hAnsi="Times New Roman" w:cs="Times New Roman"/>
          <w:sz w:val="28"/>
          <w:szCs w:val="28"/>
        </w:rPr>
        <w:t>Ингибиторы PCSK9 представляют собой относительно новый класс лекарств, нацеленных на уникальный механизм действия PCSK9 Guo et al. Эффективность и безопасность ингибитора PCSK9 недавно была показана в педиатрической HeFH (Santos et al., 2020). В этом 24-недельном исследовании среднее снижение уровня холестерина ЛПНП составило -44,5% и -6,2% у детей с HeFH, получавших эволокумаб, ингибитор PCSK9, и контрольную группу, соответственно.</w:t>
      </w:r>
    </w:p>
    <w:p w:rsidR="00412706" w:rsidRPr="00400E06" w:rsidRDefault="00761259" w:rsidP="00400E06">
      <w:pPr>
        <w:spacing w:before="100" w:beforeAutospacing="1" w:after="100" w:afterAutospacing="1" w:line="276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761259" w:rsidRPr="00400E06" w:rsidRDefault="00761259" w:rsidP="00400E06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раннего выявления семейной гиперхолестеринемии у лиц до 35 лет может быть фактором снижения риск</w:t>
      </w:r>
      <w:r w:rsidR="00400E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сердечно-сосудистых событий</w:t>
      </w:r>
      <w:r w:rsidR="00400E06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замедления формирования поражения сосудов у пациентов трудоспособного возраста. Важной частью этой проблемы является организация службы региональных липидных центров</w:t>
      </w: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706" w:rsidRPr="00400E06" w:rsidRDefault="00412706" w:rsidP="00400E06">
      <w:pPr>
        <w:spacing w:before="100" w:beforeAutospacing="1" w:after="100" w:afterAutospacing="1"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lastRenderedPageBreak/>
        <w:t>Список литературы</w:t>
      </w:r>
    </w:p>
    <w:p w:rsidR="00412706" w:rsidRPr="00400E06" w:rsidRDefault="00412706" w:rsidP="00400E06">
      <w:pPr>
        <w:numPr>
          <w:ilvl w:val="0"/>
          <w:numId w:val="12"/>
        </w:numPr>
        <w:spacing w:before="100" w:beforeAutospacing="1" w:after="100" w:afterAutospacing="1" w:line="276" w:lineRule="auto"/>
        <w:ind w:left="8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В. Ежов, С. С. Бажан, А. И. Ершова и соавт. Клинические рекомендации по семейной гиперхолестеринемии. 2020 г.</w:t>
      </w:r>
    </w:p>
    <w:p w:rsidR="00412706" w:rsidRPr="00400E06" w:rsidRDefault="00412706" w:rsidP="00400E06">
      <w:pPr>
        <w:numPr>
          <w:ilvl w:val="0"/>
          <w:numId w:val="12"/>
        </w:numPr>
        <w:spacing w:before="100" w:beforeAutospacing="1" w:after="100" w:afterAutospacing="1" w:line="276" w:lineRule="auto"/>
        <w:ind w:left="8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Рэйчел М. Хендрикс-Стерруп, Джоджи Кларк-Локацио, Кристин Ю. Лу Глобальный обзор полезности генетического тестирования</w:t>
      </w:r>
      <w:r w:rsidR="00F35901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семейной гиперхолестеринемии. </w:t>
      </w:r>
      <w:r w:rsidR="00F35901" w:rsidRPr="00400E0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J</w:t>
      </w:r>
      <w:r w:rsidR="00F35901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35901" w:rsidRPr="00400E0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ers.med</w:t>
      </w:r>
      <w:r w:rsidR="00F35901" w:rsidRPr="00400E06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2020;10(2):23</w:t>
      </w:r>
    </w:p>
    <w:p w:rsidR="00F35901" w:rsidRPr="00400E06" w:rsidRDefault="00A65BED" w:rsidP="00400E06">
      <w:pPr>
        <w:numPr>
          <w:ilvl w:val="0"/>
          <w:numId w:val="12"/>
        </w:numPr>
        <w:spacing w:before="100" w:beforeAutospacing="1" w:after="100" w:afterAutospacing="1" w:line="276" w:lineRule="auto"/>
        <w:ind w:left="829" w:firstLine="709"/>
        <w:rPr>
          <w:rStyle w:val="jlqj4b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Style w:val="jlqj4b"/>
          <w:rFonts w:ascii="Times New Roman" w:hAnsi="Times New Roman" w:cs="Times New Roman"/>
          <w:sz w:val="28"/>
          <w:szCs w:val="28"/>
        </w:rPr>
        <w:t xml:space="preserve">Ума Рамасвами и Кирстен Б. Холвен Генетика семейной гиперхолестеринемии: новое понимание 2021. </w:t>
      </w:r>
    </w:p>
    <w:p w:rsidR="00A65BED" w:rsidRPr="00400E06" w:rsidRDefault="003116A7" w:rsidP="00400E06">
      <w:pPr>
        <w:numPr>
          <w:ilvl w:val="0"/>
          <w:numId w:val="12"/>
        </w:numPr>
        <w:spacing w:before="100" w:beforeAutospacing="1" w:after="100" w:afterAutospacing="1" w:line="276" w:lineRule="auto"/>
        <w:ind w:left="8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06">
        <w:rPr>
          <w:rStyle w:val="authors-list-item"/>
          <w:rFonts w:ascii="Times New Roman" w:hAnsi="Times New Roman" w:cs="Times New Roman"/>
          <w:sz w:val="28"/>
          <w:szCs w:val="28"/>
        </w:rPr>
        <w:t>Ye-Xuan Cao</w:t>
      </w:r>
      <w:r w:rsidRPr="00400E06">
        <w:rPr>
          <w:rStyle w:val="comma"/>
          <w:rFonts w:ascii="Times New Roman" w:hAnsi="Times New Roman" w:cs="Times New Roman"/>
          <w:sz w:val="28"/>
          <w:szCs w:val="28"/>
        </w:rPr>
        <w:t>, </w:t>
      </w:r>
      <w:r w:rsidRPr="00400E06">
        <w:rPr>
          <w:rStyle w:val="authors-list-item"/>
          <w:rFonts w:ascii="Times New Roman" w:hAnsi="Times New Roman" w:cs="Times New Roman"/>
          <w:sz w:val="28"/>
          <w:szCs w:val="28"/>
        </w:rPr>
        <w:t>Na-Qiong Wu</w:t>
      </w:r>
      <w:r w:rsidRPr="00400E06">
        <w:rPr>
          <w:rStyle w:val="comma"/>
          <w:rFonts w:ascii="Times New Roman" w:hAnsi="Times New Roman" w:cs="Times New Roman"/>
          <w:sz w:val="28"/>
          <w:szCs w:val="28"/>
        </w:rPr>
        <w:t>, </w:t>
      </w:r>
      <w:r w:rsidRPr="00400E06">
        <w:rPr>
          <w:rStyle w:val="authors-list-item"/>
          <w:rFonts w:ascii="Times New Roman" w:hAnsi="Times New Roman" w:cs="Times New Roman"/>
          <w:sz w:val="28"/>
          <w:szCs w:val="28"/>
        </w:rPr>
        <w:t>Di Sun</w:t>
      </w:r>
      <w:r w:rsidRPr="00400E06">
        <w:rPr>
          <w:rStyle w:val="author-sup-separator"/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00E06">
        <w:rPr>
          <w:rStyle w:val="authors-list-item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00E06">
        <w:rPr>
          <w:rStyle w:val="jlqj4b"/>
          <w:rFonts w:ascii="Times New Roman" w:hAnsi="Times New Roman" w:cs="Times New Roman"/>
          <w:sz w:val="28"/>
          <w:szCs w:val="28"/>
        </w:rPr>
        <w:t xml:space="preserve"> Улучшение точной диагностики семейной гиперхолестеринемии с использованием расширяющегося генетического анализа 2021 г.</w:t>
      </w:r>
      <w:r w:rsidRPr="00400E06">
        <w:rPr>
          <w:rFonts w:ascii="Times New Roman" w:hAnsi="Times New Roman" w:cs="Times New Roman"/>
          <w:sz w:val="28"/>
          <w:szCs w:val="28"/>
        </w:rPr>
        <w:t xml:space="preserve"> J Transl Med. 2021</w:t>
      </w:r>
      <w:r w:rsidRPr="00400E06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400E06">
        <w:rPr>
          <w:rStyle w:val="cit"/>
          <w:rFonts w:ascii="Times New Roman" w:hAnsi="Times New Roman" w:cs="Times New Roman"/>
          <w:sz w:val="28"/>
          <w:szCs w:val="28"/>
        </w:rPr>
        <w:t>16(1):345</w:t>
      </w:r>
    </w:p>
    <w:p w:rsidR="00DB0B58" w:rsidRDefault="00DB0B58" w:rsidP="0062004D">
      <w:pPr>
        <w:jc w:val="left"/>
      </w:pPr>
    </w:p>
    <w:sectPr w:rsidR="00DB0B58" w:rsidSect="005522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80" w:rsidRDefault="00F21380" w:rsidP="00A01F14">
      <w:pPr>
        <w:spacing w:line="240" w:lineRule="auto"/>
      </w:pPr>
      <w:r>
        <w:separator/>
      </w:r>
    </w:p>
  </w:endnote>
  <w:endnote w:type="continuationSeparator" w:id="0">
    <w:p w:rsidR="00F21380" w:rsidRDefault="00F21380" w:rsidP="00A01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5112"/>
      <w:docPartObj>
        <w:docPartGallery w:val="Page Numbers (Bottom of Page)"/>
        <w:docPartUnique/>
      </w:docPartObj>
    </w:sdtPr>
    <w:sdtContent>
      <w:p w:rsidR="00A56FA2" w:rsidRDefault="007E4E84">
        <w:pPr>
          <w:pStyle w:val="aa"/>
          <w:jc w:val="center"/>
        </w:pPr>
        <w:fldSimple w:instr=" PAGE   \* MERGEFORMAT ">
          <w:r w:rsidR="005C0870">
            <w:rPr>
              <w:noProof/>
            </w:rPr>
            <w:t>2</w:t>
          </w:r>
        </w:fldSimple>
      </w:p>
    </w:sdtContent>
  </w:sdt>
  <w:p w:rsidR="00A56FA2" w:rsidRDefault="00A56F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80" w:rsidRDefault="00F21380" w:rsidP="00A01F14">
      <w:pPr>
        <w:spacing w:line="240" w:lineRule="auto"/>
      </w:pPr>
      <w:r>
        <w:separator/>
      </w:r>
    </w:p>
  </w:footnote>
  <w:footnote w:type="continuationSeparator" w:id="0">
    <w:p w:rsidR="00F21380" w:rsidRDefault="00F21380" w:rsidP="00A01F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CEE"/>
    <w:multiLevelType w:val="multilevel"/>
    <w:tmpl w:val="6A6C29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9672C8"/>
    <w:multiLevelType w:val="hybridMultilevel"/>
    <w:tmpl w:val="845E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D7EE7"/>
    <w:multiLevelType w:val="hybridMultilevel"/>
    <w:tmpl w:val="CC347F3A"/>
    <w:lvl w:ilvl="0" w:tplc="351CE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74D2"/>
    <w:multiLevelType w:val="hybridMultilevel"/>
    <w:tmpl w:val="56FC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766D3"/>
    <w:multiLevelType w:val="hybridMultilevel"/>
    <w:tmpl w:val="0F7EB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9E21EC"/>
    <w:multiLevelType w:val="hybridMultilevel"/>
    <w:tmpl w:val="32EAC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9C2C5D"/>
    <w:multiLevelType w:val="hybridMultilevel"/>
    <w:tmpl w:val="29645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341F5D"/>
    <w:multiLevelType w:val="multilevel"/>
    <w:tmpl w:val="DF36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F798B"/>
    <w:multiLevelType w:val="hybridMultilevel"/>
    <w:tmpl w:val="37B0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C1F56"/>
    <w:multiLevelType w:val="hybridMultilevel"/>
    <w:tmpl w:val="BE5A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F54B5"/>
    <w:multiLevelType w:val="hybridMultilevel"/>
    <w:tmpl w:val="C4824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450DA4"/>
    <w:multiLevelType w:val="hybridMultilevel"/>
    <w:tmpl w:val="686A3CD8"/>
    <w:lvl w:ilvl="0" w:tplc="6A04A5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91735"/>
    <w:multiLevelType w:val="multilevel"/>
    <w:tmpl w:val="F682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556EE"/>
    <w:multiLevelType w:val="hybridMultilevel"/>
    <w:tmpl w:val="6948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4356C"/>
    <w:multiLevelType w:val="hybridMultilevel"/>
    <w:tmpl w:val="54163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3D5C6B"/>
    <w:multiLevelType w:val="hybridMultilevel"/>
    <w:tmpl w:val="9EC6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773FC"/>
    <w:multiLevelType w:val="hybridMultilevel"/>
    <w:tmpl w:val="3782D014"/>
    <w:lvl w:ilvl="0" w:tplc="D9BC7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93A1D"/>
    <w:multiLevelType w:val="hybridMultilevel"/>
    <w:tmpl w:val="75D2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7"/>
  </w:num>
  <w:num w:numId="5">
    <w:abstractNumId w:val="9"/>
  </w:num>
  <w:num w:numId="6">
    <w:abstractNumId w:val="16"/>
  </w:num>
  <w:num w:numId="7">
    <w:abstractNumId w:val="2"/>
  </w:num>
  <w:num w:numId="8">
    <w:abstractNumId w:val="13"/>
  </w:num>
  <w:num w:numId="9">
    <w:abstractNumId w:val="15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4"/>
  </w:num>
  <w:num w:numId="15">
    <w:abstractNumId w:val="10"/>
  </w:num>
  <w:num w:numId="16">
    <w:abstractNumId w:val="14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38E"/>
    <w:rsid w:val="000079D7"/>
    <w:rsid w:val="00037574"/>
    <w:rsid w:val="000524BD"/>
    <w:rsid w:val="000A4628"/>
    <w:rsid w:val="000B4CEE"/>
    <w:rsid w:val="000B4F5B"/>
    <w:rsid w:val="000D63E7"/>
    <w:rsid w:val="000F1BDD"/>
    <w:rsid w:val="00194458"/>
    <w:rsid w:val="002100E1"/>
    <w:rsid w:val="00222B21"/>
    <w:rsid w:val="00240BF2"/>
    <w:rsid w:val="00244582"/>
    <w:rsid w:val="00250058"/>
    <w:rsid w:val="00282F17"/>
    <w:rsid w:val="002868DC"/>
    <w:rsid w:val="0029623F"/>
    <w:rsid w:val="00310294"/>
    <w:rsid w:val="003116A7"/>
    <w:rsid w:val="00326DED"/>
    <w:rsid w:val="00357C9B"/>
    <w:rsid w:val="00382812"/>
    <w:rsid w:val="003B7EA5"/>
    <w:rsid w:val="003D37FD"/>
    <w:rsid w:val="003D6DB8"/>
    <w:rsid w:val="00400E06"/>
    <w:rsid w:val="00412706"/>
    <w:rsid w:val="00475952"/>
    <w:rsid w:val="004B78E0"/>
    <w:rsid w:val="004D2952"/>
    <w:rsid w:val="005100C4"/>
    <w:rsid w:val="005271AB"/>
    <w:rsid w:val="0055224B"/>
    <w:rsid w:val="00596A30"/>
    <w:rsid w:val="005C0870"/>
    <w:rsid w:val="005D6751"/>
    <w:rsid w:val="0062004D"/>
    <w:rsid w:val="00644C37"/>
    <w:rsid w:val="006E5D6F"/>
    <w:rsid w:val="00724AED"/>
    <w:rsid w:val="007250FD"/>
    <w:rsid w:val="00761259"/>
    <w:rsid w:val="007747AC"/>
    <w:rsid w:val="007E4E84"/>
    <w:rsid w:val="007F724B"/>
    <w:rsid w:val="0081262F"/>
    <w:rsid w:val="0086514C"/>
    <w:rsid w:val="008A50AF"/>
    <w:rsid w:val="00936CF7"/>
    <w:rsid w:val="0095504C"/>
    <w:rsid w:val="0097172D"/>
    <w:rsid w:val="0098039A"/>
    <w:rsid w:val="00997519"/>
    <w:rsid w:val="009A717A"/>
    <w:rsid w:val="009A7ECB"/>
    <w:rsid w:val="009F188D"/>
    <w:rsid w:val="00A01F14"/>
    <w:rsid w:val="00A55A6C"/>
    <w:rsid w:val="00A56FA2"/>
    <w:rsid w:val="00A65BED"/>
    <w:rsid w:val="00AE051D"/>
    <w:rsid w:val="00B17853"/>
    <w:rsid w:val="00B34985"/>
    <w:rsid w:val="00B64B05"/>
    <w:rsid w:val="00B81BD1"/>
    <w:rsid w:val="00B96392"/>
    <w:rsid w:val="00BA6066"/>
    <w:rsid w:val="00BD4984"/>
    <w:rsid w:val="00C8352A"/>
    <w:rsid w:val="00C90DE7"/>
    <w:rsid w:val="00CB1609"/>
    <w:rsid w:val="00CE5539"/>
    <w:rsid w:val="00CF021A"/>
    <w:rsid w:val="00CF6BA8"/>
    <w:rsid w:val="00D0038E"/>
    <w:rsid w:val="00D2381B"/>
    <w:rsid w:val="00D34FAC"/>
    <w:rsid w:val="00D37DEB"/>
    <w:rsid w:val="00D8674D"/>
    <w:rsid w:val="00DB0B58"/>
    <w:rsid w:val="00DC72BC"/>
    <w:rsid w:val="00DF2289"/>
    <w:rsid w:val="00E25560"/>
    <w:rsid w:val="00E268C1"/>
    <w:rsid w:val="00E56F62"/>
    <w:rsid w:val="00E85E89"/>
    <w:rsid w:val="00E93677"/>
    <w:rsid w:val="00EB7259"/>
    <w:rsid w:val="00EC6C7B"/>
    <w:rsid w:val="00ED35F7"/>
    <w:rsid w:val="00F21380"/>
    <w:rsid w:val="00F32694"/>
    <w:rsid w:val="00F35901"/>
    <w:rsid w:val="00F51943"/>
    <w:rsid w:val="00F91D1F"/>
    <w:rsid w:val="00FD1EA5"/>
    <w:rsid w:val="00FE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E"/>
    <w:pPr>
      <w:spacing w:line="360" w:lineRule="auto"/>
      <w:ind w:firstLine="0"/>
    </w:pPr>
  </w:style>
  <w:style w:type="paragraph" w:styleId="3">
    <w:name w:val="heading 3"/>
    <w:basedOn w:val="a"/>
    <w:link w:val="30"/>
    <w:uiPriority w:val="9"/>
    <w:qFormat/>
    <w:rsid w:val="0025005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8E"/>
    <w:pPr>
      <w:ind w:left="720"/>
      <w:contextualSpacing/>
    </w:pPr>
  </w:style>
  <w:style w:type="paragraph" w:styleId="a4">
    <w:name w:val="Body Text"/>
    <w:basedOn w:val="a"/>
    <w:link w:val="a5"/>
    <w:rsid w:val="00D0038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038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0038E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50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25005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01F1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1F14"/>
  </w:style>
  <w:style w:type="paragraph" w:styleId="aa">
    <w:name w:val="footer"/>
    <w:basedOn w:val="a"/>
    <w:link w:val="ab"/>
    <w:uiPriority w:val="99"/>
    <w:unhideWhenUsed/>
    <w:rsid w:val="00A01F1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1F14"/>
  </w:style>
  <w:style w:type="paragraph" w:styleId="ac">
    <w:name w:val="Normal (Web)"/>
    <w:basedOn w:val="a"/>
    <w:uiPriority w:val="99"/>
    <w:semiHidden/>
    <w:unhideWhenUsed/>
    <w:rsid w:val="00A01F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5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5539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412706"/>
    <w:rPr>
      <w:color w:val="0000FF"/>
      <w:u w:val="single"/>
    </w:rPr>
  </w:style>
  <w:style w:type="character" w:customStyle="1" w:styleId="layout">
    <w:name w:val="layout"/>
    <w:basedOn w:val="a0"/>
    <w:rsid w:val="004B78E0"/>
  </w:style>
  <w:style w:type="character" w:customStyle="1" w:styleId="jlqj4b">
    <w:name w:val="jlqj4b"/>
    <w:basedOn w:val="a0"/>
    <w:rsid w:val="00A65BED"/>
  </w:style>
  <w:style w:type="character" w:customStyle="1" w:styleId="cit">
    <w:name w:val="cit"/>
    <w:basedOn w:val="a0"/>
    <w:rsid w:val="003116A7"/>
  </w:style>
  <w:style w:type="character" w:customStyle="1" w:styleId="authors-list-item">
    <w:name w:val="authors-list-item"/>
    <w:basedOn w:val="a0"/>
    <w:rsid w:val="003116A7"/>
  </w:style>
  <w:style w:type="character" w:customStyle="1" w:styleId="author-sup-separator">
    <w:name w:val="author-sup-separator"/>
    <w:basedOn w:val="a0"/>
    <w:rsid w:val="003116A7"/>
  </w:style>
  <w:style w:type="character" w:customStyle="1" w:styleId="comma">
    <w:name w:val="comma"/>
    <w:basedOn w:val="a0"/>
    <w:rsid w:val="003116A7"/>
  </w:style>
  <w:style w:type="character" w:customStyle="1" w:styleId="markedcontent">
    <w:name w:val="markedcontent"/>
    <w:basedOn w:val="a0"/>
    <w:rsid w:val="00A56FA2"/>
  </w:style>
  <w:style w:type="paragraph" w:customStyle="1" w:styleId="pcenter">
    <w:name w:val="pcenter"/>
    <w:basedOn w:val="a"/>
    <w:rsid w:val="000F1B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F1B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7</cp:revision>
  <cp:lastPrinted>2022-02-22T02:48:00Z</cp:lastPrinted>
  <dcterms:created xsi:type="dcterms:W3CDTF">2022-02-14T15:01:00Z</dcterms:created>
  <dcterms:modified xsi:type="dcterms:W3CDTF">2022-02-22T02:58:00Z</dcterms:modified>
</cp:coreProperties>
</file>