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5" w:rsidRDefault="006C50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045" w:rsidRDefault="006C5045">
      <w:pPr>
        <w:pStyle w:val="ConsPlusNormal"/>
        <w:ind w:firstLine="540"/>
        <w:jc w:val="both"/>
        <w:outlineLvl w:val="0"/>
      </w:pPr>
    </w:p>
    <w:p w:rsidR="006C5045" w:rsidRDefault="006C5045">
      <w:pPr>
        <w:pStyle w:val="ConsPlusNormal"/>
        <w:jc w:val="right"/>
        <w:outlineLvl w:val="0"/>
      </w:pPr>
      <w:r>
        <w:t>Утверждаю</w:t>
      </w:r>
    </w:p>
    <w:p w:rsidR="006C5045" w:rsidRDefault="006C5045">
      <w:pPr>
        <w:pStyle w:val="ConsPlusNormal"/>
        <w:jc w:val="right"/>
      </w:pPr>
      <w:r>
        <w:t>Руководитель Федеральной</w:t>
      </w:r>
    </w:p>
    <w:p w:rsidR="006C5045" w:rsidRDefault="006C5045">
      <w:pPr>
        <w:pStyle w:val="ConsPlusNormal"/>
        <w:jc w:val="right"/>
      </w:pPr>
      <w:r>
        <w:t>службы по надзору в сфере</w:t>
      </w:r>
    </w:p>
    <w:p w:rsidR="006C5045" w:rsidRDefault="006C5045">
      <w:pPr>
        <w:pStyle w:val="ConsPlusNormal"/>
        <w:jc w:val="right"/>
      </w:pPr>
      <w:r>
        <w:t>защиты прав потребителей</w:t>
      </w:r>
    </w:p>
    <w:p w:rsidR="006C5045" w:rsidRDefault="006C5045">
      <w:pPr>
        <w:pStyle w:val="ConsPlusNormal"/>
        <w:jc w:val="right"/>
      </w:pPr>
      <w:r>
        <w:t>и благополучия человека,</w:t>
      </w:r>
    </w:p>
    <w:p w:rsidR="006C5045" w:rsidRDefault="006C5045">
      <w:pPr>
        <w:pStyle w:val="ConsPlusNormal"/>
        <w:jc w:val="right"/>
      </w:pPr>
      <w:r>
        <w:t>Главный государственный</w:t>
      </w:r>
    </w:p>
    <w:p w:rsidR="006C5045" w:rsidRDefault="006C5045">
      <w:pPr>
        <w:pStyle w:val="ConsPlusNormal"/>
        <w:jc w:val="right"/>
      </w:pPr>
      <w:r>
        <w:t>санитарный врач</w:t>
      </w:r>
    </w:p>
    <w:p w:rsidR="006C5045" w:rsidRDefault="006C5045">
      <w:pPr>
        <w:pStyle w:val="ConsPlusNormal"/>
        <w:jc w:val="right"/>
      </w:pPr>
      <w:r>
        <w:t>Российской Федерации</w:t>
      </w:r>
    </w:p>
    <w:p w:rsidR="006C5045" w:rsidRDefault="006C5045">
      <w:pPr>
        <w:pStyle w:val="ConsPlusNormal"/>
        <w:jc w:val="right"/>
      </w:pPr>
      <w:r>
        <w:t>Г.Г.ОНИЩЕНКО</w:t>
      </w:r>
    </w:p>
    <w:p w:rsidR="006C5045" w:rsidRDefault="006C5045">
      <w:pPr>
        <w:pStyle w:val="ConsPlusNormal"/>
        <w:jc w:val="right"/>
      </w:pPr>
      <w:r>
        <w:t>20 января 2009 года</w:t>
      </w:r>
    </w:p>
    <w:p w:rsidR="006C5045" w:rsidRDefault="006C5045">
      <w:pPr>
        <w:pStyle w:val="ConsPlusNormal"/>
        <w:jc w:val="right"/>
      </w:pPr>
    </w:p>
    <w:p w:rsidR="006C5045" w:rsidRDefault="006C5045">
      <w:pPr>
        <w:pStyle w:val="ConsPlusNormal"/>
        <w:jc w:val="right"/>
      </w:pPr>
      <w:r>
        <w:t>Дата введения -</w:t>
      </w:r>
    </w:p>
    <w:p w:rsidR="006C5045" w:rsidRDefault="006C5045">
      <w:pPr>
        <w:pStyle w:val="ConsPlusNormal"/>
        <w:jc w:val="right"/>
      </w:pPr>
      <w:r>
        <w:t>1 марта 2009 года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Title"/>
        <w:jc w:val="center"/>
      </w:pPr>
      <w:r>
        <w:t>3.1. ПРОФИЛАКТИКА ИНФЕКЦИОННЫХ БОЛЕЗНЕЙ</w:t>
      </w:r>
    </w:p>
    <w:p w:rsidR="006C5045" w:rsidRDefault="006C5045">
      <w:pPr>
        <w:pStyle w:val="ConsPlusTitle"/>
        <w:jc w:val="center"/>
      </w:pPr>
    </w:p>
    <w:p w:rsidR="006C5045" w:rsidRDefault="006C5045">
      <w:pPr>
        <w:pStyle w:val="ConsPlusTitle"/>
        <w:jc w:val="center"/>
      </w:pPr>
      <w:bookmarkStart w:id="0" w:name="_GoBack"/>
      <w:r>
        <w:t>ЭПИДЕМИОЛОГИЧЕСКИЙ НАДЗОР ЗА СТОЛБНЯКОМ</w:t>
      </w:r>
    </w:p>
    <w:p w:rsidR="006C5045" w:rsidRDefault="006C5045">
      <w:pPr>
        <w:pStyle w:val="ConsPlusTitle"/>
        <w:jc w:val="center"/>
      </w:pPr>
    </w:p>
    <w:p w:rsidR="006C5045" w:rsidRDefault="006C5045">
      <w:pPr>
        <w:pStyle w:val="ConsPlusTitle"/>
        <w:jc w:val="center"/>
      </w:pPr>
      <w:r>
        <w:t>МЕТОДИЧЕСКИЕ УКАЗАНИЯ</w:t>
      </w:r>
    </w:p>
    <w:p w:rsidR="006C5045" w:rsidRDefault="006C5045">
      <w:pPr>
        <w:pStyle w:val="ConsPlusTitle"/>
        <w:jc w:val="center"/>
      </w:pPr>
      <w:r>
        <w:t>МУ 3.1.2436-09</w:t>
      </w:r>
    </w:p>
    <w:bookmarkEnd w:id="0"/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1. Разработаны: Федеральным государственным учреждением научно-исследовательским институтом эпидемиологии и микробиологии им. Н.Ф. Гамалеи РАМН; Федеральной службой по надзору в сфере защиты прав потребителей и благополучия человека; Федеральным государственным учреждением здравоохранения "Федеральный центр гигиены и эпидемиологии" Роспотребнадзора.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 учетом замечаний и предложений территориальных управлений Роспотребнадзора по Брянской, Астраханской областям, Краснодарскому и Ставропольскому краям и ФГУЗ "Центр гигиены и эпидемиологии" Роспотребнадзора в Самарской области.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(протокол от 25 декабря 2008 г. N 3).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3. Утверждены Главным государственным санитарным врачом Российской Федерации Г.Г. Онищенко 20 января 2009 г. и введены в действие с 1 марта 2009 г.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4. Введены впервые.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1. Область применения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1. Настоящие методические указания определяют организацию и проведение эпидемиологического надзора и санитарно-противоэпидемических (профилактических) мероприятий в отношении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1.2. Настоящие методические указания разработаны для специалистов органов и учреждений системы государственного санитарно-эпидемиологического надзора и организаций здравоохранения в соответствии с санитарными правилами </w:t>
      </w:r>
      <w:hyperlink r:id="rId5" w:history="1">
        <w:r>
          <w:rPr>
            <w:color w:val="0000FF"/>
          </w:rPr>
          <w:t>СП 3.1.1381-03</w:t>
        </w:r>
      </w:hyperlink>
      <w:r>
        <w:t xml:space="preserve"> "Профилактика столбняка" (утверждены Постановлением Главного государственного санитарного врача Российской Федерации от 09.06.03 N 128, зарегистрировано в Минюсте России 19.06.03 N 4727).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lastRenderedPageBreak/>
        <w:t>2. Общие положения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Проблема профилактики столбняка является одной из важных задач в системе охраны здоровья населения Российской Федерации.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Эпидемиологический надзор за столбняком на государственном уровне обеспечивается с 1960 г.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Внедрение системы динамического наблюдения за заболеваемостью населения и проведение специфической профилактики столбняка обеспечило последовательное снижение уровня заболеваемости в стране к 1990 г. в 23 раза по отношению к допрививочному периоду. К 1995 г. она стабилизировалась на низких показателях, в последнее десятилетие наблюдается медленное, но неуклонное ее снижение. Произошло существенное изменение эпидемиологических характеристик столбняка: болеют главным образом люди старшего и пожилого возраста, ранее не привитые против столбняка; в последние 6 - 7 лет не регистрируются случаи заболевания детей; более чем на 20% снизилась летальность при столбняке; как и ранее, "эндемичными" по столбняку остаются сельские районы южных, черноземных территорий.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За период функционирования государственной системы иммунопрофилактики и эпидемиологического надзора за столбняком, учитывая высокую летальность при нем, сохранено около 20 тыс. человеческих жизней. Следовательно, проводимые противоэпидемические мероприятия оказывают высокий профилактический эффект.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Хотя в настоящее время эпидемический процесс при столбняке успешно контролируется, его особенности как раневой инфекции, обусловленной спорогенными микроорганизмами, вегетирующими в почве, а также ведущая роль индивидуального иммунитета требуют постоянного наблюдения, чтобы исключить восстановление той ситуации, которая была до начала массовой иммунопрофилактики.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Эпидемиологический надзор за столбняком предусматривает мониторинг за эпидемиологической ситуацией для выработки на этой основе оптимальных управленческих решений.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Система эпидемиологического надзора включает: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1. Выявление и эпидемиологическое обследование каждого случая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2. Оперативный и ретроспективный эпидемиологический анализ заболеваемости на отдельных территориях с учетом распределения по полу, возрасту и профессиональной принадлежности.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3. Организацию и проведение специфической профилактики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4. Контроль за своевременностью и качеством проведения активной иммунизации и экстренной иммунопрофилактики при травмах.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5. Серологический контроль за иммунологической структурой привитого населения.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Эпидемиологический надзор осуществляется как на уровне субъектов Российской Федерации, так и на муниципальном уровне.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Целью эпидемиологического надзора являются оценка эпидемиологической ситуации и разработка обоснованных профилактических мероприятий, направленных на дальнейшее снижение заболеваемости столбняком и смертности.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3. Выявление и регистрация случаев заболевания столбняком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3.1. Выявление случаев заболеваний столбняком или подозрения на это заболевание осуществляют специалисты лечебно-профилактических учреждений независимо от ведомственной принадлежности и форм собственности при всех видах оказания медицинской помощи.</w:t>
      </w:r>
    </w:p>
    <w:p w:rsidR="006C5045" w:rsidRDefault="006C50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045" w:rsidRDefault="006C50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5045" w:rsidRDefault="006C504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04.02.2016 N 11.</w:t>
            </w:r>
          </w:p>
        </w:tc>
      </w:tr>
    </w:tbl>
    <w:p w:rsidR="006C5045" w:rsidRDefault="006C5045">
      <w:pPr>
        <w:pStyle w:val="ConsPlusNormal"/>
        <w:spacing w:before="280"/>
        <w:ind w:firstLine="540"/>
        <w:jc w:val="both"/>
      </w:pPr>
      <w:r>
        <w:t xml:space="preserve">3.2. На каждый случай заболевания столбняком или подозрения на это заболевание лечебно-профилактическое учреждение немедленно представляет в территориальные органы, осуществляющие государственный санитарно-эпидемиологический надзор, экстренное извещение по </w:t>
      </w:r>
      <w:hyperlink r:id="rId7" w:history="1">
        <w:r>
          <w:rPr>
            <w:color w:val="0000FF"/>
          </w:rPr>
          <w:t>форме N 058/у</w:t>
        </w:r>
      </w:hyperlink>
      <w:r>
        <w:t xml:space="preserve"> (по телефону, электронной почте). Ответственным за полноту и своевременность представления экстренного извещения в территориальные органы, осуществляющие государственный санитарно-эпидемиологический надзор, является руководитель лечебно-профилактического учреждения.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3.3. Каждый случай заболевания столбняком (или подозрения на это заболевание) подлежит регистрации и учету по месту его выявления в лечебно-профилактических, детских, подростковых, оздоровительных и других учреждениях независимо от ведомственной принадлежности и форм собственности, а также в медицинских учреждениях, занимающихся частной практикой, в журнале учета инфекционных заболеваний </w:t>
      </w:r>
      <w:hyperlink r:id="rId8" w:history="1">
        <w:r>
          <w:rPr>
            <w:color w:val="0000FF"/>
          </w:rPr>
          <w:t>(форма N 060/у)</w:t>
        </w:r>
      </w:hyperlink>
      <w:r>
        <w:t>. Лечебно-профилактическое учреждение, уточнившее, изменившее или отменившее диагноз, представляет новое извещение.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3.4. Сведения из экстренных извещений вносятся в журнал учета инфекционных заболеваний. На каждого больного с подозрением на это заболевание оформляется карта эпидемиологического расследования случая инфекционного заболевания в установленной форме.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3.5. О каждом случае летального исхода заболевания столбняком внеочередное донесение в установленном порядке представляется в Федеральную службу по надзору в сфере защиты прав потребителей и благополучия человека, Управление Роспотребнадзора по субъекту Российской Федерации.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3.6. Случаи заболеваний столбняком включаются в отчет по </w:t>
      </w:r>
      <w:hyperlink r:id="rId9" w:history="1">
        <w:r>
          <w:rPr>
            <w:color w:val="0000FF"/>
          </w:rPr>
          <w:t>формам N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федерального государственного статистического наблюдения "Сведения об инфекционных и паразитарных заболеваниях" (месячная, годовая) в соответствии с инструкцией по их составлению.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4. Организация и проведение эпидемиологического</w:t>
      </w:r>
    </w:p>
    <w:p w:rsidR="006C5045" w:rsidRDefault="006C5045">
      <w:pPr>
        <w:pStyle w:val="ConsPlusNormal"/>
        <w:jc w:val="center"/>
      </w:pPr>
      <w:r>
        <w:t>обследования в очаге столбняка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4.1. Специалисты органов, осуществляющих государственный санитарно-эпидемиологический надзор, обеспечивают эпидемиологическое расследование каждого случая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4.2. Задачами эпидемиологического обследования случая заболевания столбняком являются установление обстоятельств, при которых произошло заражение, оценка своевременности, качества проведенных лечебно-профилактических мероприятий, состояния организации мероприятий по профилактике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4.3. Анализ полученных материалов должен служить основанием для проведения мероприятий организационного характера и при необходимости - разработки дополнительных мероприятий по профилактике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 xml:space="preserve">4.4. При эпидемиологическом обследовании очага заболевания столбняком заполняется карта эпидемиологического обследования очага инфекционного заболевания </w:t>
      </w:r>
      <w:hyperlink r:id="rId11" w:history="1">
        <w:r>
          <w:rPr>
            <w:color w:val="0000FF"/>
          </w:rPr>
          <w:t>форма N 357/у</w:t>
        </w:r>
      </w:hyperlink>
      <w:r>
        <w:t xml:space="preserve"> с указанием следующих данных: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наличие в анамнезе травмы (ожог, обморожение, внебольничный аборт, хирургические операции, роды на дому, укусы диких и домашних животных, хронические язвы наружных покровов);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дата, место и обстоятельства получения травмы, ожога и т.д. (число, месяц, год);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вид травмы (бытовая, производственная, сельскохозяйственная, дорожная, спортивная, прочие);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локализация травмы (нижние, верхние конечности, голова, шея, корпус);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характеристика раны (колотая, резаная, рваная, ушибленная, огнестрельная);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место и дата обращения за медицинской помощью по поводу травмы, указать полное наименование лечебно-профилактического учреждения (или не обращались);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хирургическая обработка раны - да, нет;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специфическая профилактика - да, нет;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введение противостолбнячной сыворотки (количество ME), дата;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введение столбнячного анатоксина (доза), дата;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введение противостолбнячной сыворотки (количество ME), дата, плюс введение столбнячного анатоксина (доза), дата;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введение противостолбнячного человеческого иммуноглобулина (количество ME), дата;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наличие прививок против столбняка до развития заболевания, срок их проведения, препарат, доза, серия, контрольный номер;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состояние здоровья (перенесенные заболевания) в ближайшие сроки (1 - 3 мес.) до иммунизации, в момент ее проведения и после нее;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причины отсутствия прививок против столбняка (медицинские противопоказания, отказ);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результаты проверки организации работы по профилактике столбняка на территории (организационные мероприятия, состояние клинической диагностики, лечения, активной иммунизации, экстренной профилактики и т.д.), дата, Ф.И.О., должности врачей.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4.5. Противоэпидемические мероприятия в очаге выявленного больного столбняком не проводятся, разобщение контактных лиц не требуется.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5. Анализ заболеваемости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5.1. Эпидемиологический анализ заболеваемости столбняком проводится раздельно - по городам и в сельской местности, включая оценку основных тенденций и динамику заболеваемости столбняком как в целом по территории, так и по входящим в нее административным делениям.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5.2. Анализ заболеваемости проводится по возрастным, профессиональным группам, с учетом сезонных колебаний уровня заболеваемости и ее цикличности. Оценивается клиническое течение столбняка, тяжесть заболевания, летальность. Проводится анализ причин смертельных </w:t>
      </w:r>
      <w:r>
        <w:lastRenderedPageBreak/>
        <w:t>исходов.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6. Профилактические мероприятия при столбняке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С целью предупреждения возникновения заболеваний столбняком проводят неспецифическую и специфическую профилактику.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Неспецифическая профилактика направлена на предупреждение травматизма в быту и на производстве, исключение возможности заражения операционных, пупочных и других ран, раннюю и тщательную хирургическую обработку ран.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Специфическую профилактику (иммунопрофилактику) проводят в виде плановой активной иммунизации детей и взрослых и экстренной иммунопрофилактики для предупреждения возникновения столбняка в случае травм.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2"/>
      </w:pPr>
      <w:r>
        <w:t>6.1. Организация и проведение плановой специфической</w:t>
      </w:r>
    </w:p>
    <w:p w:rsidR="006C5045" w:rsidRDefault="006C5045">
      <w:pPr>
        <w:pStyle w:val="ConsPlusNormal"/>
        <w:jc w:val="center"/>
      </w:pPr>
      <w:r>
        <w:t>профилактики столбняка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045" w:rsidRDefault="006C50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5045" w:rsidRDefault="006C504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21.03.2014 N 125н утверждены новые  Национальный </w:t>
            </w:r>
            <w:hyperlink r:id="rId12" w:history="1">
              <w:r>
                <w:rPr>
                  <w:color w:val="0000FF"/>
                </w:rPr>
                <w:t>календарь</w:t>
              </w:r>
            </w:hyperlink>
            <w:r>
              <w:rPr>
                <w:color w:val="392C69"/>
              </w:rPr>
              <w:t xml:space="preserve"> профилактических прививок и </w:t>
            </w:r>
            <w:hyperlink r:id="rId13" w:history="1">
              <w:r>
                <w:rPr>
                  <w:color w:val="0000FF"/>
                </w:rPr>
                <w:t>Календарь</w:t>
              </w:r>
            </w:hyperlink>
            <w:r>
              <w:rPr>
                <w:color w:val="392C69"/>
              </w:rPr>
              <w:t xml:space="preserve"> профилактических прививок по эпидемическим показаниям.</w:t>
            </w:r>
          </w:p>
        </w:tc>
      </w:tr>
    </w:tbl>
    <w:p w:rsidR="006C5045" w:rsidRDefault="006C5045">
      <w:pPr>
        <w:pStyle w:val="ConsPlusNormal"/>
        <w:spacing w:before="280"/>
        <w:ind w:firstLine="540"/>
        <w:jc w:val="both"/>
      </w:pPr>
      <w:r>
        <w:t xml:space="preserve">6.1.1. Плановая иммунизация проводится препаратами, разрешенными к применению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, содержащими очищенный адсорбированный столбнячный анатоксин, в соответствии с инструкциями по их применению и Национальным </w:t>
      </w:r>
      <w:hyperlink r:id="rId15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Основные схемы иммунизации взрослых и детей приведены в </w:t>
      </w:r>
      <w:hyperlink w:anchor="P236" w:history="1">
        <w:r>
          <w:rPr>
            <w:color w:val="0000FF"/>
          </w:rPr>
          <w:t>Прилож. 1</w:t>
        </w:r>
      </w:hyperlink>
      <w:r>
        <w:t xml:space="preserve">, </w:t>
      </w:r>
      <w:hyperlink w:anchor="P272" w:history="1">
        <w:r>
          <w:rPr>
            <w:color w:val="0000FF"/>
          </w:rPr>
          <w:t>2</w:t>
        </w:r>
      </w:hyperlink>
      <w:r>
        <w:t>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6.1.2. Наиболее эффективным методом предупреждения столбняка является иммунизация столбнячным анатоксином (АС-анатоксином). Защита от столбняка у детей создается путем иммунизации АКДС-вакциной или АДС-анатоксином, у подростков и взрослых - АДС-М-анатоксином или АС-анатоксином.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6.1.3. Законченный курс иммунизации включает вакцинацию и первую ревакцинацию. Для поддержания иммунитета против столбняка на достаточном уровне необходимо периодически с интервалом 10 лет проводить ревакцинацию путем однократного введения препаратов, содержащих АС-анатоксин.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6.1.4. После законченного курса иммунизации организм человека в течение длительного срока (порядка 10 лет) сохраняет способность к быстрой (в течение 2 - 3 дней) выработке антитоксинов в ответ на повторное введение препаратов, содержащих АС-анатоксин.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6.1.5. Препараты, применяемые для плановой активной иммунизации против столбняка: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адсорбированная коклюшно-дифтерийно-столбнячная вакцина (АКДС);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адсорбированный дифтерийно-столбнячный анатоксин (АДС);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адсорбированный дифтерийно-столбнячный анатоксин с уменьшенным содержанием антигенов (АДС-М);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адсорбированный столбнячный анатоксин (АС);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вакцина против дифтерии, коклюша, столбняка и гепатита B (Бубо-Кок);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>- вакцина против дифтерии, столбняка и гепатита B (Бубо-М);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- другие препараты, зарегистрированные и разрешенные к применению на территории Российской Федерации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2"/>
      </w:pPr>
      <w:r>
        <w:t>6.2. Организация и проведение экстренной</w:t>
      </w:r>
    </w:p>
    <w:p w:rsidR="006C5045" w:rsidRDefault="006C5045">
      <w:pPr>
        <w:pStyle w:val="ConsPlusNormal"/>
        <w:jc w:val="center"/>
      </w:pPr>
      <w:r>
        <w:t>иммунопрофилактики столбняка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6.2.1. Экстренная иммунопрофилактика осуществляется дифференцированно в зависимости от предшествующей иммунизации пациента против столбняка путем введения АС-анатоксина или АДС-М-анатоксина (экстренная ревакцинация) либо с помощью активно-пассивной иммунизации путем одновременного введения АС-анатоксина и противостолбнячной сыворотки (ПСС) или человеческого иммуноглобулина (ПСЧИ).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6.2.2. Экстренная активно-пассивная профилактика у ранее непривитых людей не гарантирует во всех случаях предупреждение столбняка, кроме того, она сопряжена с риском немедленных и отдаленных реакций, а также осложнений в ответ на введение ПСС. Для исключения повторного введения ПСС в случае новых травм всем лицам, получившим активно-пассивную профилактику, необходимо обязательно закончить курс активной иммунизации путем однократной ревакцинации АС-анатоксином или АДС-М-анатоксином.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6.2.3. Препараты, применяемые для экстренной иммунопрофилактики столбняка: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адсорбированный столбнячный анатоксин (АС);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адсорбированный дифтерийно-столбнячный анатоксин с уменьшенным содержанием антигенов (АДС-М);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сыворотка противостолбнячная лошадиная очищенная концентрированная жидкая (ПСС). Одна профилактическая доза ПСС составляет 3000 МЕ (Международных единиц);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иммуноглобулин противостолбнячный человека (ПСЧИ). Одна профилактическая доза ПСЧИ составляет 250 МЕ.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6.2.4. Экстренную профилактику столбняка проводят при: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травмах с нарушением целостности кожных покровов и слизистых оболочек;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обморожениях и ожогах (термических, химических, радиационных) второй, третьей и четвертой степени;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проникающих повреждениях желудочно-кишечного тракта, прободениях (при хирургических операциях на ЖКТ в стационарах экстренная профилактика не проводится);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внебольничных абортах;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родах вне медицинских учреждений;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гангрене или некрозе тканей любого типа, длительно текущих абсцессах, карбункулах, остеомиелитах;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укусах животными.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6.2.5. Экстренная профилактика столбняка заключается в первичной хирургической обработке раны и одновременной специфической иммунопрофилактике. Экстренную иммунопрофилактику столбняка следует проводить как можно раньше и вплоть до 20 дня с момента получения травмы, учитывая длительность инкубационного периода при заболевании </w:t>
      </w:r>
      <w:r>
        <w:lastRenderedPageBreak/>
        <w:t>столбняком.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" w:name="P134"/>
      <w:bookmarkEnd w:id="1"/>
      <w:r>
        <w:t>6.2.6.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иммунитета, а также с учетом характера травмы (</w:t>
      </w:r>
      <w:hyperlink w:anchor="P315" w:history="1">
        <w:r>
          <w:rPr>
            <w:color w:val="0000FF"/>
          </w:rPr>
          <w:t>Прилож. 3</w:t>
        </w:r>
      </w:hyperlink>
      <w:r>
        <w:t xml:space="preserve">, </w:t>
      </w:r>
      <w:hyperlink w:anchor="P399" w:history="1">
        <w:r>
          <w:rPr>
            <w:color w:val="0000FF"/>
          </w:rPr>
          <w:t>4</w:t>
        </w:r>
      </w:hyperlink>
      <w:r>
        <w:t>).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6.2.7. Введение препаратов не проводится: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детям и подросткам, имеющим документальное подтверждение о проведении плановых профилактических прививок в соответствии с возрастом, независимо от срока, прошедшего после очередной прививки;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взрослым людям, имеющим документальное подтверждение о проведенном полном курсе иммунизации не более 5 лет назад;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лицам, имеющим, по данным экстренного иммунологического контроля, титр столбнячного антитоксина в сыворотке крови выше 1:160 по данным РПГА, что соответствует титру выше 0,1 МЕ/мл по данным биологической реакции нейтрализации - PH (защитный титр).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6.2.8. Вводят только 0,5 мл АС-анатоксина: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детям и подросткам, имеющим документальное подтверждение о проведении курса плановых профилактических прививок без последней возрастной ревакцинации, независимо от срока последней прививки;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взрослым, имеющим документальное подтверждение о проведенном полном курсе иммунизации более 5 лет назад;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лицам всех возрастов, получившим две прививки не более 5 лет назад либо одну прививку не более 2 лет назад;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детям с 6-месячного возраста, подросткам, военнослужащим и лицам, проходившим службу в вооруженных силах Российской Федерации (ВСРФ), прививочный анамнез которых не известен, а противопоказаний к проведению прививок не было;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лицам, имеющим, по данным экстренного иммунологического контроля, титр столбнячного анатоксина в пределах 1:20 - 1:80 по данным РПГА или в пределах 0,01 - 0,1 МЕ/мл по данным PH.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Вместо 0,5 мл АС можно вводить 0,5 мл АДС-М, если необходима иммунизация этим препаратом.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При экстренной профилактике АС-анатоксин вводят в количестве 0,5 мл в соответствии с инструкцией по применению препарата. Если локализация раны позволяет, АС предпочтительно вводить в область ее расположения путем подкожного обкалывания.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6.2.9. При проведении активно-пассивной профилактики столбняка взрослым вводится 1 мл АС, детям старше 6 мес. до 14 лет - 0,5 мл АС, затем другим шприцем в другой участок тела - ПСЧИ (250 МЕ) или после проведения внутрикожной пробы - ПСС (3000 МЕ).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Активно-пассивная профилактика проводится: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лицам всех возрастов, получившим две прививки более 5 лет назад, либо одну прививку более 2 лет назад;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- непривитым, а также лицам, не имеющим документального подтверждения о прививках, исключая контингенты, указанные в </w:t>
      </w:r>
      <w:hyperlink w:anchor="P139" w:history="1">
        <w:r>
          <w:rPr>
            <w:color w:val="0000FF"/>
          </w:rPr>
          <w:t>п. 6.2.8</w:t>
        </w:r>
      </w:hyperlink>
      <w:r>
        <w:t>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>- лицам, имеющим, по данным экстренного иммунологического контроля, титр столбнячного антитоксина менее 1:20 по данным РПГА или менее 0,01 МЕ/мл по данным PH.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Все лица, получившие активно-пассивную профилактику столбняка, для завершения курса иммунизации в период от 6 мес. до 2-х лет должны быть ревакцинированы 0,5 мл АС или 0,5 мл АДС-М.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Не привитым по разным причинам детям до 5 мес. вводят только 250 МЕ ПСЧИ или (при отсутствии ПСЧИ) - 3000 МЕ ПСС.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6.2.10. Экстренная профилактика столбняка при повторных травмах.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Лицам, которые при травме в соответствии с их прививочным анамнезом получили только АС (АДС-М), при повторных травмах проводят экстренную профилактику как ранее привитым в соответствии с правилами, изложенными в </w:t>
      </w:r>
      <w:hyperlink w:anchor="P135" w:history="1">
        <w:r>
          <w:rPr>
            <w:color w:val="0000FF"/>
          </w:rPr>
          <w:t>п. п. 6.2.7</w:t>
        </w:r>
      </w:hyperlink>
      <w:r>
        <w:t xml:space="preserve"> и </w:t>
      </w:r>
      <w:hyperlink w:anchor="P139" w:history="1">
        <w:r>
          <w:rPr>
            <w:color w:val="0000FF"/>
          </w:rPr>
          <w:t>6.2.8</w:t>
        </w:r>
      </w:hyperlink>
      <w:r>
        <w:t>, но не чаще чем 1 раз в 5 лет.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6.2.11. Экстренная профилактика столбняка у родильниц и новорожденных в случае родов вне стационара.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Экстренную специфическую профилактику столбняка у родильниц проводят в соответствии с </w:t>
      </w:r>
      <w:hyperlink w:anchor="P134" w:history="1">
        <w:r>
          <w:rPr>
            <w:color w:val="0000FF"/>
          </w:rPr>
          <w:t>п. 6.2.6</w:t>
        </w:r>
      </w:hyperlink>
      <w:r>
        <w:t>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Новорожденным, родившимся от матерей, иммунный статус которых соответствует положениям, изложенным в </w:t>
      </w:r>
      <w:hyperlink w:anchor="P135" w:history="1">
        <w:r>
          <w:rPr>
            <w:color w:val="0000FF"/>
          </w:rPr>
          <w:t>п. 6.2.7</w:t>
        </w:r>
      </w:hyperlink>
      <w:r>
        <w:t>, экстренную профилактику не проводят. Всем остальным новорожденным, родившимся вне стационара, вводят 250 МЕ ПСЧИ или (при отсутствии ПСЧИ) - 3000 МЕ ПСС.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6.2.12. Экстренная профилактика столбняка при радиационно-термических поражениях.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Взрослым, получившим лучевые ожоги вследствие радиационного поражения, независимо от предшествующей иммунизации против столбняка вводят 1 мл АС и 250 МЕ ПСЧИ.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6.2.13. Экстренная профилактика столбняка при укусах животными.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При укусах животными экстренную профилактику столбняка проводят в соответствии с правилами, изложенными в </w:t>
      </w:r>
      <w:hyperlink w:anchor="P134" w:history="1">
        <w:r>
          <w:rPr>
            <w:color w:val="0000FF"/>
          </w:rPr>
          <w:t>п. 6.2.6</w:t>
        </w:r>
      </w:hyperlink>
      <w:r>
        <w:t>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При необходимости одновременно можно осуществлять курс антирабических прививок. При назначении антирабического иммуноглобулина проба на чувствительность к лошадиному белку проводится с разведенным 1:100 антирабическим гамма-глобулином из сыворотки лошади, в таких случаях внутрикожную пробу с разведенной 1:100 лошадиной сывороткой не ставят.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6.2.14. Противопоказания к применению специфических средств экстренной профилактики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Основными противопоказаниями к применению средств специфической профилактики столбняка являются: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повышенная чувствительность к соответствующему препарату;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беременность (в первой половине противопоказано введение АС (АДС-М) и ПСС, во второй половине - ПСС).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У лиц, имевших противопоказания к введению АС (АДС-М) и ПСС, возможность проведения экстренной профилактики с помощью ПСЧИ определяется лечащим врачом.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Состояние алкогольного опьянения не является противопоказанием к экстренной </w:t>
      </w:r>
      <w:r>
        <w:lastRenderedPageBreak/>
        <w:t>профилактике.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6.2.15. Условия и техника проведения экстренной профилактики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Учитывая, что после введения ПСС и препаратов, содержащих столбнячный анатоксин, у особо чувствительных людей может развиться шок, за каждым привитым необходимо организовать медицинское наблюдение в течение часа после проведения прививки, а помещение, в котором проводятся прививки, должно быть обеспечено средствами противошоковой терапии.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Больного следует информировать, что в случае возникновения после проведения прививки сильного недомогания, сопровождающегося головной болью, температурой или местной реакцией с отеком и покраснением или появлением симптомов сывороточной болезни, он должен немедленно обратиться за медицинской помощью.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6.2.16. Перед введением ПСС в обязательном порядке ставят внутрикожную пробу с лошадиной сывороткой, разведенной 1:100, для определения чувствительности к белкам сыворотки лошади (ампула маркирована красным цветом).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Внутрикожную пробу не ставят, если пострадавшему в течение 1 - 3 дней перед введением ПСС проба была проведена с разведенным 1:100 антирабическим гамма-глобулином из сыворотки лошади в связи с необходимостью введения антирабического гамма-глобулина.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Для постановки пробы используют индивидуальную ампулу, а также стерильные шприцы с делениями на 0,1 мл и тонкую иглу. Разведенную 1:100 сыворотку вводят внутрикожно в сгибательную поверхность предплечья в объеме 0,1 мл. Учет реакции проводят через 20 мин.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Проба считается отрицательной, если диаметр отека или покраснения на месте введения меньше 1,0 см. Проба считается положительной, если отек или покраснение достигают в диаметре 1,0 см и более.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При отрицательной кожной пробе ПСС (из ампулы, маркированной синим цветом) вводят подкожно в объеме 0,1 мл. При отсутствии реакции через 30 мин. вводят стерильным шприцем остальную дозу сыворотки. В течение этого времени вскрытая ампула с ПСС должна быть закрыта стерильной салфеткой.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Примечание. Лицам с аллергическими заболеваниями и реакциями на различные аллергены, а также получавшим ранее препараты, содержащие лошадиную сыворотку (ПСС и др.) или гетерологичные гамма-глобулины (антирабический, противоэнцефалитный и др.), перед введением основной дозы ПСС рекомендуется ввести антигистаминные препараты.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Лицам с положительной реакцией на внутрикожное введение 0,1 мл разведенной 1:100 лошадиной сыворотки или имевшим реакцию на подкожное введение 0,1 мл ПСС, дальнейшее введение ПСС противопоказано.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6.2.17. Реакция на введение препаратов, применяемых при экстренной профилактике столбняка.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После введения ПСС или препаратов, содержащих столбнячный анатоксин, в очень редких случаях могут развиваться осложнения, в частности - анафилактический шок, сывороточная болезнь.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При шоке рекомендуется проведение противошоковой терапии. Все больные с анафилактическим шоком должны быть госпитализированы. Транспортирование больных допускается только после выведения из угрожающего жизни состояния, т.к. при недостаточно интенсивной терапии в ходе эвакуации возможно повторение падения артериального давления, развитие коллапса.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>6.2.18. О всех случаях поствакцинальных осложнений, развившихся после применения препаратов, содержащих столбнячный анатоксин, а также после введения ПСС или ПСЧИ (шок, сывороточная болезнь, заболевания нервной системы и др.), медицинский персонал лечебно-профилактического учреждения обязан срочно сообщить в территориальные органы, осуществляющие государственный санитарно-эпидемиологический надзор.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Оказание неотложной помощи взрослым и детям при анафилактическом шоке и общих аллергических реакциях проводится в соответствии с действующими инструкциями.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7. Учет проведения плановой и экстренной</w:t>
      </w:r>
    </w:p>
    <w:p w:rsidR="006C5045" w:rsidRDefault="006C5045">
      <w:pPr>
        <w:pStyle w:val="ConsPlusNormal"/>
        <w:jc w:val="center"/>
      </w:pPr>
      <w:r>
        <w:t>иммунопрофилактики столбняка и контроль за своевременностью</w:t>
      </w:r>
    </w:p>
    <w:p w:rsidR="006C5045" w:rsidRDefault="006C5045">
      <w:pPr>
        <w:pStyle w:val="ConsPlusNormal"/>
        <w:jc w:val="center"/>
      </w:pPr>
      <w:r>
        <w:t>и качеством проведения иммунопрофилактики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7.1. Контроль за своевременностью и качеством плановой иммунизации детей, прививаемых ассоциированными препаратами против дифтерии, коклюша, столбняка и др., проводится территориальными органами, осуществляющими государственный санитарно-эпидемиологический надзор, в соответствии с нормативно-распорядительными документами.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7.2. Учет состояния плановой активной иммунизации детей производится путем внесения данных в историю развития ребенка - форма N 122/у и в карту учета профилактических прививок - </w:t>
      </w:r>
      <w:hyperlink r:id="rId17" w:history="1">
        <w:r>
          <w:rPr>
            <w:color w:val="0000FF"/>
          </w:rPr>
          <w:t>форма N 063/у</w:t>
        </w:r>
      </w:hyperlink>
      <w:r>
        <w:t>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7.3. Учет состояния иммунизации взрослых производится путем внесения данных в медицинскую карту амбулаторного больного - форма N 25/у-87, журнал учета профилактических прививок - форма N 064/у и в карту учета профилактических прививок - </w:t>
      </w:r>
      <w:hyperlink r:id="rId18" w:history="1">
        <w:r>
          <w:rPr>
            <w:color w:val="0000FF"/>
          </w:rPr>
          <w:t>форма N 063/у</w:t>
        </w:r>
      </w:hyperlink>
      <w:r>
        <w:t>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7.4. Сведения о больном и проведенной ему экстренной профилактике столбняка вносят в журнал регистрации оказания помощи при травмах и в </w:t>
      </w:r>
      <w:hyperlink w:anchor="P436" w:history="1">
        <w:r>
          <w:rPr>
            <w:color w:val="0000FF"/>
          </w:rPr>
          <w:t>журнал</w:t>
        </w:r>
      </w:hyperlink>
      <w:r>
        <w:t xml:space="preserve"> экстренной профилактики столбняка при травмах (Прилож. 5) с указанием даты, наименования введенных препаратов (ФС, ПСС, ПСЧИ), времени введения, дозы, серии, предприятия - изготовителя препарата, а также реакции на введенный препарат.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7.5. Данные об экстренной профилактике столбняка также вносят в историю развития ребенка </w:t>
      </w:r>
      <w:hyperlink r:id="rId19" w:history="1">
        <w:r>
          <w:rPr>
            <w:color w:val="0000FF"/>
          </w:rPr>
          <w:t>(форма N 112/у)</w:t>
        </w:r>
      </w:hyperlink>
      <w:r>
        <w:t xml:space="preserve"> или медицинскую карту амбулаторного больного </w:t>
      </w:r>
      <w:hyperlink r:id="rId20" w:history="1">
        <w:r>
          <w:rPr>
            <w:color w:val="0000FF"/>
          </w:rPr>
          <w:t>(форма N 025/у-87)</w:t>
        </w:r>
      </w:hyperlink>
      <w:r>
        <w:t>, сертификаты профилактических прививок.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7.6. Ежегодно проводится анализ плановой и экстренной иммунопрофилактики столбняка в соответствии с табл. </w:t>
      </w:r>
      <w:hyperlink w:anchor="P459" w:history="1">
        <w:r>
          <w:rPr>
            <w:color w:val="0000FF"/>
          </w:rPr>
          <w:t>Прилож. 6</w:t>
        </w:r>
      </w:hyperlink>
      <w:r>
        <w:t xml:space="preserve">, </w:t>
      </w:r>
      <w:hyperlink w:anchor="P483" w:history="1">
        <w:r>
          <w:rPr>
            <w:color w:val="0000FF"/>
          </w:rPr>
          <w:t>7</w:t>
        </w:r>
      </w:hyperlink>
      <w:r>
        <w:t>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8. Иммунологический контроль при экстренной</w:t>
      </w:r>
    </w:p>
    <w:p w:rsidR="006C5045" w:rsidRDefault="006C5045">
      <w:pPr>
        <w:pStyle w:val="ConsPlusNormal"/>
        <w:jc w:val="center"/>
      </w:pPr>
      <w:r>
        <w:t>профилактике столбняка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При отсутствии достоверных сведений о прививках состояние противостолбнячного иммунитета оценивается непосредственно в момент обращения больного по поводу травмы.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Схема выбора экстренной профилактики основывается на результатах определения уровня специфического антитоксина в сыворотке крови пациента с травмой либо на косвенных критериях факта проведения прививки против столбняка (возраст, пол, отсутствие противопоказаний, служба в армии и пр.).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Титр столбнячного антитоксина в сыворотке крови может быть определен в течение 1,5 - 2 ч с момента обращения больного в лечебно-профилактическое учреждение для оказания травматологической помощи. Достаточный для исследования объем крови - 0,2 мл - может быть получен из раны или одновременно со взятием крови из пальца для проведения любого клинического анализа.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>Забор крови осуществляется в капилляр или в пробирку, которую оставляют при комнатной температуре или в бытовом холодильнике на 15 - 20 мин., после чего надосадочную над эритроцитами жидкость (сыворотку) используют для проведения серологических исследований. При взятии крови из вены используют стандартный способ отделения сыворотки крови.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Определение столбнячного антитоксина в сыворотке крови больного осуществляется в РПГА в соответствии с инструкциями по применению диагностикумов.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Исходное разведение испытуемой сыворотки 1:5 - 1:10. В зависимости от цели определения титров число двукратных разведений может быть ограничено 2 - 4 лунками (экспресс-скрининг для выявления неиммунных или обладающих антителами в низких титрах) или полным рядом - для отведения от прививок лиц, обладающих высокой концентрацией антитоксина в сыворотке крови. Минимальный титр столбнячного антитоксина, свидетельствующий о проведенной иммунизации, равен 1:20.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Тактика проведения экстренной иммунопрофилактики в зависимости от иммунного статуса больного определена "Методическими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специфической профилактике столбняка", утвержденными Приказом Минздрава России от 17.05.99 N 174 "О мерах по дальнейшему совершенствованию профилактики столбняка".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9. Серологический мониторинг за состоянием коллективного</w:t>
      </w:r>
    </w:p>
    <w:p w:rsidR="006C5045" w:rsidRDefault="006C5045">
      <w:pPr>
        <w:pStyle w:val="ConsPlusNormal"/>
        <w:jc w:val="center"/>
      </w:pPr>
      <w:r>
        <w:t>иммунитета к столбняку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9.1. Иммунологический контроль является составной частью эпидемиологического надзора за столбняком. Он позволяет оценить защищенность различных контингентов, достоверно судить о привитости и качестве проведенной иммунизации, а также о длительности сохранения иммунитета; выявить группы риска среди населения и охарактеризовать территории с различной степенью риска возникновения инфекции.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9.2. Плановый и экстренный иммунологический контроль осуществляется едиными серологическими методами, наиболее адекватным из которых для оценки противостолбнячного иммунитета является реакция пассивной гемагглютинации (РПГА). Для этих целей используют коммерческие стандартные диагностикумы: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диагностикум эритроцитарный столбнячный (дифтерийный) антигенный жидкий;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диагностикум эритроцитарный столбнячный (дифтерийный) антигенный (анатоксинный) концентрированный консервированный жидкий.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9.3. Серологический контроль проводится среди разных возрастных, профессиональных и социальных групп населения в городской и сельской местности с различными уровнями заболеваемости. Формирование выборки определяется эпидемиологом. Число обследованных зависит от общей численности населения в данном населенном пункте: в коллективах до 100 чел. необходимо обследовать не менее 10 - 15%; 1000 чел. - 5 - 10%; до 10000 чел. и более - 1%.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9.4. Индикаторные группы, свидетельствующие о состоянии противостолбнячного иммунитета, определяются в соответствии с нормативно-методическими документами.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  <w:outlineLvl w:val="1"/>
      </w:pPr>
      <w:r>
        <w:t>10. Лабораторная диагностика столбняка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Исследование на присутствие столбнячного микроба (C. tetani) проводят в следующих случаях: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для подтверждения клинического диагноза столбняка у больного или умершего;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- для проверки на стерильность перевязочного, шовного материалов и изделий медицинского </w:t>
      </w:r>
      <w:r>
        <w:lastRenderedPageBreak/>
        <w:t>назначения, предназначенных для парентерального введения;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- для оценки состояния окружающей среды и эпидзначимых объектов (почва, пыль, воздух в операционных и перевязочных и т.п.).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Так как клиническая картина столбняка бывает весьма характерна, лабораторная диагностика может служить для подтверждения диагноза чаще всего ретроспективно, поскольку манифестная клиника обычно свидетельствует о далеко зашедшем процессе.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Бактериологическое исследование трупного и патологического материала от больных, а также различных объектов внешней среды на наличие возбудителя столбняка проводится в соответствии с рекомендованными методиками.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Серологические исследования больных столбняком не имеют диагностического значения.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Слежение за экологией возбудителя столбняка во внешней среде в целях характеристики территориальных особенностей его распространения планируется и проводится в соответствии со специальными распоряжениями территориальных органов, осуществляющих государственный санитарно-эпидемиологический надзор в субъектах Российской Федерации, на основании данных эпидемиологического анализа.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1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4" w:name="P236"/>
      <w:bookmarkEnd w:id="4"/>
      <w:r>
        <w:t>СХЕМА</w:t>
      </w:r>
    </w:p>
    <w:p w:rsidR="006C5045" w:rsidRDefault="006C5045">
      <w:pPr>
        <w:pStyle w:val="ConsPlusNormal"/>
        <w:jc w:val="center"/>
      </w:pPr>
      <w:r>
        <w:t>ИММУНИЗАЦИИ ВЗРОСЛЫХ ПРОТИВ СТОЛБНЯКА И ДИФТЕРИИ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1904"/>
        <w:gridCol w:w="1785"/>
        <w:gridCol w:w="2618"/>
      </w:tblGrid>
      <w:tr w:rsidR="006C5045">
        <w:trPr>
          <w:trHeight w:val="241"/>
        </w:trPr>
        <w:tc>
          <w:tcPr>
            <w:tcW w:w="2975" w:type="dxa"/>
          </w:tcPr>
          <w:p w:rsidR="006C5045" w:rsidRDefault="006C5045">
            <w:pPr>
              <w:pStyle w:val="ConsPlusNonformat"/>
              <w:jc w:val="both"/>
            </w:pPr>
            <w:r>
              <w:t>Прививаемые контингенты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и их характеристика  </w:t>
            </w:r>
          </w:p>
        </w:tc>
        <w:tc>
          <w:tcPr>
            <w:tcW w:w="3689" w:type="dxa"/>
            <w:gridSpan w:val="2"/>
          </w:tcPr>
          <w:p w:rsidR="006C5045" w:rsidRDefault="006C5045">
            <w:pPr>
              <w:pStyle w:val="ConsPlusNonformat"/>
              <w:jc w:val="both"/>
            </w:pPr>
            <w:r>
              <w:t xml:space="preserve">Непривитые против столбняка </w:t>
            </w:r>
          </w:p>
        </w:tc>
        <w:tc>
          <w:tcPr>
            <w:tcW w:w="2618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 Непривитые против  </w:t>
            </w:r>
          </w:p>
          <w:p w:rsidR="006C5045" w:rsidRDefault="006C5045">
            <w:pPr>
              <w:pStyle w:val="ConsPlusNonformat"/>
              <w:jc w:val="both"/>
            </w:pPr>
            <w:r>
              <w:t>дифтерии и столбняка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  Препараты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 АС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АС 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  АДС-М        </w:t>
            </w:r>
          </w:p>
        </w:tc>
      </w:tr>
      <w:tr w:rsidR="006C5045">
        <w:trPr>
          <w:trHeight w:val="241"/>
        </w:trPr>
        <w:tc>
          <w:tcPr>
            <w:tcW w:w="9282" w:type="dxa"/>
            <w:gridSpan w:val="4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                   ВАКЦИНАЦИЯ                        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Схема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обычная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сокращенная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обычная     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1-я прививка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1,0 мл  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интервал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 мес.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30 - 40 дней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2-я прививка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интервал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от 6 мес.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2 лет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от 6 мес.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2 лет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9 - 12 мес.         </w:t>
            </w:r>
          </w:p>
        </w:tc>
      </w:tr>
      <w:tr w:rsidR="006C5045">
        <w:trPr>
          <w:trHeight w:val="241"/>
        </w:trPr>
        <w:tc>
          <w:tcPr>
            <w:tcW w:w="9282" w:type="dxa"/>
            <w:gridSpan w:val="4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                  РЕВАКЦИНАЦИЯ                       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Первая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</w:t>
            </w:r>
          </w:p>
        </w:tc>
      </w:tr>
      <w:tr w:rsidR="006C5045">
        <w:trPr>
          <w:trHeight w:val="241"/>
        </w:trPr>
        <w:tc>
          <w:tcPr>
            <w:tcW w:w="297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Последующие - через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каждые 10 лет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АС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или АДС-М    </w:t>
            </w:r>
          </w:p>
        </w:tc>
        <w:tc>
          <w:tcPr>
            <w:tcW w:w="261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</w:t>
            </w: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2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5" w:name="P272"/>
      <w:bookmarkEnd w:id="5"/>
      <w:r>
        <w:t>СХЕМА</w:t>
      </w:r>
    </w:p>
    <w:p w:rsidR="006C5045" w:rsidRDefault="006C5045">
      <w:pPr>
        <w:pStyle w:val="ConsPlusNormal"/>
        <w:jc w:val="center"/>
      </w:pPr>
      <w:r>
        <w:t>ИММУНИЗАЦИИ ДЕТЕЙ ПРОТИВ СТОЛБНЯКА, ДИФТЕРИИ И КОКЛЮША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9"/>
        <w:gridCol w:w="1666"/>
        <w:gridCol w:w="3094"/>
        <w:gridCol w:w="2023"/>
      </w:tblGrid>
      <w:tr w:rsidR="006C5045">
        <w:trPr>
          <w:trHeight w:val="241"/>
        </w:trPr>
        <w:tc>
          <w:tcPr>
            <w:tcW w:w="2499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    Возраст на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начало вакцинации </w:t>
            </w:r>
          </w:p>
        </w:tc>
        <w:tc>
          <w:tcPr>
            <w:tcW w:w="1666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От 3-х мес.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4-х лет,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не имеющие  </w:t>
            </w:r>
          </w:p>
          <w:p w:rsidR="006C5045" w:rsidRDefault="006C5045">
            <w:pPr>
              <w:pStyle w:val="ConsPlusNonformat"/>
              <w:jc w:val="both"/>
            </w:pPr>
            <w:r>
              <w:t>противопока-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заний       </w:t>
            </w:r>
          </w:p>
        </w:tc>
        <w:tc>
          <w:tcPr>
            <w:tcW w:w="3094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  От 3-х мес. до 6 лет  </w:t>
            </w:r>
          </w:p>
          <w:p w:rsidR="006C5045" w:rsidRDefault="006C5045">
            <w:pPr>
              <w:pStyle w:val="ConsPlusNonformat"/>
              <w:jc w:val="both"/>
            </w:pPr>
            <w:r>
              <w:t>11 мес. 29 дней, имеющие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противопоказания к АКДС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 или переболевшие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     коклюшем        </w:t>
            </w:r>
          </w:p>
        </w:tc>
        <w:tc>
          <w:tcPr>
            <w:tcW w:w="2023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  От 7 лет и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старше, ранее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не привитые  </w:t>
            </w:r>
          </w:p>
          <w:p w:rsidR="006C5045" w:rsidRDefault="006C5045">
            <w:pPr>
              <w:pStyle w:val="ConsPlusNonformat"/>
              <w:jc w:val="both"/>
            </w:pPr>
            <w:r>
              <w:t>против дифтерии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и столбняка  </w:t>
            </w:r>
          </w:p>
        </w:tc>
      </w:tr>
      <w:tr w:rsidR="006C5045">
        <w:trPr>
          <w:trHeight w:val="241"/>
        </w:trPr>
        <w:tc>
          <w:tcPr>
            <w:tcW w:w="9282" w:type="dxa"/>
            <w:gridSpan w:val="4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                   ВАКЦИНАЦИЯ                             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1-я прививка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АКДС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интервал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1,5 мес.   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30 - 40 дней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30 - 45 дней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2-я прививка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АКДС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интервал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1,5 мес.    </w:t>
            </w:r>
          </w:p>
        </w:tc>
        <w:tc>
          <w:tcPr>
            <w:tcW w:w="5117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3-я прививка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АКДС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проводится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проводится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интервал перед пер-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вой ревакцинацией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12 мес.    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9 - 12 мес.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6 - 9 мес.     </w:t>
            </w:r>
          </w:p>
        </w:tc>
      </w:tr>
      <w:tr w:rsidR="006C5045">
        <w:trPr>
          <w:trHeight w:val="241"/>
        </w:trPr>
        <w:tc>
          <w:tcPr>
            <w:tcW w:w="9282" w:type="dxa"/>
            <w:gridSpan w:val="4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                  РЕВАКЦИНАЦИЯ                            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Первая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АКДС 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  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Вторая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0,5 мл АДС-М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Третья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0,5 мл АДС-М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</w:t>
            </w:r>
          </w:p>
        </w:tc>
      </w:tr>
      <w:tr w:rsidR="006C5045">
        <w:trPr>
          <w:trHeight w:val="241"/>
        </w:trPr>
        <w:tc>
          <w:tcPr>
            <w:tcW w:w="24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Последующие - через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каждые 10 лет      </w:t>
            </w:r>
          </w:p>
        </w:tc>
        <w:tc>
          <w:tcPr>
            <w:tcW w:w="1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0,5 мл АДС-М</w:t>
            </w:r>
          </w:p>
        </w:tc>
        <w:tc>
          <w:tcPr>
            <w:tcW w:w="309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АДС-М   </w:t>
            </w: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3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6" w:name="P315"/>
      <w:bookmarkEnd w:id="6"/>
      <w:r>
        <w:t>СХЕМА</w:t>
      </w:r>
    </w:p>
    <w:p w:rsidR="006C5045" w:rsidRDefault="006C5045">
      <w:pPr>
        <w:pStyle w:val="ConsPlusNormal"/>
        <w:jc w:val="center"/>
      </w:pPr>
      <w:r>
        <w:t>ВЫБОРА ПРОФИЛАКТИЧЕСКИХ СРЕДСТВ ПРИ ПРОВЕДЕНИИ</w:t>
      </w:r>
    </w:p>
    <w:p w:rsidR="006C5045" w:rsidRDefault="006C5045">
      <w:pPr>
        <w:pStyle w:val="ConsPlusNormal"/>
        <w:jc w:val="center"/>
      </w:pPr>
      <w:r>
        <w:t>ЭКСТРЕННОЙ СПЕЦИФИЧЕСКОЙ ПРОФИЛАКТИКИ СТОЛБНЯКА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1785"/>
        <w:gridCol w:w="1428"/>
        <w:gridCol w:w="1071"/>
        <w:gridCol w:w="1190"/>
        <w:gridCol w:w="1190"/>
      </w:tblGrid>
      <w:tr w:rsidR="006C5045">
        <w:trPr>
          <w:trHeight w:val="241"/>
        </w:trPr>
        <w:tc>
          <w:tcPr>
            <w:tcW w:w="2856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 xml:space="preserve">    Предшествующие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прививки против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столбняка препаратом,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 содержащим АС     </w:t>
            </w:r>
          </w:p>
        </w:tc>
        <w:tc>
          <w:tcPr>
            <w:tcW w:w="178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 xml:space="preserve"> Возрастная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группа    </w:t>
            </w:r>
          </w:p>
        </w:tc>
        <w:tc>
          <w:tcPr>
            <w:tcW w:w="1428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 xml:space="preserve">  Сроки,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прошедшие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после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последней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прививки </w:t>
            </w:r>
          </w:p>
        </w:tc>
        <w:tc>
          <w:tcPr>
            <w:tcW w:w="3451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t xml:space="preserve">  Применяемые препараты  </w:t>
            </w:r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309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АС </w:t>
            </w:r>
            <w:hyperlink w:anchor="P3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ПСЧИ </w:t>
            </w:r>
            <w:hyperlink w:anchor="P3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ПСС   </w:t>
            </w:r>
          </w:p>
        </w:tc>
      </w:tr>
      <w:tr w:rsidR="006C504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6    </w:t>
            </w:r>
          </w:p>
        </w:tc>
      </w:tr>
      <w:tr w:rsidR="006C5045">
        <w:trPr>
          <w:trHeight w:val="241"/>
        </w:trPr>
        <w:tc>
          <w:tcPr>
            <w:tcW w:w="9520" w:type="dxa"/>
            <w:gridSpan w:val="6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Имеется документальное подтверждение о прививках             </w:t>
            </w:r>
          </w:p>
        </w:tc>
      </w:tr>
      <w:tr w:rsidR="006C504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полный курс плановых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прививок в соответст-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вии с возрастом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и подростки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независимо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от срока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вводят </w:t>
            </w:r>
          </w:p>
          <w:p w:rsidR="006C5045" w:rsidRDefault="006C5045">
            <w:pPr>
              <w:pStyle w:val="ConsPlusNonformat"/>
              <w:jc w:val="both"/>
            </w:pPr>
            <w:hyperlink w:anchor="P3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       </w:t>
            </w:r>
          </w:p>
        </w:tc>
      </w:tr>
      <w:tr w:rsidR="006C504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курс плановых прививок</w:t>
            </w:r>
          </w:p>
          <w:p w:rsidR="006C5045" w:rsidRDefault="006C5045">
            <w:pPr>
              <w:pStyle w:val="ConsPlusNonformat"/>
              <w:jc w:val="both"/>
            </w:pPr>
            <w:r>
              <w:t>без последней возраст-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ной ревакцинации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и подростки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независимо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от срока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       </w:t>
            </w:r>
          </w:p>
        </w:tc>
      </w:tr>
      <w:tr w:rsidR="006C5045">
        <w:trPr>
          <w:trHeight w:val="241"/>
        </w:trPr>
        <w:tc>
          <w:tcPr>
            <w:tcW w:w="2856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lastRenderedPageBreak/>
              <w:t xml:space="preserve">полный курс  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иммунизации </w:t>
            </w:r>
            <w:hyperlink w:anchor="P38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взрослые 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более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5 лет     </w:t>
            </w:r>
          </w:p>
        </w:tc>
        <w:tc>
          <w:tcPr>
            <w:tcW w:w="3451" w:type="dxa"/>
            <w:gridSpan w:val="3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               </w:t>
            </w:r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более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5 лет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       </w:t>
            </w:r>
          </w:p>
        </w:tc>
      </w:tr>
      <w:tr w:rsidR="006C5045">
        <w:trPr>
          <w:trHeight w:val="241"/>
        </w:trPr>
        <w:tc>
          <w:tcPr>
            <w:tcW w:w="2856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две прививки </w:t>
            </w:r>
            <w:hyperlink w:anchor="P38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все возраста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более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5 лет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       </w:t>
            </w:r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более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5 лет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1,0 мл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  <w:p w:rsidR="006C5045" w:rsidRDefault="006C5045">
            <w:pPr>
              <w:pStyle w:val="ConsPlusNonformat"/>
              <w:jc w:val="both"/>
            </w:pPr>
            <w:hyperlink w:anchor="P39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C5045">
        <w:trPr>
          <w:trHeight w:val="241"/>
        </w:trPr>
        <w:tc>
          <w:tcPr>
            <w:tcW w:w="2856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одна прививка         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все возраста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более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2 лет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</w:t>
            </w:r>
            <w:hyperlink w:anchor="P38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более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2 лет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1,0 мл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  <w:p w:rsidR="006C5045" w:rsidRDefault="006C5045">
            <w:pPr>
              <w:pStyle w:val="ConsPlusNonformat"/>
              <w:jc w:val="both"/>
            </w:pPr>
            <w:hyperlink w:anchor="P39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C5045">
        <w:trPr>
          <w:trHeight w:val="241"/>
        </w:trPr>
        <w:tc>
          <w:tcPr>
            <w:tcW w:w="2856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непривитые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6 мес.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вводят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  <w:p w:rsidR="006C5045" w:rsidRDefault="006C5045">
            <w:pPr>
              <w:pStyle w:val="ConsPlusNonformat"/>
              <w:jc w:val="both"/>
            </w:pPr>
            <w:hyperlink w:anchor="P39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старше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6 мес.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14 лет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  <w:p w:rsidR="006C5045" w:rsidRDefault="006C5045">
            <w:pPr>
              <w:pStyle w:val="ConsPlusNonformat"/>
              <w:jc w:val="both"/>
            </w:pPr>
            <w:hyperlink w:anchor="P39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остальные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возрасты 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1,0 мл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</w:tc>
      </w:tr>
      <w:tr w:rsidR="006C5045">
        <w:trPr>
          <w:trHeight w:val="241"/>
        </w:trPr>
        <w:tc>
          <w:tcPr>
            <w:tcW w:w="9520" w:type="dxa"/>
            <w:gridSpan w:val="6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  <w:outlineLvl w:val="1"/>
            </w:pPr>
            <w:r>
              <w:t xml:space="preserve">              Нет документального подтверждения о прививках              </w:t>
            </w:r>
          </w:p>
        </w:tc>
      </w:tr>
      <w:tr w:rsidR="006C5045">
        <w:trPr>
          <w:trHeight w:val="241"/>
        </w:trPr>
        <w:tc>
          <w:tcPr>
            <w:tcW w:w="2856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 анамнезе не было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противопоказаний к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прививкам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до 6 мес.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вводят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</w:tc>
      </w:tr>
      <w:tr w:rsidR="006C5045">
        <w:tc>
          <w:tcPr>
            <w:tcW w:w="273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дети с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6 мес.,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подростки,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военнослу-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жащие, лица,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проходившие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службу в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ВС РФ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0,5 мл </w:t>
            </w: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вводят </w:t>
            </w:r>
            <w:hyperlink w:anchor="P38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C504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остальные контингенты </w:t>
            </w:r>
          </w:p>
        </w:tc>
        <w:tc>
          <w:tcPr>
            <w:tcW w:w="178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все возрасты </w:t>
            </w:r>
          </w:p>
        </w:tc>
        <w:tc>
          <w:tcPr>
            <w:tcW w:w="142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1,0 мл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250 МЕ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3000 МЕ </w:t>
            </w: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--------------------------------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7" w:name="P384"/>
      <w:bookmarkEnd w:id="7"/>
      <w:r>
        <w:t>&lt;1&gt; Вместо 0,5 мл АС можно использовать АДС-М, если необходима вакцинация против дифтерии этим препаратом. Если локализация раны позволяет, АС предпочтительно вводить в область ее расположения путем подкожного обкалывания.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8" w:name="P385"/>
      <w:bookmarkEnd w:id="8"/>
      <w:r>
        <w:t>&lt;2&gt; Применять один из указанных препаратов: ПСЧИ или ПСС, детям предпочтительно вводить ПСЧИ.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9" w:name="P386"/>
      <w:bookmarkEnd w:id="9"/>
      <w:r>
        <w:t>&lt;3&gt; При "инфицированных" ранах вводят 0,5 мл АС, если после вакцинации прошло 5 и более лет.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0" w:name="P387"/>
      <w:bookmarkEnd w:id="10"/>
      <w:r>
        <w:t>&lt;4&gt; Полный курс иммунизации АС для взрослых состоит из двух прививок по 0,5 мл каждая с интервалом 30 - 40 дней и ревакцинации через 6 - 12 мес. той же дозой. По сокращенной схеме полный курс иммунизации включает однократную вакцинацию АС в удвоенной дозе (1 мл) и ревакцинацию через 6 мес. - 2 года дозой 0,5 мл АС.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1" w:name="P388"/>
      <w:bookmarkEnd w:id="11"/>
      <w:r>
        <w:t>&lt;5&gt; Две прививки по обычной схеме иммунизации (для взрослых и детей) или одна прививка по сокращенной схеме иммунизации для взрослых.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2" w:name="P389"/>
      <w:bookmarkEnd w:id="12"/>
      <w:r>
        <w:lastRenderedPageBreak/>
        <w:t>&lt;6&gt; При "инфицированных" ранах вводят ПСЧИ или ПСС.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3" w:name="P390"/>
      <w:bookmarkEnd w:id="13"/>
      <w:r>
        <w:t>&lt;7&gt; Все лица, получившие активно-пассивную профилактику, для завершения курса иммунизации через 6 мес. - 2 года должны быть ревакцинированы 0,5 мл АС или 0,5 мл АДС-М.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4" w:name="P391"/>
      <w:bookmarkEnd w:id="14"/>
      <w:r>
        <w:t>&lt;8&gt; При проведении активно-пассивной профилактики детям вводят 0,5 мл АС. После нормализации посттравматического состояния дети должны быть привиты АКДС-вакциной или АДС-анатоксином.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4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15" w:name="P399"/>
      <w:bookmarkEnd w:id="15"/>
      <w:r>
        <w:t>СХЕМА</w:t>
      </w:r>
    </w:p>
    <w:p w:rsidR="006C5045" w:rsidRDefault="006C5045">
      <w:pPr>
        <w:pStyle w:val="ConsPlusNormal"/>
        <w:jc w:val="center"/>
      </w:pPr>
      <w:r>
        <w:t>КЛАССИФИКАЦИИ РАН ДЛЯ ИХ РАЗГРАНИЧЕНИЯ НА ПОТЕНЦИАЛЬНО</w:t>
      </w:r>
    </w:p>
    <w:p w:rsidR="006C5045" w:rsidRDefault="006C5045">
      <w:pPr>
        <w:pStyle w:val="ConsPlusNormal"/>
        <w:jc w:val="center"/>
      </w:pPr>
      <w:r>
        <w:t>ПОДВЕРЖЕННЫЕ ИНФИЦИРОВАНИЮ ("ИНФИЦИРОВАННАЯ" РАНА) И МЕНЕЕ</w:t>
      </w:r>
    </w:p>
    <w:p w:rsidR="006C5045" w:rsidRDefault="006C5045">
      <w:pPr>
        <w:pStyle w:val="ConsPlusNormal"/>
        <w:jc w:val="center"/>
      </w:pPr>
      <w:r>
        <w:t>ПОДВЕРЖЕННЫЕ ИНФИЦИРОВАНИЮ ("НЕИНФИЦИРОВАННАЯ" РАНА)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7"/>
        <w:gridCol w:w="3213"/>
        <w:gridCol w:w="3213"/>
      </w:tblGrid>
      <w:tr w:rsidR="006C5045">
        <w:trPr>
          <w:trHeight w:val="241"/>
        </w:trPr>
        <w:tc>
          <w:tcPr>
            <w:tcW w:w="2737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Клинические признаки </w:t>
            </w:r>
          </w:p>
        </w:tc>
        <w:tc>
          <w:tcPr>
            <w:tcW w:w="3213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"Инфицированная" рана </w:t>
            </w:r>
            <w:hyperlink w:anchor="P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13" w:type="dxa"/>
          </w:tcPr>
          <w:p w:rsidR="006C5045" w:rsidRDefault="006C5045">
            <w:pPr>
              <w:pStyle w:val="ConsPlusNonformat"/>
              <w:jc w:val="both"/>
            </w:pPr>
            <w:r>
              <w:t xml:space="preserve"> "Неинфицированная" рана 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Время с момента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получения раны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более 6 ч  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менее 6 ч                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Конфигурация раны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колотая, ссадина, разрыв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"линейные" раны (узкие,  </w:t>
            </w:r>
          </w:p>
          <w:p w:rsidR="006C5045" w:rsidRDefault="006C5045">
            <w:pPr>
              <w:pStyle w:val="ConsPlusNonformat"/>
              <w:jc w:val="both"/>
            </w:pPr>
            <w:r>
              <w:t>длинные с ровными краями)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Глубина раны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более 1 см 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до 1 см                  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Механизм нанесения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раны   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огнестрельная, прокол,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сдавление, ожог,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обморожение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острые предметы     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(нож, стекло и др.)      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Нежизнеспособные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ткани  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присутствуют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отсутствуют              </w:t>
            </w:r>
          </w:p>
        </w:tc>
      </w:tr>
      <w:tr w:rsidR="006C5045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Контаминация (почва,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фецес, ткань, заноза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и т.п.) 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присутствует             </w:t>
            </w:r>
          </w:p>
        </w:tc>
        <w:tc>
          <w:tcPr>
            <w:tcW w:w="321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отсутствует              </w:t>
            </w: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--------------------------------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16" w:name="P428"/>
      <w:bookmarkEnd w:id="16"/>
      <w:r>
        <w:t>&lt;*&gt; К "инфицированным" ранам также относятся: пупочная рана при родах вне стационара, внебольничный аборт, проникающие ранения кишечника, абсцессы, некрозы, укусы.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5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17" w:name="P436"/>
      <w:bookmarkEnd w:id="17"/>
      <w:r>
        <w:t>Журнал</w:t>
      </w:r>
    </w:p>
    <w:p w:rsidR="006C5045" w:rsidRDefault="006C5045">
      <w:pPr>
        <w:pStyle w:val="ConsPlusNormal"/>
        <w:jc w:val="center"/>
      </w:pPr>
      <w:r>
        <w:t>учета экстренной профилактики столбняка при травмах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888"/>
        <w:gridCol w:w="666"/>
        <w:gridCol w:w="555"/>
        <w:gridCol w:w="777"/>
        <w:gridCol w:w="999"/>
        <w:gridCol w:w="888"/>
        <w:gridCol w:w="777"/>
        <w:gridCol w:w="555"/>
        <w:gridCol w:w="555"/>
        <w:gridCol w:w="777"/>
        <w:gridCol w:w="555"/>
        <w:gridCol w:w="555"/>
        <w:gridCol w:w="666"/>
        <w:gridCol w:w="1332"/>
      </w:tblGrid>
      <w:tr w:rsidR="006C5045">
        <w:trPr>
          <w:trHeight w:val="227"/>
        </w:trPr>
        <w:tc>
          <w:tcPr>
            <w:tcW w:w="333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888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666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Воз-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раст</w:t>
            </w:r>
          </w:p>
        </w:tc>
        <w:tc>
          <w:tcPr>
            <w:tcW w:w="55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Ад-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рес</w:t>
            </w:r>
          </w:p>
        </w:tc>
        <w:tc>
          <w:tcPr>
            <w:tcW w:w="777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Место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рабо-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ты и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долж-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ность</w:t>
            </w:r>
          </w:p>
        </w:tc>
        <w:tc>
          <w:tcPr>
            <w:tcW w:w="999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Дата и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харак-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тер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повреж-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дения  </w:t>
            </w:r>
          </w:p>
        </w:tc>
        <w:tc>
          <w:tcPr>
            <w:tcW w:w="888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Данные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о при-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вивках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против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столб-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няка  </w:t>
            </w:r>
          </w:p>
        </w:tc>
        <w:tc>
          <w:tcPr>
            <w:tcW w:w="777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Ре-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зуль-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тат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в/к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пробы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ПСС  </w:t>
            </w:r>
          </w:p>
        </w:tc>
        <w:tc>
          <w:tcPr>
            <w:tcW w:w="1887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Введение ПСС </w:t>
            </w:r>
          </w:p>
        </w:tc>
        <w:tc>
          <w:tcPr>
            <w:tcW w:w="1776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Введение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столбнячного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анатоксина </w:t>
            </w:r>
          </w:p>
        </w:tc>
        <w:tc>
          <w:tcPr>
            <w:tcW w:w="1332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Куда, кому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сообщено о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проведении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экстренной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тики      </w:t>
            </w:r>
          </w:p>
        </w:tc>
      </w:tr>
      <w:tr w:rsidR="006C5045">
        <w:tc>
          <w:tcPr>
            <w:tcW w:w="222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77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5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444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888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777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666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да-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та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до-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за </w:t>
            </w:r>
          </w:p>
        </w:tc>
        <w:tc>
          <w:tcPr>
            <w:tcW w:w="77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реак-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ция 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да-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та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до-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за </w:t>
            </w:r>
          </w:p>
        </w:tc>
        <w:tc>
          <w:tcPr>
            <w:tcW w:w="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се-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рия 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6C5045" w:rsidRDefault="006C5045"/>
        </w:tc>
      </w:tr>
      <w:tr w:rsidR="006C5045">
        <w:trPr>
          <w:trHeight w:val="227"/>
        </w:trPr>
        <w:tc>
          <w:tcPr>
            <w:tcW w:w="33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3 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77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999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888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77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777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11 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66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14 </w:t>
            </w:r>
          </w:p>
        </w:tc>
        <w:tc>
          <w:tcPr>
            <w:tcW w:w="1332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8"/>
              </w:rPr>
              <w:t xml:space="preserve">    15    </w:t>
            </w:r>
          </w:p>
        </w:tc>
      </w:tr>
      <w:tr w:rsidR="006C5045">
        <w:trPr>
          <w:trHeight w:val="227"/>
        </w:trPr>
        <w:tc>
          <w:tcPr>
            <w:tcW w:w="3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99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332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227"/>
        </w:trPr>
        <w:tc>
          <w:tcPr>
            <w:tcW w:w="3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99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332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227"/>
        </w:trPr>
        <w:tc>
          <w:tcPr>
            <w:tcW w:w="3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99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88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77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5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66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332" w:type="dxa"/>
          </w:tcPr>
          <w:p w:rsidR="006C5045" w:rsidRDefault="006C5045">
            <w:pPr>
              <w:pStyle w:val="ConsPlusNonformat"/>
              <w:jc w:val="both"/>
            </w:pP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6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18" w:name="P459"/>
      <w:bookmarkEnd w:id="18"/>
      <w:r>
        <w:t>Состояние активной иммунизации против столбняка</w:t>
      </w:r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1071"/>
        <w:gridCol w:w="1071"/>
        <w:gridCol w:w="1190"/>
        <w:gridCol w:w="952"/>
        <w:gridCol w:w="714"/>
        <w:gridCol w:w="714"/>
        <w:gridCol w:w="595"/>
        <w:gridCol w:w="833"/>
        <w:gridCol w:w="833"/>
        <w:gridCol w:w="952"/>
      </w:tblGrid>
      <w:tr w:rsidR="006C5045">
        <w:trPr>
          <w:trHeight w:val="241"/>
        </w:trPr>
        <w:tc>
          <w:tcPr>
            <w:tcW w:w="1190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>Возраст-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ные и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профес- </w:t>
            </w:r>
          </w:p>
          <w:p w:rsidR="006C5045" w:rsidRDefault="006C5045">
            <w:pPr>
              <w:pStyle w:val="ConsPlusNonformat"/>
              <w:jc w:val="both"/>
            </w:pPr>
            <w:r>
              <w:t>сиональ-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ные  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группы  </w:t>
            </w:r>
          </w:p>
        </w:tc>
        <w:tc>
          <w:tcPr>
            <w:tcW w:w="1071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>Числен-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ность  </w:t>
            </w:r>
          </w:p>
          <w:p w:rsidR="006C5045" w:rsidRDefault="006C5045">
            <w:pPr>
              <w:pStyle w:val="ConsPlusNonformat"/>
              <w:jc w:val="both"/>
            </w:pPr>
            <w:r>
              <w:t>контин-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гентов </w:t>
            </w:r>
          </w:p>
        </w:tc>
        <w:tc>
          <w:tcPr>
            <w:tcW w:w="1071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 xml:space="preserve">Пол-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ностью </w:t>
            </w:r>
          </w:p>
          <w:p w:rsidR="006C5045" w:rsidRDefault="006C5045">
            <w:pPr>
              <w:pStyle w:val="ConsPlusNonformat"/>
              <w:jc w:val="both"/>
            </w:pPr>
            <w:r>
              <w:t>привиты</w:t>
            </w:r>
          </w:p>
          <w:p w:rsidR="006C5045" w:rsidRDefault="006C5045">
            <w:pPr>
              <w:pStyle w:val="ConsPlusNonformat"/>
              <w:jc w:val="both"/>
            </w:pPr>
            <w:r>
              <w:t>(ревак-</w:t>
            </w:r>
          </w:p>
          <w:p w:rsidR="006C5045" w:rsidRDefault="006C5045">
            <w:pPr>
              <w:pStyle w:val="ConsPlusNonformat"/>
              <w:jc w:val="both"/>
            </w:pPr>
            <w:r>
              <w:t>циниро-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ваны в </w:t>
            </w:r>
          </w:p>
          <w:p w:rsidR="006C5045" w:rsidRDefault="006C5045">
            <w:pPr>
              <w:pStyle w:val="ConsPlusNonformat"/>
              <w:jc w:val="both"/>
            </w:pPr>
            <w:r>
              <w:t>течение</w:t>
            </w:r>
          </w:p>
          <w:p w:rsidR="006C5045" w:rsidRDefault="006C5045">
            <w:pPr>
              <w:pStyle w:val="ConsPlusNonformat"/>
              <w:jc w:val="both"/>
            </w:pPr>
            <w:r>
              <w:t>10 лет)</w:t>
            </w:r>
          </w:p>
        </w:tc>
        <w:tc>
          <w:tcPr>
            <w:tcW w:w="1190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>Вакцини-</w:t>
            </w:r>
          </w:p>
          <w:p w:rsidR="006C5045" w:rsidRDefault="006C5045">
            <w:pPr>
              <w:pStyle w:val="ConsPlusNonformat"/>
              <w:jc w:val="both"/>
            </w:pPr>
            <w:r>
              <w:t>рованы в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течение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послед-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них 2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лет без </w:t>
            </w:r>
          </w:p>
          <w:p w:rsidR="006C5045" w:rsidRDefault="006C5045">
            <w:pPr>
              <w:pStyle w:val="ConsPlusNonformat"/>
              <w:jc w:val="both"/>
            </w:pPr>
            <w:r>
              <w:t>ревакци-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нации   </w:t>
            </w:r>
          </w:p>
        </w:tc>
        <w:tc>
          <w:tcPr>
            <w:tcW w:w="952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>Ревак-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цини- </w:t>
            </w:r>
          </w:p>
          <w:p w:rsidR="006C5045" w:rsidRDefault="006C5045">
            <w:pPr>
              <w:pStyle w:val="ConsPlusNonformat"/>
              <w:jc w:val="both"/>
            </w:pPr>
            <w:r>
              <w:t>рованы</w:t>
            </w:r>
          </w:p>
          <w:p w:rsidR="006C5045" w:rsidRDefault="006C5045">
            <w:pPr>
              <w:pStyle w:val="ConsPlusNonformat"/>
              <w:jc w:val="both"/>
            </w:pPr>
            <w:r>
              <w:t>10 лет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назад </w:t>
            </w:r>
          </w:p>
        </w:tc>
        <w:tc>
          <w:tcPr>
            <w:tcW w:w="714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t>Все-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го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не  </w:t>
            </w:r>
          </w:p>
          <w:p w:rsidR="006C5045" w:rsidRDefault="006C5045">
            <w:pPr>
              <w:pStyle w:val="ConsPlusNonformat"/>
              <w:jc w:val="both"/>
            </w:pPr>
            <w:r>
              <w:t>при-</w:t>
            </w:r>
          </w:p>
          <w:p w:rsidR="006C5045" w:rsidRDefault="006C5045">
            <w:pPr>
              <w:pStyle w:val="ConsPlusNonformat"/>
              <w:jc w:val="both"/>
            </w:pPr>
            <w:r>
              <w:t>вито</w:t>
            </w:r>
          </w:p>
        </w:tc>
        <w:tc>
          <w:tcPr>
            <w:tcW w:w="2142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t xml:space="preserve">  В т.ч. по 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  причинам   </w:t>
            </w:r>
          </w:p>
        </w:tc>
        <w:tc>
          <w:tcPr>
            <w:tcW w:w="1785" w:type="dxa"/>
            <w:gridSpan w:val="2"/>
          </w:tcPr>
          <w:p w:rsidR="006C5045" w:rsidRDefault="006C5045">
            <w:pPr>
              <w:pStyle w:val="ConsPlusNonformat"/>
              <w:jc w:val="both"/>
            </w:pPr>
            <w:r>
              <w:t xml:space="preserve">  Подлежат 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 прививкам  </w:t>
            </w:r>
          </w:p>
        </w:tc>
      </w:tr>
      <w:tr w:rsidR="006C5045">
        <w:tc>
          <w:tcPr>
            <w:tcW w:w="1071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952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952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1071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833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9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71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мед.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от-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вод </w:t>
            </w:r>
          </w:p>
        </w:tc>
        <w:tc>
          <w:tcPr>
            <w:tcW w:w="59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от-</w:t>
            </w:r>
          </w:p>
          <w:p w:rsidR="006C5045" w:rsidRDefault="006C5045">
            <w:pPr>
              <w:pStyle w:val="ConsPlusNonformat"/>
              <w:jc w:val="both"/>
            </w:pPr>
            <w:r>
              <w:t>каз</w:t>
            </w:r>
          </w:p>
        </w:tc>
        <w:tc>
          <w:tcPr>
            <w:tcW w:w="83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не   </w:t>
            </w:r>
          </w:p>
          <w:p w:rsidR="006C5045" w:rsidRDefault="006C5045">
            <w:pPr>
              <w:pStyle w:val="ConsPlusNonformat"/>
              <w:jc w:val="both"/>
            </w:pPr>
            <w:r>
              <w:t>охва-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чены </w:t>
            </w:r>
          </w:p>
        </w:tc>
        <w:tc>
          <w:tcPr>
            <w:tcW w:w="83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вак- </w:t>
            </w:r>
          </w:p>
          <w:p w:rsidR="006C5045" w:rsidRDefault="006C5045">
            <w:pPr>
              <w:pStyle w:val="ConsPlusNonformat"/>
              <w:jc w:val="both"/>
            </w:pPr>
            <w:r>
              <w:t>цина-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ции  </w:t>
            </w:r>
          </w:p>
        </w:tc>
        <w:tc>
          <w:tcPr>
            <w:tcW w:w="952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>ревак-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цина- </w:t>
            </w:r>
          </w:p>
          <w:p w:rsidR="006C5045" w:rsidRDefault="006C5045">
            <w:pPr>
              <w:pStyle w:val="ConsPlusNonformat"/>
              <w:jc w:val="both"/>
            </w:pPr>
            <w:r>
              <w:t xml:space="preserve">ции   </w:t>
            </w:r>
          </w:p>
        </w:tc>
      </w:tr>
      <w:tr w:rsidR="006C5045">
        <w:trPr>
          <w:trHeight w:val="241"/>
        </w:trPr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071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19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952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71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14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9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83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833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952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t xml:space="preserve">  11  </w:t>
            </w:r>
          </w:p>
        </w:tc>
      </w:tr>
      <w:tr w:rsidR="006C5045">
        <w:trPr>
          <w:trHeight w:val="241"/>
        </w:trPr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241"/>
        </w:trPr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241"/>
        </w:trPr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071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119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33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952" w:type="dxa"/>
          </w:tcPr>
          <w:p w:rsidR="006C5045" w:rsidRDefault="006C5045">
            <w:pPr>
              <w:pStyle w:val="ConsPlusNonformat"/>
              <w:jc w:val="both"/>
            </w:pP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7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bookmarkStart w:id="19" w:name="P483"/>
      <w:bookmarkEnd w:id="19"/>
      <w:r>
        <w:t xml:space="preserve">Состояние экстренной профилактики столбняка при травмах </w:t>
      </w:r>
      <w:hyperlink w:anchor="P508" w:history="1">
        <w:r>
          <w:rPr>
            <w:color w:val="0000FF"/>
          </w:rPr>
          <w:t>&lt;1&gt;</w:t>
        </w:r>
      </w:hyperlink>
    </w:p>
    <w:p w:rsidR="006C5045" w:rsidRDefault="006C50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680"/>
        <w:gridCol w:w="510"/>
        <w:gridCol w:w="850"/>
        <w:gridCol w:w="850"/>
        <w:gridCol w:w="510"/>
        <w:gridCol w:w="765"/>
        <w:gridCol w:w="680"/>
        <w:gridCol w:w="765"/>
        <w:gridCol w:w="595"/>
        <w:gridCol w:w="595"/>
        <w:gridCol w:w="595"/>
        <w:gridCol w:w="425"/>
        <w:gridCol w:w="680"/>
        <w:gridCol w:w="765"/>
      </w:tblGrid>
      <w:tr w:rsidR="006C5045">
        <w:trPr>
          <w:trHeight w:val="170"/>
        </w:trPr>
        <w:tc>
          <w:tcPr>
            <w:tcW w:w="110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Количество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лиц, обра-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тившихся по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поводу 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травм с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нарушением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целостности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кожных 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покровов   </w:t>
            </w:r>
          </w:p>
          <w:p w:rsidR="006C5045" w:rsidRDefault="006C5045">
            <w:pPr>
              <w:pStyle w:val="ConsPlusNonformat"/>
              <w:jc w:val="both"/>
            </w:pPr>
            <w:hyperlink w:anchor="P509" w:history="1">
              <w:r>
                <w:rPr>
                  <w:color w:val="0000FF"/>
                  <w:sz w:val="14"/>
                </w:rPr>
                <w:t>&lt;2&gt;</w:t>
              </w:r>
            </w:hyperlink>
          </w:p>
        </w:tc>
        <w:tc>
          <w:tcPr>
            <w:tcW w:w="680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лиц,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подле-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жащих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экст-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ренной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профи-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лакти-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ке    </w:t>
            </w:r>
          </w:p>
        </w:tc>
        <w:tc>
          <w:tcPr>
            <w:tcW w:w="2210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    Из них    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получили экстренную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 профилактику     </w:t>
            </w:r>
          </w:p>
        </w:tc>
        <w:tc>
          <w:tcPr>
            <w:tcW w:w="1955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Количество лиц из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числа подлежащих,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не получивших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экстренную 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профилактику    </w:t>
            </w:r>
          </w:p>
        </w:tc>
        <w:tc>
          <w:tcPr>
            <w:tcW w:w="76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Коли-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чество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постав-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ленных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биопроб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к белку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ПСС    </w:t>
            </w:r>
          </w:p>
        </w:tc>
        <w:tc>
          <w:tcPr>
            <w:tcW w:w="59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В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т.ч.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по-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ложи-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тель-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ных  </w:t>
            </w:r>
          </w:p>
        </w:tc>
        <w:tc>
          <w:tcPr>
            <w:tcW w:w="59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Коли-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чест-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во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реак-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ций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на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вве-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дение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ПСС  </w:t>
            </w:r>
          </w:p>
        </w:tc>
        <w:tc>
          <w:tcPr>
            <w:tcW w:w="1700" w:type="dxa"/>
            <w:gridSpan w:val="3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 В т.ч.     </w:t>
            </w:r>
          </w:p>
        </w:tc>
        <w:tc>
          <w:tcPr>
            <w:tcW w:w="765" w:type="dxa"/>
            <w:vMerge w:val="restart"/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Коли-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чество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лиц,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полу-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чивших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ревак-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цинацию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через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6 - 24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мес.   </w:t>
            </w:r>
          </w:p>
        </w:tc>
      </w:tr>
      <w:tr w:rsidR="006C5045">
        <w:tc>
          <w:tcPr>
            <w:tcW w:w="102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9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го  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т.ч.     </w:t>
            </w: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Все-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го  </w:t>
            </w:r>
          </w:p>
        </w:tc>
        <w:tc>
          <w:tcPr>
            <w:tcW w:w="1445" w:type="dxa"/>
            <w:gridSpan w:val="2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в т.ч.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по причине  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95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мест-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ная  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об-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щая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аллер-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гичес-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кая   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6C5045" w:rsidRDefault="006C5045"/>
        </w:tc>
      </w:tr>
      <w:tr w:rsidR="006C5045">
        <w:tc>
          <w:tcPr>
            <w:tcW w:w="102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9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42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85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вакцина-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ция (не-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привитые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в прош-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лом </w:t>
            </w:r>
            <w:hyperlink w:anchor="P510" w:history="1">
              <w:r>
                <w:rPr>
                  <w:color w:val="0000FF"/>
                  <w:sz w:val="14"/>
                </w:rPr>
                <w:t>&lt;3&gt;</w:t>
              </w:r>
            </w:hyperlink>
            <w:r>
              <w:rPr>
                <w:sz w:val="14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ревак-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цинация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(приви-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тые в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прошлом)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76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отказ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от про-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ведения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привив-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ки     </w:t>
            </w:r>
          </w:p>
        </w:tc>
        <w:tc>
          <w:tcPr>
            <w:tcW w:w="68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по  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вине  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медра-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>ботни-</w:t>
            </w:r>
          </w:p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ка    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1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340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595" w:type="dxa"/>
            <w:vMerge/>
            <w:tcBorders>
              <w:top w:val="nil"/>
            </w:tcBorders>
          </w:tcPr>
          <w:p w:rsidR="006C5045" w:rsidRDefault="006C5045"/>
        </w:tc>
        <w:tc>
          <w:tcPr>
            <w:tcW w:w="680" w:type="dxa"/>
            <w:vMerge/>
            <w:tcBorders>
              <w:top w:val="nil"/>
            </w:tcBorders>
          </w:tcPr>
          <w:p w:rsidR="006C5045" w:rsidRDefault="006C5045"/>
        </w:tc>
      </w:tr>
      <w:tr w:rsidR="006C5045">
        <w:trPr>
          <w:trHeight w:val="170"/>
        </w:trPr>
        <w:tc>
          <w:tcPr>
            <w:tcW w:w="110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  1     </w:t>
            </w:r>
          </w:p>
        </w:tc>
        <w:tc>
          <w:tcPr>
            <w:tcW w:w="68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2   </w:t>
            </w:r>
          </w:p>
        </w:tc>
        <w:tc>
          <w:tcPr>
            <w:tcW w:w="51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85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4    </w:t>
            </w:r>
          </w:p>
        </w:tc>
        <w:tc>
          <w:tcPr>
            <w:tcW w:w="85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5    </w:t>
            </w:r>
          </w:p>
        </w:tc>
        <w:tc>
          <w:tcPr>
            <w:tcW w:w="51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76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7   </w:t>
            </w:r>
          </w:p>
        </w:tc>
        <w:tc>
          <w:tcPr>
            <w:tcW w:w="68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8   </w:t>
            </w:r>
          </w:p>
        </w:tc>
        <w:tc>
          <w:tcPr>
            <w:tcW w:w="76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 9   </w:t>
            </w:r>
          </w:p>
        </w:tc>
        <w:tc>
          <w:tcPr>
            <w:tcW w:w="59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59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59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42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14  </w:t>
            </w:r>
          </w:p>
        </w:tc>
        <w:tc>
          <w:tcPr>
            <w:tcW w:w="765" w:type="dxa"/>
            <w:tcBorders>
              <w:top w:val="nil"/>
            </w:tcBorders>
          </w:tcPr>
          <w:p w:rsidR="006C5045" w:rsidRDefault="006C5045">
            <w:pPr>
              <w:pStyle w:val="ConsPlusNonformat"/>
              <w:jc w:val="both"/>
            </w:pPr>
            <w:r>
              <w:rPr>
                <w:sz w:val="14"/>
              </w:rPr>
              <w:t xml:space="preserve">  15   </w:t>
            </w:r>
          </w:p>
        </w:tc>
      </w:tr>
      <w:tr w:rsidR="006C5045">
        <w:trPr>
          <w:trHeight w:val="170"/>
        </w:trPr>
        <w:tc>
          <w:tcPr>
            <w:tcW w:w="110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170"/>
        </w:trPr>
        <w:tc>
          <w:tcPr>
            <w:tcW w:w="110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</w:tr>
      <w:tr w:rsidR="006C5045">
        <w:trPr>
          <w:trHeight w:val="170"/>
        </w:trPr>
        <w:tc>
          <w:tcPr>
            <w:tcW w:w="110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85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1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59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680" w:type="dxa"/>
          </w:tcPr>
          <w:p w:rsidR="006C5045" w:rsidRDefault="006C5045">
            <w:pPr>
              <w:pStyle w:val="ConsPlusNonformat"/>
              <w:jc w:val="both"/>
            </w:pPr>
          </w:p>
        </w:tc>
        <w:tc>
          <w:tcPr>
            <w:tcW w:w="765" w:type="dxa"/>
          </w:tcPr>
          <w:p w:rsidR="006C5045" w:rsidRDefault="006C5045">
            <w:pPr>
              <w:pStyle w:val="ConsPlusNonformat"/>
              <w:jc w:val="both"/>
            </w:pPr>
          </w:p>
        </w:tc>
      </w:tr>
    </w:tbl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--------------------------------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20" w:name="P508"/>
      <w:bookmarkEnd w:id="20"/>
      <w:r>
        <w:t>&lt;1&gt; Данные о состоянии экстренной профилактики анализируются раздельно по городской и сельской местностям.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21" w:name="P509"/>
      <w:bookmarkEnd w:id="21"/>
      <w:r>
        <w:t>&lt;2&gt; Включаются также лица, обратившиеся с ожогами, обморожениями, покусами, после родов на дому, внебольничных абортов.</w:t>
      </w:r>
    </w:p>
    <w:p w:rsidR="006C5045" w:rsidRDefault="006C5045">
      <w:pPr>
        <w:pStyle w:val="ConsPlusNormal"/>
        <w:spacing w:before="220"/>
        <w:ind w:firstLine="540"/>
        <w:jc w:val="both"/>
      </w:pPr>
      <w:bookmarkStart w:id="22" w:name="P510"/>
      <w:bookmarkEnd w:id="22"/>
      <w:r>
        <w:t>&lt;3&gt; К непривитым приравниваются также лица, получившие в прошлом только одну прививку против столбняка в дозе 0,5 мл, вакцинированные без ревакцинации более 2 лет назад, ревакцинированные более 10 лет назад.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right"/>
        <w:outlineLvl w:val="0"/>
      </w:pPr>
      <w:r>
        <w:t>Приложение 8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jc w:val="center"/>
      </w:pPr>
      <w:r>
        <w:t>НОРМАТИВНЫЕ И МЕТОДИЧЕСКИЕ ДОКУМЕНТЫ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  <w:r>
        <w:t>1. Основы законодательства Российской Федерации об охране здоровья граждан от 22 июля 1993 г. N 5487-1.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3.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и социального развития Российской Федерации. Утверждено Постановлением Правительства Российской Федерации от 30 июня 2004 г. N 321.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 Утверждено Постановлением Правительства Российской Федерации от 30 июня 2004 г. N 322.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санитарно-эпидемиологического надзора в Российской Федерации. Утверждено Постановлением Правительства Российской Федерации от 15 сентября 2005 г. N 569.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6.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нормировании. Утверждено Постановлением Правительства Российской Федерации от 24 июля 2000 г. N 554.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СП 3.1.3.2.1379-03</w:t>
        </w:r>
      </w:hyperlink>
      <w:r>
        <w:t xml:space="preserve"> "Общие требования по профилактике инфекционных и паразитарных болезней".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8. </w:t>
      </w:r>
      <w:hyperlink r:id="rId28" w:history="1">
        <w:r>
          <w:rPr>
            <w:color w:val="0000FF"/>
          </w:rPr>
          <w:t>СП 3.1.1381-03</w:t>
        </w:r>
      </w:hyperlink>
      <w:r>
        <w:t xml:space="preserve"> "Профилактика столбняка".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9. Действующие по состоянию на 01.01.09 приказы, методические указания, рекомендации, инструкции и наставления по применению вакцин и анатоксинов, утвержденные Министерством здравоохранения и социального развития Российской Федерации, Федеральной службой по надзору в сфере защиты прав потребителей и благополучия человека.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 xml:space="preserve">10.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17.05.99 N 174 "О мерах по дальнейшему совершенствованию профилактики столбняка".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30" w:history="1">
        <w:r>
          <w:rPr>
            <w:color w:val="0000FF"/>
          </w:rPr>
          <w:t>МУ 3.1.1760-03</w:t>
        </w:r>
      </w:hyperlink>
      <w:r>
        <w:t xml:space="preserve"> "Организация и проведение серологического мониторинга состояния коллективного иммунитета против управляемых инфекций (дифтерия, столбняк, корь, краснуха, эпидемический паротит, полиомиелит)".</w:t>
      </w:r>
    </w:p>
    <w:p w:rsidR="006C5045" w:rsidRDefault="006C5045">
      <w:pPr>
        <w:pStyle w:val="ConsPlusNormal"/>
        <w:spacing w:before="220"/>
        <w:ind w:firstLine="540"/>
        <w:jc w:val="both"/>
      </w:pPr>
      <w:r>
        <w:t>12. Руководство "Клиническая лабораторная аналитика". М., 2003. Т. 4. Клостридии.</w:t>
      </w: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ind w:firstLine="540"/>
        <w:jc w:val="both"/>
      </w:pPr>
    </w:p>
    <w:p w:rsidR="006C5045" w:rsidRDefault="006C50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7AF" w:rsidRDefault="00EA57AF"/>
    <w:sectPr w:rsidR="00EA57AF" w:rsidSect="003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5"/>
    <w:rsid w:val="006C5045"/>
    <w:rsid w:val="00AF699C"/>
    <w:rsid w:val="00B85FDD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8E33-9DFF-4A52-B565-93B092A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5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0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F84E59EAA4CBD8BB5AC8C86C78B4809EFFECAC9AFE70FE0F681D5683A29039275DB8AD2BFC72C0D86D5008FC0362uCF" TargetMode="External"/><Relationship Id="rId13" Type="http://schemas.openxmlformats.org/officeDocument/2006/relationships/hyperlink" Target="consultantplus://offline/ref=8E31925A3DD1D54B1BCDEF475EEAA4CBD8BD5AC5C06625BE88C7F3EEAB95A167F946641C5783A69D357858ADBC73F174D8C6684B14FE012F6Cu4F" TargetMode="External"/><Relationship Id="rId18" Type="http://schemas.openxmlformats.org/officeDocument/2006/relationships/hyperlink" Target="consultantplus://offline/ref=8E31925A3DD1D54B1BCDF84E59EAA4CBD8BB5AC8C86C78B4809EFFECAC9AFE70FE0F681D578AA59539275DB8AD2BFC72C0D86D5008FC0362uCF" TargetMode="External"/><Relationship Id="rId26" Type="http://schemas.openxmlformats.org/officeDocument/2006/relationships/hyperlink" Target="consultantplus://offline/ref=890249858A6A9924967EC93BFD86EE42C39DB34C224A4B18A8706EC76CDB38BD252EDCDFEC4DEDEED85D74ABF06F620433CF3EB71ED35777u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31925A3DD1D54B1BCDF8455CEAA4CBDFB85CC3C76525BE88C7F3EEAB95A167F946641C5783A795307858ADBC73F174D8C6684B14FE012F6Cu4F" TargetMode="External"/><Relationship Id="rId7" Type="http://schemas.openxmlformats.org/officeDocument/2006/relationships/hyperlink" Target="consultantplus://offline/ref=8E31925A3DD1D54B1BCDF84E59EAA4CBD8BB5AC8C86C78B4809EFFECAC9AFE70FE0F681D5683A49039275DB8AD2BFC72C0D86D5008FC0362uCF" TargetMode="External"/><Relationship Id="rId12" Type="http://schemas.openxmlformats.org/officeDocument/2006/relationships/hyperlink" Target="consultantplus://offline/ref=8E31925A3DD1D54B1BCDEF475EEAA4CBD8BD5AC5C06625BE88C7F3EEAB95A167F946641C5783A695337858ADBC73F174D8C6684B14FE012F6Cu4F" TargetMode="External"/><Relationship Id="rId17" Type="http://schemas.openxmlformats.org/officeDocument/2006/relationships/hyperlink" Target="consultantplus://offline/ref=8E31925A3DD1D54B1BCDF84E59EAA4CBD8BB5AC8C86C78B4809EFFECAC9AFE70FE0F681D578AA59539275DB8AD2BFC72C0D86D5008FC0362uCF" TargetMode="External"/><Relationship Id="rId25" Type="http://schemas.openxmlformats.org/officeDocument/2006/relationships/hyperlink" Target="consultantplus://offline/ref=890249858A6A9924967EC93BFD86EE42C798B44C24411612A02962C56BD467AA2267D0DEEC4CECEBD50271BEE1376F022BD13BAC02D1557A75u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1925A3DD1D54B1BCDEF475EEAA4CBD8BF5BC1C56025BE88C7F3EEAB95A167F946641C5783A4923A7858ADBC73F174D8C6684B14FE012F6Cu4F" TargetMode="External"/><Relationship Id="rId20" Type="http://schemas.openxmlformats.org/officeDocument/2006/relationships/hyperlink" Target="consultantplus://offline/ref=8E31925A3DD1D54B1BCDF84E59EAA4CBD8BB5AC8C86C78B4809EFFECAC9AFE70FE0F681D5787A59039275DB8AD2BFC72C0D86D5008FC0362uCF" TargetMode="External"/><Relationship Id="rId29" Type="http://schemas.openxmlformats.org/officeDocument/2006/relationships/hyperlink" Target="consultantplus://offline/ref=890249858A6A9924967EDE39FF86EE42C29AB44F23431612A02962C56BD467AA306788D2EC4AF2EAD61727EFA776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EF475EEAA4CBDAB35BC8C86125BE88C7F3EEAB95A167F946641C5783A696367858ADBC73F174D8C6684B14FE012F6Cu4F" TargetMode="External"/><Relationship Id="rId11" Type="http://schemas.openxmlformats.org/officeDocument/2006/relationships/hyperlink" Target="consultantplus://offline/ref=8E31925A3DD1D54B1BCDF84E59EAA4CBD8BB5AC8C86C78B4809EFFECAC9AFE70FE0F681D5681AF9D39275DB8AD2BFC72C0D86D5008FC0362uCF" TargetMode="External"/><Relationship Id="rId24" Type="http://schemas.openxmlformats.org/officeDocument/2006/relationships/hyperlink" Target="consultantplus://offline/ref=890249858A6A9924967EC93BFD86EE42C59DB54423451612A02962C56BD467AA2267D0DEEC4CECEADB0271BEE1376F022BD13BAC02D1557A75u5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E31925A3DD1D54B1BCDEF475EEAA4CBDFB854C3C86C78B4809EFFECAC9AFE70FE0F681D5783A79739275DB8AD2BFC72C0D86D5008FC0362uCF" TargetMode="External"/><Relationship Id="rId15" Type="http://schemas.openxmlformats.org/officeDocument/2006/relationships/hyperlink" Target="consultantplus://offline/ref=8E31925A3DD1D54B1BCDEF475EEAA4CBD3BD55C9C86C78B4809EFFECAC9AFE70FE0F681D5780A09439275DB8AD2BFC72C0D86D5008FC0362uCF" TargetMode="External"/><Relationship Id="rId23" Type="http://schemas.openxmlformats.org/officeDocument/2006/relationships/hyperlink" Target="consultantplus://offline/ref=890249858A6A9924967EC93BFD86EE42C79ABD4A2C431612A02962C56BD467AA2267D0DEEC4CECEADB0271BEE1376F022BD13BAC02D1557A75u5F" TargetMode="External"/><Relationship Id="rId28" Type="http://schemas.openxmlformats.org/officeDocument/2006/relationships/hyperlink" Target="consultantplus://offline/ref=890249858A6A9924967EC93BFD86EE42C29ABC4F2C4A4B18A8706EC76CDB38BD252EDCDFEC4CEDE9D85D74ABF06F620433CF3EB71ED35777u9F" TargetMode="External"/><Relationship Id="rId10" Type="http://schemas.openxmlformats.org/officeDocument/2006/relationships/hyperlink" Target="consultantplus://offline/ref=8E31925A3DD1D54B1BCDEF475EEAA4CBD8B954C8C76025BE88C7F3EEAB95A167F946641C5783A493357858ADBC73F174D8C6684B14FE012F6Cu4F" TargetMode="External"/><Relationship Id="rId19" Type="http://schemas.openxmlformats.org/officeDocument/2006/relationships/hyperlink" Target="consultantplus://offline/ref=8E31925A3DD1D54B1BCDF84E59EAA4CBD8BB5AC8C86C78B4809EFFECAC9AFE70FE0F681D5785A49439275DB8AD2BFC72C0D86D5008FC0362uC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31925A3DD1D54B1BCDEF475EEAA4CBD8B954C8C76025BE88C7F3EEAB95A167F946641C5783A6953A7858ADBC73F174D8C6684B14FE012F6Cu4F" TargetMode="External"/><Relationship Id="rId14" Type="http://schemas.openxmlformats.org/officeDocument/2006/relationships/hyperlink" Target="consultantplus://offline/ref=8E31925A3DD1D54B1BCDEF475EEAA4CBD8BF5BC1C56025BE88C7F3EEAB95A167F946641C5783A4923A7858ADBC73F174D8C6684B14FE012F6Cu4F" TargetMode="External"/><Relationship Id="rId22" Type="http://schemas.openxmlformats.org/officeDocument/2006/relationships/hyperlink" Target="consultantplus://offline/ref=890249858A6A9924967EC93BFD86EE42C59DB34D21461612A02962C56BD467AA306788D2EC4AF2EAD61727EFA776u3F" TargetMode="External"/><Relationship Id="rId27" Type="http://schemas.openxmlformats.org/officeDocument/2006/relationships/hyperlink" Target="consultantplus://offline/ref=890249858A6A9924967EC93BFD86EE42C29BB54B224A4B18A8706EC76CDB38BD252EDCDFEC4CEDE9D85D74ABF06F620433CF3EB71ED35777u9F" TargetMode="External"/><Relationship Id="rId30" Type="http://schemas.openxmlformats.org/officeDocument/2006/relationships/hyperlink" Target="consultantplus://offline/ref=890249858A6A9924967ED435E186EE42C498B248214A4B18A8706EC76CDB38AF2576D0DFEA52ECEFCD0B25ED7A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1</cp:revision>
  <dcterms:created xsi:type="dcterms:W3CDTF">2021-05-06T05:46:00Z</dcterms:created>
  <dcterms:modified xsi:type="dcterms:W3CDTF">2021-05-06T05:49:00Z</dcterms:modified>
</cp:coreProperties>
</file>