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Default Extension="jpeg" ContentType="image/jpeg"/>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170" w:rsidRDefault="00645170">
      <w:pPr>
        <w:pStyle w:val="BodyText"/>
        <w:spacing w:before="67"/>
        <w:ind w:left="974" w:right="881" w:firstLine="518"/>
      </w:pPr>
      <w:r>
        <w:t>Федеральное государственное бюджетное образовательное учреждение высшего образования «Красноярский государственный</w:t>
      </w:r>
    </w:p>
    <w:p w:rsidR="00645170" w:rsidRDefault="00645170">
      <w:pPr>
        <w:pStyle w:val="BodyText"/>
        <w:ind w:left="1695" w:right="881" w:hanging="946"/>
      </w:pPr>
      <w:r>
        <w:t>медицинский университет имени профессора В. Ф. Войно-Ясенецкого» Министерства здравоохранения Российской Федерации</w:t>
      </w:r>
    </w:p>
    <w:p w:rsidR="00645170" w:rsidRDefault="00645170">
      <w:pPr>
        <w:pStyle w:val="BodyText"/>
        <w:ind w:left="0"/>
        <w:rPr>
          <w:sz w:val="20"/>
        </w:rPr>
      </w:pPr>
    </w:p>
    <w:p w:rsidR="00645170" w:rsidRDefault="00645170">
      <w:pPr>
        <w:pStyle w:val="BodyText"/>
        <w:spacing w:before="4"/>
        <w:ind w:left="0"/>
        <w:rPr>
          <w:sz w:val="21"/>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6" type="#_x0000_t75" alt="Логотип КрасГМУ" style="position:absolute;margin-left:239.75pt;margin-top:14.25pt;width:194.9pt;height:130pt;z-index:251658240;visibility:visible;mso-wrap-distance-left:0;mso-wrap-distance-right:0;mso-position-horizontal-relative:page">
            <v:imagedata r:id="rId7" o:title=""/>
            <w10:wrap type="topAndBottom" anchorx="page"/>
          </v:shape>
        </w:pict>
      </w:r>
    </w:p>
    <w:p w:rsidR="00645170" w:rsidRDefault="00645170">
      <w:pPr>
        <w:pStyle w:val="BodyText"/>
        <w:ind w:left="0"/>
        <w:rPr>
          <w:sz w:val="20"/>
        </w:rPr>
      </w:pPr>
    </w:p>
    <w:p w:rsidR="00645170" w:rsidRDefault="00645170">
      <w:pPr>
        <w:pStyle w:val="BodyText"/>
        <w:ind w:left="0"/>
        <w:rPr>
          <w:sz w:val="20"/>
        </w:rPr>
      </w:pPr>
    </w:p>
    <w:p w:rsidR="00645170" w:rsidRDefault="00645170">
      <w:pPr>
        <w:pStyle w:val="BodyText"/>
        <w:spacing w:before="4"/>
        <w:ind w:left="0"/>
        <w:rPr>
          <w:sz w:val="26"/>
        </w:rPr>
      </w:pPr>
    </w:p>
    <w:p w:rsidR="00645170" w:rsidRDefault="00645170">
      <w:pPr>
        <w:spacing w:before="89"/>
        <w:ind w:left="1672" w:right="1809"/>
        <w:jc w:val="center"/>
        <w:rPr>
          <w:sz w:val="32"/>
        </w:rPr>
      </w:pPr>
      <w:r>
        <w:rPr>
          <w:sz w:val="32"/>
        </w:rPr>
        <w:t>Кафедра анестезиологии и реаниматологии ИПО</w:t>
      </w:r>
    </w:p>
    <w:p w:rsidR="00645170" w:rsidRDefault="00645170">
      <w:pPr>
        <w:pStyle w:val="BodyText"/>
        <w:ind w:left="0"/>
        <w:rPr>
          <w:sz w:val="36"/>
        </w:rPr>
      </w:pPr>
    </w:p>
    <w:p w:rsidR="00645170" w:rsidRDefault="00645170">
      <w:pPr>
        <w:pStyle w:val="Title"/>
      </w:pPr>
      <w:r>
        <w:t>РЕФЕРАТ</w:t>
      </w:r>
    </w:p>
    <w:p w:rsidR="00645170" w:rsidRDefault="00645170">
      <w:pPr>
        <w:pStyle w:val="BodyText"/>
        <w:spacing w:before="4"/>
        <w:ind w:left="0"/>
        <w:rPr>
          <w:b/>
          <w:sz w:val="63"/>
        </w:rPr>
      </w:pPr>
    </w:p>
    <w:p w:rsidR="00645170" w:rsidRDefault="00645170">
      <w:pPr>
        <w:spacing w:before="1"/>
        <w:ind w:left="1657" w:right="1809"/>
        <w:jc w:val="center"/>
        <w:rPr>
          <w:sz w:val="28"/>
        </w:rPr>
      </w:pPr>
      <w:r>
        <w:rPr>
          <w:b/>
          <w:sz w:val="28"/>
        </w:rPr>
        <w:t xml:space="preserve">По дисциплине: </w:t>
      </w:r>
      <w:r>
        <w:rPr>
          <w:sz w:val="28"/>
        </w:rPr>
        <w:t>«Анестезиология и реаниматология»</w:t>
      </w:r>
    </w:p>
    <w:p w:rsidR="00645170" w:rsidRDefault="00645170">
      <w:pPr>
        <w:pStyle w:val="BodyText"/>
        <w:spacing w:before="8"/>
        <w:ind w:left="0"/>
        <w:rPr>
          <w:sz w:val="23"/>
        </w:rPr>
      </w:pPr>
    </w:p>
    <w:p w:rsidR="00645170" w:rsidRDefault="00645170">
      <w:pPr>
        <w:pStyle w:val="BodyText"/>
        <w:spacing w:before="1"/>
        <w:ind w:left="1649" w:right="1809"/>
        <w:jc w:val="center"/>
      </w:pPr>
      <w:r>
        <w:rPr>
          <w:b/>
        </w:rPr>
        <w:t>Тема</w:t>
      </w:r>
      <w:r>
        <w:t>:</w:t>
      </w:r>
      <w:r>
        <w:rPr>
          <w:spacing w:val="67"/>
        </w:rPr>
        <w:t xml:space="preserve"> </w:t>
      </w:r>
      <w:r>
        <w:t>«Миорелаксанты»</w:t>
      </w:r>
    </w:p>
    <w:p w:rsidR="00645170" w:rsidRDefault="00645170">
      <w:pPr>
        <w:pStyle w:val="BodyText"/>
        <w:ind w:left="0"/>
        <w:rPr>
          <w:sz w:val="30"/>
        </w:rPr>
      </w:pPr>
    </w:p>
    <w:p w:rsidR="00645170" w:rsidRDefault="00645170">
      <w:pPr>
        <w:pStyle w:val="BodyText"/>
        <w:ind w:left="0"/>
        <w:rPr>
          <w:sz w:val="30"/>
        </w:rPr>
      </w:pPr>
    </w:p>
    <w:p w:rsidR="00645170" w:rsidRDefault="00645170">
      <w:pPr>
        <w:pStyle w:val="BodyText"/>
        <w:ind w:left="0"/>
        <w:rPr>
          <w:sz w:val="30"/>
        </w:rPr>
      </w:pPr>
    </w:p>
    <w:p w:rsidR="00645170" w:rsidRDefault="00645170">
      <w:pPr>
        <w:pStyle w:val="BodyText"/>
        <w:ind w:left="0"/>
        <w:rPr>
          <w:sz w:val="36"/>
        </w:rPr>
      </w:pPr>
    </w:p>
    <w:p w:rsidR="00645170" w:rsidRDefault="00645170" w:rsidP="007870B2">
      <w:pPr>
        <w:pStyle w:val="BodyText"/>
        <w:spacing w:before="1"/>
        <w:ind w:left="5886"/>
      </w:pPr>
      <w:r>
        <w:rPr>
          <w:b/>
        </w:rPr>
        <w:t>Выполнил</w:t>
      </w:r>
      <w:r>
        <w:t>: ординатор 1 года Азизов А.Х.</w:t>
      </w:r>
    </w:p>
    <w:p w:rsidR="00645170" w:rsidRDefault="00645170" w:rsidP="007870B2">
      <w:pPr>
        <w:pStyle w:val="BodyText"/>
        <w:spacing w:before="3"/>
        <w:ind w:left="0"/>
      </w:pPr>
    </w:p>
    <w:p w:rsidR="00645170" w:rsidRDefault="00645170" w:rsidP="007870B2">
      <w:pPr>
        <w:ind w:left="5819" w:right="697"/>
        <w:rPr>
          <w:sz w:val="28"/>
        </w:rPr>
      </w:pPr>
      <w:r>
        <w:rPr>
          <w:b/>
          <w:sz w:val="28"/>
        </w:rPr>
        <w:t>Заведующий кафедрой</w:t>
      </w:r>
      <w:r>
        <w:rPr>
          <w:sz w:val="28"/>
        </w:rPr>
        <w:t>: д.м.н., профессор Грицан А.И.</w:t>
      </w:r>
    </w:p>
    <w:p w:rsidR="00645170" w:rsidRDefault="00645170" w:rsidP="007870B2">
      <w:pPr>
        <w:pStyle w:val="BodyText"/>
        <w:spacing w:before="4"/>
        <w:ind w:left="0"/>
      </w:pPr>
    </w:p>
    <w:p w:rsidR="00645170" w:rsidRDefault="00645170" w:rsidP="007870B2">
      <w:pPr>
        <w:pStyle w:val="Heading1"/>
      </w:pPr>
      <w:r>
        <w:t xml:space="preserve">                                                           Кафедральный руководитель:</w:t>
      </w:r>
    </w:p>
    <w:p w:rsidR="00645170" w:rsidRDefault="00645170" w:rsidP="007870B2">
      <w:pPr>
        <w:pStyle w:val="BodyText"/>
      </w:pPr>
      <w:r>
        <w:t xml:space="preserve">                                                                                 д.м.н., доцент кафедры               </w:t>
      </w:r>
    </w:p>
    <w:p w:rsidR="00645170" w:rsidRDefault="00645170" w:rsidP="007870B2">
      <w:pPr>
        <w:pStyle w:val="BodyText"/>
        <w:ind w:left="0"/>
      </w:pPr>
      <w:r>
        <w:t xml:space="preserve">                                                                                             Ростовцев С.И.</w:t>
      </w:r>
    </w:p>
    <w:p w:rsidR="00645170" w:rsidRDefault="00645170">
      <w:pPr>
        <w:pStyle w:val="BodyText"/>
        <w:ind w:left="0"/>
        <w:rPr>
          <w:sz w:val="30"/>
        </w:rPr>
      </w:pPr>
    </w:p>
    <w:p w:rsidR="00645170" w:rsidRDefault="00645170">
      <w:pPr>
        <w:pStyle w:val="BodyText"/>
        <w:ind w:left="0"/>
        <w:rPr>
          <w:sz w:val="30"/>
        </w:rPr>
      </w:pPr>
    </w:p>
    <w:p w:rsidR="00645170" w:rsidRDefault="00645170">
      <w:pPr>
        <w:pStyle w:val="BodyText"/>
        <w:ind w:left="0"/>
        <w:rPr>
          <w:sz w:val="30"/>
        </w:rPr>
      </w:pPr>
    </w:p>
    <w:p w:rsidR="00645170" w:rsidRDefault="00645170">
      <w:pPr>
        <w:pStyle w:val="BodyText"/>
        <w:ind w:left="0"/>
        <w:rPr>
          <w:sz w:val="30"/>
        </w:rPr>
      </w:pPr>
    </w:p>
    <w:p w:rsidR="00645170" w:rsidRDefault="00645170">
      <w:pPr>
        <w:pStyle w:val="BodyText"/>
        <w:spacing w:before="5"/>
        <w:ind w:left="0"/>
        <w:rPr>
          <w:sz w:val="24"/>
        </w:rPr>
      </w:pPr>
    </w:p>
    <w:p w:rsidR="00645170" w:rsidRDefault="00645170">
      <w:pPr>
        <w:pStyle w:val="Heading1"/>
        <w:ind w:left="3586"/>
      </w:pPr>
      <w:r>
        <w:t>Красноярск, 2019 год</w:t>
      </w:r>
    </w:p>
    <w:p w:rsidR="00645170" w:rsidRDefault="00645170">
      <w:pPr>
        <w:sectPr w:rsidR="00645170">
          <w:type w:val="continuous"/>
          <w:pgSz w:w="11910" w:h="16840"/>
          <w:pgMar w:top="1040" w:right="340" w:bottom="280" w:left="1340" w:header="720" w:footer="720" w:gutter="0"/>
          <w:cols w:space="720"/>
        </w:sectPr>
      </w:pPr>
    </w:p>
    <w:p w:rsidR="00645170" w:rsidRDefault="00645170">
      <w:pPr>
        <w:spacing w:before="111"/>
        <w:ind w:left="1615" w:right="1809"/>
        <w:jc w:val="center"/>
        <w:rPr>
          <w:b/>
          <w:sz w:val="28"/>
        </w:rPr>
      </w:pPr>
      <w:r>
        <w:rPr>
          <w:b/>
          <w:sz w:val="28"/>
        </w:rPr>
        <w:t>План:</w:t>
      </w:r>
    </w:p>
    <w:p w:rsidR="00645170" w:rsidRDefault="00645170">
      <w:pPr>
        <w:pStyle w:val="BodyText"/>
        <w:ind w:left="0"/>
        <w:rPr>
          <w:b/>
          <w:sz w:val="30"/>
        </w:rPr>
      </w:pPr>
    </w:p>
    <w:p w:rsidR="00645170" w:rsidRDefault="00645170">
      <w:pPr>
        <w:pStyle w:val="BodyText"/>
        <w:spacing w:before="5"/>
        <w:ind w:left="0"/>
        <w:rPr>
          <w:b/>
          <w:sz w:val="25"/>
        </w:rPr>
      </w:pPr>
    </w:p>
    <w:p w:rsidR="00645170" w:rsidRDefault="00645170">
      <w:pPr>
        <w:pStyle w:val="BodyText"/>
      </w:pPr>
      <w:r>
        <w:t>Введение…………………………………………………….……………(стр. 3)</w:t>
      </w:r>
    </w:p>
    <w:p w:rsidR="00645170" w:rsidRDefault="00645170">
      <w:pPr>
        <w:pStyle w:val="ListParagraph"/>
        <w:numPr>
          <w:ilvl w:val="0"/>
          <w:numId w:val="8"/>
        </w:numPr>
        <w:tabs>
          <w:tab w:val="left" w:pos="643"/>
          <w:tab w:val="left" w:leader="dot" w:pos="8546"/>
        </w:tabs>
        <w:spacing w:before="159" w:line="362" w:lineRule="auto"/>
        <w:ind w:right="592" w:firstLine="0"/>
        <w:rPr>
          <w:sz w:val="28"/>
        </w:rPr>
      </w:pPr>
      <w:r>
        <w:rPr>
          <w:sz w:val="28"/>
        </w:rPr>
        <w:t>Общая характеристика и классификация миорелаксантов по химической структуре и</w:t>
      </w:r>
      <w:r>
        <w:rPr>
          <w:spacing w:val="-8"/>
          <w:sz w:val="28"/>
        </w:rPr>
        <w:t xml:space="preserve"> </w:t>
      </w:r>
      <w:r>
        <w:rPr>
          <w:sz w:val="28"/>
        </w:rPr>
        <w:t>механизму</w:t>
      </w:r>
      <w:r>
        <w:rPr>
          <w:spacing w:val="-7"/>
          <w:sz w:val="28"/>
        </w:rPr>
        <w:t xml:space="preserve"> </w:t>
      </w:r>
      <w:r>
        <w:rPr>
          <w:sz w:val="28"/>
        </w:rPr>
        <w:t>действия</w:t>
      </w:r>
      <w:r>
        <w:rPr>
          <w:sz w:val="28"/>
        </w:rPr>
        <w:tab/>
        <w:t>(стр.</w:t>
      </w:r>
      <w:r>
        <w:rPr>
          <w:spacing w:val="1"/>
          <w:sz w:val="28"/>
        </w:rPr>
        <w:t xml:space="preserve"> </w:t>
      </w:r>
      <w:r>
        <w:rPr>
          <w:spacing w:val="-4"/>
          <w:sz w:val="28"/>
        </w:rPr>
        <w:t>4-5)</w:t>
      </w:r>
    </w:p>
    <w:p w:rsidR="00645170" w:rsidRDefault="00645170">
      <w:pPr>
        <w:pStyle w:val="ListParagraph"/>
        <w:numPr>
          <w:ilvl w:val="1"/>
          <w:numId w:val="8"/>
        </w:numPr>
        <w:tabs>
          <w:tab w:val="left" w:pos="783"/>
          <w:tab w:val="left" w:leader="dot" w:pos="8537"/>
        </w:tabs>
        <w:spacing w:before="0" w:line="319" w:lineRule="exact"/>
        <w:ind w:hanging="424"/>
        <w:rPr>
          <w:sz w:val="28"/>
        </w:rPr>
      </w:pPr>
      <w:bookmarkStart w:id="0" w:name="1.1_Классификация_миорелаксантов_по_хими"/>
      <w:bookmarkEnd w:id="0"/>
      <w:r>
        <w:rPr>
          <w:sz w:val="28"/>
        </w:rPr>
        <w:t>Классификация миорелаксантов по</w:t>
      </w:r>
      <w:r>
        <w:rPr>
          <w:spacing w:val="-13"/>
          <w:sz w:val="28"/>
        </w:rPr>
        <w:t xml:space="preserve"> </w:t>
      </w:r>
      <w:r>
        <w:rPr>
          <w:sz w:val="28"/>
        </w:rPr>
        <w:t>химической</w:t>
      </w:r>
      <w:r>
        <w:rPr>
          <w:spacing w:val="-7"/>
          <w:sz w:val="28"/>
        </w:rPr>
        <w:t xml:space="preserve"> </w:t>
      </w:r>
      <w:r>
        <w:rPr>
          <w:sz w:val="28"/>
        </w:rPr>
        <w:t>структуре</w:t>
      </w:r>
      <w:r>
        <w:rPr>
          <w:sz w:val="28"/>
        </w:rPr>
        <w:tab/>
        <w:t>(стр.</w:t>
      </w:r>
      <w:r>
        <w:rPr>
          <w:spacing w:val="5"/>
          <w:sz w:val="28"/>
        </w:rPr>
        <w:t xml:space="preserve"> </w:t>
      </w:r>
      <w:r>
        <w:rPr>
          <w:sz w:val="28"/>
        </w:rPr>
        <w:t>4)</w:t>
      </w:r>
    </w:p>
    <w:p w:rsidR="00645170" w:rsidRDefault="00645170">
      <w:pPr>
        <w:pStyle w:val="ListParagraph"/>
        <w:numPr>
          <w:ilvl w:val="1"/>
          <w:numId w:val="8"/>
        </w:numPr>
        <w:tabs>
          <w:tab w:val="left" w:pos="783"/>
          <w:tab w:val="left" w:leader="dot" w:pos="8494"/>
        </w:tabs>
        <w:spacing w:before="158"/>
        <w:ind w:hanging="424"/>
        <w:rPr>
          <w:sz w:val="28"/>
        </w:rPr>
      </w:pPr>
      <w:bookmarkStart w:id="1" w:name="1.2_Классификация_миорелаксантов_по_меха"/>
      <w:bookmarkEnd w:id="1"/>
      <w:r>
        <w:rPr>
          <w:sz w:val="28"/>
        </w:rPr>
        <w:t>Классификация миорелаксантов по</w:t>
      </w:r>
      <w:r>
        <w:rPr>
          <w:spacing w:val="-18"/>
          <w:sz w:val="28"/>
        </w:rPr>
        <w:t xml:space="preserve"> </w:t>
      </w:r>
      <w:r>
        <w:rPr>
          <w:sz w:val="28"/>
        </w:rPr>
        <w:t>механизму</w:t>
      </w:r>
      <w:r>
        <w:rPr>
          <w:spacing w:val="-3"/>
          <w:sz w:val="28"/>
        </w:rPr>
        <w:t xml:space="preserve"> </w:t>
      </w:r>
      <w:r>
        <w:rPr>
          <w:sz w:val="28"/>
        </w:rPr>
        <w:t>действия</w:t>
      </w:r>
      <w:r>
        <w:rPr>
          <w:sz w:val="28"/>
        </w:rPr>
        <w:tab/>
        <w:t>(стр.</w:t>
      </w:r>
      <w:r>
        <w:rPr>
          <w:spacing w:val="4"/>
          <w:sz w:val="28"/>
        </w:rPr>
        <w:t xml:space="preserve"> </w:t>
      </w:r>
      <w:r>
        <w:rPr>
          <w:sz w:val="28"/>
        </w:rPr>
        <w:t>5)</w:t>
      </w:r>
    </w:p>
    <w:p w:rsidR="00645170" w:rsidRDefault="00645170">
      <w:pPr>
        <w:pStyle w:val="ListParagraph"/>
        <w:numPr>
          <w:ilvl w:val="0"/>
          <w:numId w:val="8"/>
        </w:numPr>
        <w:tabs>
          <w:tab w:val="left" w:pos="643"/>
        </w:tabs>
        <w:spacing w:line="357" w:lineRule="auto"/>
        <w:ind w:right="765" w:firstLine="0"/>
        <w:rPr>
          <w:sz w:val="28"/>
        </w:rPr>
      </w:pPr>
      <w:r>
        <w:rPr>
          <w:sz w:val="28"/>
        </w:rPr>
        <w:t>Основные сведения о структуре и функции нейромышечного синапса………………………………………………………………….(стр.</w:t>
      </w:r>
      <w:r>
        <w:rPr>
          <w:spacing w:val="-15"/>
          <w:sz w:val="28"/>
        </w:rPr>
        <w:t xml:space="preserve"> </w:t>
      </w:r>
      <w:r>
        <w:rPr>
          <w:sz w:val="28"/>
        </w:rPr>
        <w:t>5-7)</w:t>
      </w:r>
    </w:p>
    <w:p w:rsidR="00645170" w:rsidRDefault="00645170">
      <w:pPr>
        <w:pStyle w:val="ListParagraph"/>
        <w:numPr>
          <w:ilvl w:val="0"/>
          <w:numId w:val="8"/>
        </w:numPr>
        <w:tabs>
          <w:tab w:val="left" w:pos="643"/>
          <w:tab w:val="left" w:leader="dot" w:pos="8364"/>
        </w:tabs>
        <w:spacing w:before="5"/>
        <w:ind w:left="642" w:hanging="284"/>
        <w:rPr>
          <w:sz w:val="28"/>
        </w:rPr>
      </w:pPr>
      <w:bookmarkStart w:id="2" w:name="3._Механизм_действия_миорелаксантов……………"/>
      <w:bookmarkEnd w:id="2"/>
      <w:r>
        <w:rPr>
          <w:sz w:val="28"/>
        </w:rPr>
        <w:t>Механизм</w:t>
      </w:r>
      <w:r>
        <w:rPr>
          <w:spacing w:val="-7"/>
          <w:sz w:val="28"/>
        </w:rPr>
        <w:t xml:space="preserve"> </w:t>
      </w:r>
      <w:r>
        <w:rPr>
          <w:sz w:val="28"/>
        </w:rPr>
        <w:t>действия</w:t>
      </w:r>
      <w:r>
        <w:rPr>
          <w:spacing w:val="-1"/>
          <w:sz w:val="28"/>
        </w:rPr>
        <w:t xml:space="preserve"> </w:t>
      </w:r>
      <w:r>
        <w:rPr>
          <w:sz w:val="28"/>
        </w:rPr>
        <w:t>миорелаксантов</w:t>
      </w:r>
      <w:r>
        <w:rPr>
          <w:sz w:val="28"/>
        </w:rPr>
        <w:tab/>
        <w:t>(стр.</w:t>
      </w:r>
      <w:r>
        <w:rPr>
          <w:spacing w:val="-7"/>
          <w:sz w:val="28"/>
        </w:rPr>
        <w:t xml:space="preserve"> </w:t>
      </w:r>
      <w:r>
        <w:rPr>
          <w:sz w:val="28"/>
        </w:rPr>
        <w:t>7-8)</w:t>
      </w:r>
    </w:p>
    <w:p w:rsidR="00645170" w:rsidRDefault="00645170">
      <w:pPr>
        <w:pStyle w:val="ListParagraph"/>
        <w:numPr>
          <w:ilvl w:val="0"/>
          <w:numId w:val="8"/>
        </w:numPr>
        <w:tabs>
          <w:tab w:val="left" w:pos="643"/>
          <w:tab w:val="left" w:leader="dot" w:pos="8346"/>
        </w:tabs>
        <w:spacing w:before="164" w:line="357" w:lineRule="auto"/>
        <w:ind w:right="650" w:firstLine="0"/>
        <w:rPr>
          <w:sz w:val="28"/>
        </w:rPr>
      </w:pPr>
      <w:r>
        <w:rPr>
          <w:sz w:val="28"/>
        </w:rPr>
        <w:t>Влияние миорелаксантов на основные функциональные системы организма и</w:t>
      </w:r>
      <w:r>
        <w:rPr>
          <w:spacing w:val="-5"/>
          <w:sz w:val="28"/>
        </w:rPr>
        <w:t xml:space="preserve"> </w:t>
      </w:r>
      <w:r>
        <w:rPr>
          <w:sz w:val="28"/>
        </w:rPr>
        <w:t>обмен</w:t>
      </w:r>
      <w:r>
        <w:rPr>
          <w:spacing w:val="-3"/>
          <w:sz w:val="28"/>
        </w:rPr>
        <w:t xml:space="preserve"> </w:t>
      </w:r>
      <w:r>
        <w:rPr>
          <w:sz w:val="28"/>
        </w:rPr>
        <w:t>веществ</w:t>
      </w:r>
      <w:r>
        <w:rPr>
          <w:sz w:val="28"/>
        </w:rPr>
        <w:tab/>
        <w:t>(стр.</w:t>
      </w:r>
      <w:r>
        <w:rPr>
          <w:spacing w:val="3"/>
          <w:sz w:val="28"/>
        </w:rPr>
        <w:t xml:space="preserve"> </w:t>
      </w:r>
      <w:r>
        <w:rPr>
          <w:spacing w:val="-3"/>
          <w:sz w:val="28"/>
        </w:rPr>
        <w:t>8-11)</w:t>
      </w:r>
    </w:p>
    <w:p w:rsidR="00645170" w:rsidRDefault="00645170">
      <w:pPr>
        <w:pStyle w:val="ListParagraph"/>
        <w:numPr>
          <w:ilvl w:val="0"/>
          <w:numId w:val="8"/>
        </w:numPr>
        <w:tabs>
          <w:tab w:val="left" w:pos="643"/>
          <w:tab w:val="left" w:leader="dot" w:pos="8330"/>
        </w:tabs>
        <w:spacing w:before="5" w:line="362" w:lineRule="auto"/>
        <w:ind w:right="904" w:firstLine="0"/>
        <w:rPr>
          <w:sz w:val="28"/>
        </w:rPr>
      </w:pPr>
      <w:r>
        <w:rPr>
          <w:sz w:val="28"/>
        </w:rPr>
        <w:t>Показания к применению миорелаксантов в анестезиологии и реаниматологии</w:t>
      </w:r>
      <w:r>
        <w:rPr>
          <w:sz w:val="28"/>
        </w:rPr>
        <w:tab/>
        <w:t>(стр.</w:t>
      </w:r>
      <w:r>
        <w:rPr>
          <w:spacing w:val="-2"/>
          <w:sz w:val="28"/>
        </w:rPr>
        <w:t xml:space="preserve"> </w:t>
      </w:r>
      <w:r>
        <w:rPr>
          <w:spacing w:val="-5"/>
          <w:sz w:val="28"/>
        </w:rPr>
        <w:t>11)</w:t>
      </w:r>
    </w:p>
    <w:p w:rsidR="00645170" w:rsidRDefault="00645170">
      <w:pPr>
        <w:pStyle w:val="ListParagraph"/>
        <w:numPr>
          <w:ilvl w:val="0"/>
          <w:numId w:val="8"/>
        </w:numPr>
        <w:tabs>
          <w:tab w:val="left" w:pos="643"/>
          <w:tab w:val="left" w:leader="dot" w:pos="8316"/>
        </w:tabs>
        <w:spacing w:before="0" w:line="362" w:lineRule="auto"/>
        <w:ind w:right="544" w:firstLine="0"/>
        <w:rPr>
          <w:sz w:val="28"/>
        </w:rPr>
      </w:pPr>
      <w:r>
        <w:rPr>
          <w:sz w:val="28"/>
        </w:rPr>
        <w:t>Характеристика      основных      препаратов,      методика      их применения</w:t>
      </w:r>
      <w:r>
        <w:rPr>
          <w:sz w:val="28"/>
        </w:rPr>
        <w:tab/>
        <w:t>(стр.</w:t>
      </w:r>
      <w:r>
        <w:rPr>
          <w:spacing w:val="1"/>
          <w:sz w:val="28"/>
        </w:rPr>
        <w:t xml:space="preserve"> </w:t>
      </w:r>
      <w:r>
        <w:rPr>
          <w:spacing w:val="-3"/>
          <w:sz w:val="28"/>
        </w:rPr>
        <w:t>11-26)</w:t>
      </w:r>
    </w:p>
    <w:p w:rsidR="00645170" w:rsidRDefault="00645170">
      <w:pPr>
        <w:pStyle w:val="ListParagraph"/>
        <w:numPr>
          <w:ilvl w:val="0"/>
          <w:numId w:val="8"/>
        </w:numPr>
        <w:tabs>
          <w:tab w:val="left" w:pos="643"/>
          <w:tab w:val="left" w:leader="dot" w:pos="8285"/>
        </w:tabs>
        <w:spacing w:before="0" w:line="314" w:lineRule="exact"/>
        <w:ind w:left="642" w:hanging="284"/>
        <w:rPr>
          <w:sz w:val="28"/>
        </w:rPr>
      </w:pPr>
      <w:r>
        <w:rPr>
          <w:sz w:val="28"/>
        </w:rPr>
        <w:t>Контроль за</w:t>
      </w:r>
      <w:r>
        <w:rPr>
          <w:spacing w:val="-10"/>
          <w:sz w:val="28"/>
        </w:rPr>
        <w:t xml:space="preserve"> </w:t>
      </w:r>
      <w:r>
        <w:rPr>
          <w:sz w:val="28"/>
        </w:rPr>
        <w:t>нейромышечной</w:t>
      </w:r>
      <w:r>
        <w:rPr>
          <w:spacing w:val="-5"/>
          <w:sz w:val="28"/>
        </w:rPr>
        <w:t xml:space="preserve"> </w:t>
      </w:r>
      <w:r>
        <w:rPr>
          <w:sz w:val="28"/>
        </w:rPr>
        <w:t>проводимостью</w:t>
      </w:r>
      <w:r>
        <w:rPr>
          <w:sz w:val="28"/>
        </w:rPr>
        <w:tab/>
        <w:t>(стр.</w:t>
      </w:r>
      <w:r>
        <w:rPr>
          <w:spacing w:val="5"/>
          <w:sz w:val="28"/>
        </w:rPr>
        <w:t xml:space="preserve"> </w:t>
      </w:r>
      <w:r>
        <w:rPr>
          <w:sz w:val="28"/>
        </w:rPr>
        <w:t>26-27)</w:t>
      </w:r>
    </w:p>
    <w:p w:rsidR="00645170" w:rsidRDefault="00645170">
      <w:pPr>
        <w:pStyle w:val="ListParagraph"/>
        <w:numPr>
          <w:ilvl w:val="0"/>
          <w:numId w:val="8"/>
        </w:numPr>
        <w:tabs>
          <w:tab w:val="left" w:pos="643"/>
          <w:tab w:val="left" w:leader="dot" w:pos="8345"/>
        </w:tabs>
        <w:spacing w:before="156"/>
        <w:ind w:left="642" w:hanging="284"/>
        <w:rPr>
          <w:sz w:val="28"/>
        </w:rPr>
      </w:pPr>
      <w:r>
        <w:rPr>
          <w:sz w:val="28"/>
        </w:rPr>
        <w:t>Сущность декураризации и методика</w:t>
      </w:r>
      <w:r>
        <w:rPr>
          <w:spacing w:val="-18"/>
          <w:sz w:val="28"/>
        </w:rPr>
        <w:t xml:space="preserve"> </w:t>
      </w:r>
      <w:r>
        <w:rPr>
          <w:sz w:val="28"/>
        </w:rPr>
        <w:t>ее</w:t>
      </w:r>
      <w:r>
        <w:rPr>
          <w:spacing w:val="-4"/>
          <w:sz w:val="28"/>
        </w:rPr>
        <w:t xml:space="preserve"> </w:t>
      </w:r>
      <w:r>
        <w:rPr>
          <w:sz w:val="28"/>
        </w:rPr>
        <w:t>проведения</w:t>
      </w:r>
      <w:r>
        <w:rPr>
          <w:sz w:val="28"/>
        </w:rPr>
        <w:tab/>
        <w:t>(стр.</w:t>
      </w:r>
      <w:r>
        <w:rPr>
          <w:spacing w:val="-4"/>
          <w:sz w:val="28"/>
        </w:rPr>
        <w:t xml:space="preserve"> </w:t>
      </w:r>
      <w:r>
        <w:rPr>
          <w:sz w:val="28"/>
        </w:rPr>
        <w:t>27-28)</w:t>
      </w:r>
    </w:p>
    <w:p w:rsidR="00645170" w:rsidRDefault="00645170">
      <w:pPr>
        <w:pStyle w:val="ListParagraph"/>
        <w:numPr>
          <w:ilvl w:val="0"/>
          <w:numId w:val="8"/>
        </w:numPr>
        <w:tabs>
          <w:tab w:val="left" w:pos="643"/>
          <w:tab w:val="left" w:leader="dot" w:pos="8335"/>
        </w:tabs>
        <w:spacing w:line="357" w:lineRule="auto"/>
        <w:ind w:right="525" w:firstLine="0"/>
        <w:rPr>
          <w:sz w:val="28"/>
        </w:rPr>
      </w:pPr>
      <w:r>
        <w:rPr>
          <w:sz w:val="28"/>
        </w:rPr>
        <w:t>Осложнения, связанные с применением мышечных релаксантов, их профилактика</w:t>
      </w:r>
      <w:r>
        <w:rPr>
          <w:spacing w:val="-4"/>
          <w:sz w:val="28"/>
        </w:rPr>
        <w:t xml:space="preserve"> </w:t>
      </w:r>
      <w:r>
        <w:rPr>
          <w:sz w:val="28"/>
        </w:rPr>
        <w:t>и</w:t>
      </w:r>
      <w:r>
        <w:rPr>
          <w:spacing w:val="-5"/>
          <w:sz w:val="28"/>
        </w:rPr>
        <w:t xml:space="preserve"> </w:t>
      </w:r>
      <w:r>
        <w:rPr>
          <w:sz w:val="28"/>
        </w:rPr>
        <w:t>лечение</w:t>
      </w:r>
      <w:r>
        <w:rPr>
          <w:sz w:val="28"/>
        </w:rPr>
        <w:tab/>
        <w:t>(стр.</w:t>
      </w:r>
      <w:r>
        <w:rPr>
          <w:spacing w:val="7"/>
          <w:sz w:val="28"/>
        </w:rPr>
        <w:t xml:space="preserve"> </w:t>
      </w:r>
      <w:r>
        <w:rPr>
          <w:spacing w:val="-4"/>
          <w:sz w:val="28"/>
        </w:rPr>
        <w:t>28-32)</w:t>
      </w:r>
    </w:p>
    <w:p w:rsidR="00645170" w:rsidRDefault="00645170">
      <w:pPr>
        <w:pStyle w:val="ListParagraph"/>
        <w:numPr>
          <w:ilvl w:val="0"/>
          <w:numId w:val="8"/>
        </w:numPr>
        <w:tabs>
          <w:tab w:val="left" w:pos="782"/>
          <w:tab w:val="left" w:leader="dot" w:pos="8383"/>
        </w:tabs>
        <w:spacing w:before="6" w:line="357" w:lineRule="auto"/>
        <w:ind w:right="852" w:firstLine="0"/>
        <w:rPr>
          <w:sz w:val="28"/>
        </w:rPr>
      </w:pPr>
      <w:bookmarkStart w:id="3" w:name="10._Перспективы_использования_миорелакса"/>
      <w:bookmarkEnd w:id="3"/>
      <w:r>
        <w:rPr>
          <w:sz w:val="28"/>
        </w:rPr>
        <w:t>Перспективы использования миорелаксантов в военно-полевых условиях</w:t>
      </w:r>
      <w:r>
        <w:rPr>
          <w:sz w:val="28"/>
        </w:rPr>
        <w:tab/>
        <w:t xml:space="preserve">(стр. </w:t>
      </w:r>
      <w:r>
        <w:rPr>
          <w:spacing w:val="-6"/>
          <w:sz w:val="28"/>
        </w:rPr>
        <w:t>33)</w:t>
      </w:r>
    </w:p>
    <w:p w:rsidR="00645170" w:rsidRDefault="00645170">
      <w:pPr>
        <w:pStyle w:val="BodyText"/>
        <w:tabs>
          <w:tab w:val="left" w:leader="dot" w:pos="8350"/>
        </w:tabs>
        <w:spacing w:before="5"/>
      </w:pPr>
      <w:bookmarkStart w:id="4" w:name="Список_использованной_литературы:_………………"/>
      <w:bookmarkEnd w:id="4"/>
      <w:r>
        <w:t>Список</w:t>
      </w:r>
      <w:r>
        <w:rPr>
          <w:spacing w:val="-6"/>
        </w:rPr>
        <w:t xml:space="preserve"> </w:t>
      </w:r>
      <w:r>
        <w:t>использованной</w:t>
      </w:r>
      <w:r>
        <w:rPr>
          <w:spacing w:val="-5"/>
        </w:rPr>
        <w:t xml:space="preserve"> </w:t>
      </w:r>
      <w:r>
        <w:t>литературы</w:t>
      </w:r>
      <w:r>
        <w:tab/>
        <w:t>(стр.</w:t>
      </w:r>
      <w:r>
        <w:rPr>
          <w:spacing w:val="5"/>
        </w:rPr>
        <w:t xml:space="preserve"> </w:t>
      </w:r>
      <w:r>
        <w:t>34)</w:t>
      </w:r>
    </w:p>
    <w:p w:rsidR="00645170" w:rsidRDefault="00645170">
      <w:pPr>
        <w:sectPr w:rsidR="00645170">
          <w:headerReference w:type="default" r:id="rId8"/>
          <w:footerReference w:type="default" r:id="rId9"/>
          <w:pgSz w:w="11910" w:h="16840"/>
          <w:pgMar w:top="1040" w:right="340" w:bottom="1140" w:left="1340" w:header="714" w:footer="959" w:gutter="0"/>
          <w:pgNumType w:start="2"/>
          <w:cols w:space="720"/>
        </w:sectPr>
      </w:pPr>
    </w:p>
    <w:p w:rsidR="00645170" w:rsidRDefault="00645170">
      <w:pPr>
        <w:pStyle w:val="Heading1"/>
        <w:spacing w:before="111"/>
        <w:ind w:right="1120"/>
        <w:jc w:val="center"/>
      </w:pPr>
      <w:bookmarkStart w:id="5" w:name="Введение"/>
      <w:bookmarkEnd w:id="5"/>
      <w:r>
        <w:t>Введение</w:t>
      </w:r>
    </w:p>
    <w:p w:rsidR="00645170" w:rsidRDefault="00645170">
      <w:pPr>
        <w:pStyle w:val="BodyText"/>
        <w:ind w:left="0"/>
        <w:rPr>
          <w:b/>
          <w:sz w:val="30"/>
        </w:rPr>
      </w:pPr>
    </w:p>
    <w:p w:rsidR="00645170" w:rsidRDefault="00645170">
      <w:pPr>
        <w:pStyle w:val="BodyText"/>
        <w:spacing w:before="5"/>
        <w:ind w:left="0"/>
        <w:rPr>
          <w:b/>
          <w:sz w:val="25"/>
        </w:rPr>
      </w:pPr>
    </w:p>
    <w:p w:rsidR="00645170" w:rsidRDefault="00645170">
      <w:pPr>
        <w:pStyle w:val="BodyText"/>
        <w:ind w:right="511" w:firstLine="710"/>
        <w:jc w:val="both"/>
      </w:pPr>
      <w:bookmarkStart w:id="6" w:name="Еще_в_XVI_в._стало_известно,_что_южноаме"/>
      <w:bookmarkEnd w:id="6"/>
      <w:r>
        <w:t>Еще в XVI в. стало известно, что южноамериканские индейцы используют для охоты и войны отравленные стрелы, яд которых - кураре - вызывает смерть из-за паралича дыхательных мышц.</w:t>
      </w:r>
    </w:p>
    <w:p w:rsidR="00645170" w:rsidRDefault="00645170">
      <w:pPr>
        <w:pStyle w:val="BodyText"/>
        <w:spacing w:before="230" w:line="322" w:lineRule="exact"/>
        <w:ind w:left="1070"/>
      </w:pPr>
      <w:bookmarkStart w:id="7" w:name="По_праву_одним_из_первых_миорелаксантов_"/>
      <w:bookmarkEnd w:id="7"/>
      <w:r>
        <w:t>По праву одним из первых миорелаксантов можно считать экстракт</w:t>
      </w:r>
    </w:p>
    <w:p w:rsidR="00645170" w:rsidRDefault="00645170">
      <w:pPr>
        <w:pStyle w:val="BodyText"/>
        <w:tabs>
          <w:tab w:val="left" w:pos="1731"/>
          <w:tab w:val="left" w:pos="2210"/>
          <w:tab w:val="left" w:pos="3510"/>
          <w:tab w:val="left" w:pos="4426"/>
          <w:tab w:val="left" w:pos="5764"/>
          <w:tab w:val="left" w:pos="8991"/>
          <w:tab w:val="left" w:pos="9360"/>
        </w:tabs>
        <w:ind w:right="513"/>
      </w:pPr>
      <w:r>
        <w:t>«кураре»,</w:t>
      </w:r>
      <w:r>
        <w:tab/>
        <w:t>из</w:t>
      </w:r>
      <w:r>
        <w:tab/>
        <w:t>растений</w:t>
      </w:r>
      <w:r>
        <w:tab/>
        <w:t>родов</w:t>
      </w:r>
      <w:r>
        <w:tab/>
        <w:t>Strychnos</w:t>
      </w:r>
      <w:r>
        <w:tab/>
        <w:t>Toxifera</w:t>
      </w:r>
      <w:r>
        <w:rPr>
          <w:i/>
        </w:rPr>
        <w:t>,</w:t>
      </w:r>
      <w:r>
        <w:rPr>
          <w:i/>
          <w:spacing w:val="3"/>
        </w:rPr>
        <w:t xml:space="preserve"> </w:t>
      </w:r>
      <w:r>
        <w:t>Chondrodendron</w:t>
      </w:r>
      <w:r>
        <w:tab/>
        <w:t>и</w:t>
      </w:r>
      <w:r>
        <w:tab/>
      </w:r>
      <w:r>
        <w:rPr>
          <w:spacing w:val="-6"/>
        </w:rPr>
        <w:t xml:space="preserve">др. </w:t>
      </w:r>
      <w:r>
        <w:t>(Южная</w:t>
      </w:r>
      <w:r>
        <w:rPr>
          <w:spacing w:val="2"/>
        </w:rPr>
        <w:t xml:space="preserve"> </w:t>
      </w:r>
      <w:r>
        <w:t>Америка).</w:t>
      </w:r>
    </w:p>
    <w:p w:rsidR="00645170" w:rsidRDefault="00645170">
      <w:pPr>
        <w:pStyle w:val="BodyText"/>
        <w:spacing w:before="230"/>
        <w:ind w:right="514" w:firstLine="710"/>
        <w:jc w:val="both"/>
      </w:pPr>
      <w:bookmarkStart w:id="8" w:name="История_открытия_и_применения_кураре_дол"/>
      <w:bookmarkEnd w:id="8"/>
      <w:r>
        <w:t>История открытия и применения кураре долгая и увлекательная. Первые сведения о кураре проникли в Европу более 400 лет назад, после возвращения экспедиции Колумба из Америки. В течение многих веков индейцы, обитающие по берегам Амазонки и Ориноко, применяли его для охоты — раненые животные погибали от паралича. Изготовление кураре было покрыто тайной, которой владели лишь колдуны.</w:t>
      </w:r>
    </w:p>
    <w:p w:rsidR="00645170" w:rsidRDefault="00645170">
      <w:pPr>
        <w:pStyle w:val="BodyText"/>
        <w:ind w:left="0"/>
        <w:rPr>
          <w:sz w:val="30"/>
        </w:rPr>
      </w:pPr>
    </w:p>
    <w:p w:rsidR="00645170" w:rsidRDefault="00645170">
      <w:pPr>
        <w:pStyle w:val="BodyText"/>
        <w:spacing w:before="1"/>
        <w:ind w:left="0"/>
        <w:rPr>
          <w:sz w:val="24"/>
        </w:rPr>
      </w:pPr>
    </w:p>
    <w:p w:rsidR="00645170" w:rsidRDefault="00645170">
      <w:pPr>
        <w:pStyle w:val="BodyText"/>
        <w:ind w:right="514" w:firstLine="710"/>
        <w:jc w:val="both"/>
      </w:pPr>
      <w:bookmarkStart w:id="9" w:name="В_1617_году_английский_путешественник_и_"/>
      <w:bookmarkEnd w:id="9"/>
      <w:r>
        <w:t xml:space="preserve">В 1617 году английский путешественник и писатель Уолтер Райли отправился путешествовать в оринокские джунгли, находящиеся в северной части Амазонки, сопровождаемый переводчиком и местными индейцами. Райли был крайне заинтересован тем фактом, что подстреленные ими животные умирали от малейших ранений, наносимых стрелами туземцев. Когда он попросил объяснить, в чем же загадка, те ответили, что наконечники пропитаны жидкостью, называемой туземцами "кураре", что в дословном переводе означало "жидкость, которая быстро убивает птиц". Уолтер решил проверить действие яда на себе, сделав небольшой надрез и капнув всего две капли. </w:t>
      </w:r>
      <w:r>
        <w:rPr>
          <w:spacing w:val="-3"/>
        </w:rPr>
        <w:t xml:space="preserve">Их </w:t>
      </w:r>
      <w:r>
        <w:t>хватило, чтобы он потерял сознание и после долго приходил в</w:t>
      </w:r>
      <w:r>
        <w:rPr>
          <w:spacing w:val="1"/>
        </w:rPr>
        <w:t xml:space="preserve"> </w:t>
      </w:r>
      <w:r>
        <w:t>себя.</w:t>
      </w:r>
    </w:p>
    <w:p w:rsidR="00645170" w:rsidRDefault="00645170">
      <w:pPr>
        <w:pStyle w:val="BodyText"/>
        <w:spacing w:before="2"/>
        <w:ind w:left="0"/>
      </w:pPr>
    </w:p>
    <w:p w:rsidR="00645170" w:rsidRDefault="00645170">
      <w:pPr>
        <w:pStyle w:val="BodyText"/>
        <w:ind w:right="517" w:firstLine="710"/>
        <w:jc w:val="both"/>
      </w:pPr>
      <w:bookmarkStart w:id="10" w:name="После_того,_как_в_1942_г._Гарольд_Гриффи"/>
      <w:bookmarkEnd w:id="10"/>
      <w:r>
        <w:t xml:space="preserve">После того, как в </w:t>
      </w:r>
      <w:smartTag w:uri="urn:schemas-microsoft-com:office:smarttags" w:element="metricconverter">
        <w:smartTagPr>
          <w:attr w:name="ProductID" w:val="1942 г"/>
        </w:smartTagPr>
        <w:r>
          <w:t>1942 г</w:t>
        </w:r>
      </w:smartTag>
      <w:r>
        <w:t>. Гарольд Гриффит опубликовал результаты применения очищенного экстракта кураре во время анестезии, миорелаксанты быстро завоевали достойное место в арсенале анестезиологов и реаниматологов.</w:t>
      </w:r>
    </w:p>
    <w:p w:rsidR="00645170" w:rsidRDefault="00645170">
      <w:pPr>
        <w:pStyle w:val="BodyText"/>
        <w:spacing w:before="229"/>
        <w:ind w:right="518" w:firstLine="710"/>
        <w:jc w:val="both"/>
      </w:pPr>
      <w:bookmarkStart w:id="11" w:name="Открытие_действующего_начала_кураре_тубо"/>
      <w:bookmarkEnd w:id="11"/>
      <w:r>
        <w:t>Открытие действующего начала кураре тубокурарина оказало огромное влияние на развитие анестезиологии и хирургии и позволило изучить механизм нейро-мышечной передачи. Так началась эра применения миорелаксантов, которая оказала большое влияние на хирургию и анестезиологию в целом.</w:t>
      </w:r>
    </w:p>
    <w:p w:rsidR="00645170" w:rsidRDefault="00645170">
      <w:pPr>
        <w:jc w:val="both"/>
        <w:sectPr w:rsidR="00645170">
          <w:headerReference w:type="default" r:id="rId10"/>
          <w:footerReference w:type="default" r:id="rId11"/>
          <w:pgSz w:w="11910" w:h="16840"/>
          <w:pgMar w:top="1040" w:right="340" w:bottom="1140" w:left="1340" w:header="714" w:footer="959" w:gutter="0"/>
          <w:pgNumType w:start="3"/>
          <w:cols w:space="720"/>
        </w:sectPr>
      </w:pPr>
    </w:p>
    <w:p w:rsidR="00645170" w:rsidRDefault="00645170">
      <w:pPr>
        <w:pStyle w:val="Heading1"/>
        <w:numPr>
          <w:ilvl w:val="0"/>
          <w:numId w:val="7"/>
        </w:numPr>
        <w:tabs>
          <w:tab w:val="left" w:pos="1445"/>
        </w:tabs>
        <w:spacing w:before="111" w:line="357" w:lineRule="auto"/>
        <w:ind w:right="508" w:firstLine="710"/>
      </w:pPr>
      <w:bookmarkStart w:id="12" w:name="1._Общая_характеристика_и_классификация_"/>
      <w:bookmarkEnd w:id="12"/>
      <w:r>
        <w:t>Общая характеристика и классификация миорелаксантов по химической структуре и механизму</w:t>
      </w:r>
      <w:r>
        <w:rPr>
          <w:spacing w:val="-1"/>
        </w:rPr>
        <w:t xml:space="preserve"> </w:t>
      </w:r>
      <w:r>
        <w:t>действия</w:t>
      </w:r>
    </w:p>
    <w:p w:rsidR="00645170" w:rsidRDefault="00645170">
      <w:pPr>
        <w:pStyle w:val="BodyText"/>
        <w:spacing w:before="9"/>
        <w:ind w:left="0"/>
        <w:rPr>
          <w:b/>
          <w:sz w:val="41"/>
        </w:rPr>
      </w:pPr>
    </w:p>
    <w:p w:rsidR="00645170" w:rsidRDefault="00645170">
      <w:pPr>
        <w:pStyle w:val="BodyText"/>
        <w:spacing w:line="360" w:lineRule="auto"/>
        <w:ind w:right="519" w:firstLine="710"/>
        <w:jc w:val="both"/>
      </w:pPr>
      <w:r>
        <w:t>Миорелаксанты - это препараты, блокирующие нейромышечную передачу. Используются они для проведения контролируемой механической вентиляции легких, создания условий для работы хирургической бригады, особенно при операциях на органах груди и живота, для уменьшения внутричерепной гипертензии, снижения потребления кислорода, устранения дрожи, обеспечения неподвижности при некоторых диагностических манипуляциях, купирования судорожного синдрома и в ряде других случаев.</w:t>
      </w:r>
    </w:p>
    <w:p w:rsidR="00645170" w:rsidRDefault="00645170">
      <w:pPr>
        <w:pStyle w:val="BodyText"/>
        <w:spacing w:before="5" w:line="360" w:lineRule="auto"/>
        <w:ind w:right="514" w:firstLine="710"/>
        <w:jc w:val="both"/>
      </w:pPr>
      <w:r>
        <w:t xml:space="preserve">Все блокаторы нейро-мышечной передачи по своей химической структуре похожи на ацетилхолин. Так, например, сукцинилхолин фактически состоит из </w:t>
      </w:r>
      <w:r>
        <w:rPr>
          <w:spacing w:val="2"/>
        </w:rPr>
        <w:t xml:space="preserve">2-х </w:t>
      </w:r>
      <w:r>
        <w:t xml:space="preserve">молекул ацетилхолина (слайд). Недеполяризующие релаксанты скрывают свою подобную ацетилхолину структуру в виде кольцевых систем </w:t>
      </w:r>
      <w:r>
        <w:rPr>
          <w:spacing w:val="2"/>
        </w:rPr>
        <w:t xml:space="preserve">2-х </w:t>
      </w:r>
      <w:r>
        <w:t>типов - изохинолиновой и стероидной (слайд). Наличие одного или двух четвертичных атомов азота у всех блокаторов нейро-мышечной передачи делает эти препараты плохо растворимыми в липидах, что предотвращает их попадание в</w:t>
      </w:r>
      <w:r>
        <w:rPr>
          <w:spacing w:val="-7"/>
        </w:rPr>
        <w:t xml:space="preserve"> </w:t>
      </w:r>
      <w:r>
        <w:t>ЦНС.</w:t>
      </w:r>
    </w:p>
    <w:p w:rsidR="00645170" w:rsidRDefault="00645170">
      <w:pPr>
        <w:pStyle w:val="BodyText"/>
        <w:spacing w:before="1" w:line="357" w:lineRule="auto"/>
        <w:ind w:right="520" w:firstLine="710"/>
        <w:jc w:val="both"/>
      </w:pPr>
      <w:r>
        <w:t>Все блокаторы нейро-мышечной передачи высокополярны и неактивны при пероральном приеме. Их вводят только внутривенно.</w:t>
      </w:r>
    </w:p>
    <w:p w:rsidR="00645170" w:rsidRDefault="00645170">
      <w:pPr>
        <w:pStyle w:val="BodyText"/>
        <w:spacing w:before="3"/>
        <w:ind w:left="0"/>
        <w:rPr>
          <w:sz w:val="42"/>
        </w:rPr>
      </w:pPr>
    </w:p>
    <w:p w:rsidR="00645170" w:rsidRDefault="00645170">
      <w:pPr>
        <w:pStyle w:val="BodyText"/>
        <w:ind w:left="1070"/>
      </w:pPr>
      <w:r>
        <w:t>Таблица 1.</w:t>
      </w:r>
    </w:p>
    <w:p w:rsidR="00645170" w:rsidRDefault="00645170">
      <w:pPr>
        <w:pStyle w:val="BodyText"/>
        <w:spacing w:before="163"/>
        <w:ind w:left="1070"/>
      </w:pPr>
      <w:bookmarkStart w:id="13" w:name="Классификация_миорелаксантов_по_химическ"/>
      <w:bookmarkEnd w:id="13"/>
      <w:r>
        <w:t>Классификация миорелаксантов по химической структуре</w:t>
      </w:r>
    </w:p>
    <w:p w:rsidR="00645170" w:rsidRDefault="00645170">
      <w:pPr>
        <w:pStyle w:val="BodyText"/>
        <w:spacing w:before="8"/>
        <w:ind w:left="0"/>
        <w:rPr>
          <w:sz w:val="14"/>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94"/>
        <w:gridCol w:w="3189"/>
        <w:gridCol w:w="3193"/>
      </w:tblGrid>
      <w:tr w:rsidR="00645170">
        <w:trPr>
          <w:trHeight w:val="345"/>
        </w:trPr>
        <w:tc>
          <w:tcPr>
            <w:tcW w:w="3194" w:type="dxa"/>
          </w:tcPr>
          <w:p w:rsidR="00645170" w:rsidRDefault="00645170">
            <w:pPr>
              <w:pStyle w:val="TableParagraph"/>
              <w:rPr>
                <w:sz w:val="20"/>
              </w:rPr>
            </w:pPr>
            <w:r>
              <w:rPr>
                <w:sz w:val="20"/>
              </w:rPr>
              <w:t>Дериваты изохинолина</w:t>
            </w:r>
          </w:p>
        </w:tc>
        <w:tc>
          <w:tcPr>
            <w:tcW w:w="3189" w:type="dxa"/>
          </w:tcPr>
          <w:p w:rsidR="00645170" w:rsidRDefault="00645170">
            <w:pPr>
              <w:pStyle w:val="TableParagraph"/>
              <w:ind w:left="109"/>
              <w:rPr>
                <w:sz w:val="20"/>
              </w:rPr>
            </w:pPr>
            <w:r>
              <w:rPr>
                <w:sz w:val="20"/>
              </w:rPr>
              <w:t>Дериваты стероидов</w:t>
            </w:r>
          </w:p>
        </w:tc>
        <w:tc>
          <w:tcPr>
            <w:tcW w:w="3193" w:type="dxa"/>
          </w:tcPr>
          <w:p w:rsidR="00645170" w:rsidRDefault="00645170">
            <w:pPr>
              <w:pStyle w:val="TableParagraph"/>
              <w:ind w:left="109"/>
              <w:rPr>
                <w:sz w:val="20"/>
              </w:rPr>
            </w:pPr>
            <w:r>
              <w:rPr>
                <w:sz w:val="20"/>
              </w:rPr>
              <w:t>Другие препараты</w:t>
            </w:r>
          </w:p>
        </w:tc>
      </w:tr>
      <w:tr w:rsidR="00645170">
        <w:trPr>
          <w:trHeight w:val="1723"/>
        </w:trPr>
        <w:tc>
          <w:tcPr>
            <w:tcW w:w="3194" w:type="dxa"/>
          </w:tcPr>
          <w:p w:rsidR="00645170" w:rsidRDefault="00645170">
            <w:pPr>
              <w:pStyle w:val="TableParagraph"/>
              <w:spacing w:line="360" w:lineRule="auto"/>
              <w:ind w:right="1149"/>
              <w:rPr>
                <w:sz w:val="20"/>
              </w:rPr>
            </w:pPr>
            <w:r>
              <w:rPr>
                <w:sz w:val="20"/>
              </w:rPr>
              <w:t>Атракурий Доксакурий Метокурий Мивакурий</w:t>
            </w:r>
          </w:p>
          <w:p w:rsidR="00645170" w:rsidRDefault="00645170">
            <w:pPr>
              <w:pStyle w:val="TableParagraph"/>
              <w:spacing w:line="228" w:lineRule="exact"/>
              <w:rPr>
                <w:sz w:val="20"/>
              </w:rPr>
            </w:pPr>
            <w:r>
              <w:rPr>
                <w:sz w:val="20"/>
              </w:rPr>
              <w:t>Тубокурарин</w:t>
            </w:r>
          </w:p>
        </w:tc>
        <w:tc>
          <w:tcPr>
            <w:tcW w:w="3189" w:type="dxa"/>
          </w:tcPr>
          <w:p w:rsidR="00645170" w:rsidRDefault="00645170">
            <w:pPr>
              <w:pStyle w:val="TableParagraph"/>
              <w:spacing w:line="360" w:lineRule="auto"/>
              <w:ind w:left="109" w:right="1884"/>
              <w:rPr>
                <w:sz w:val="20"/>
              </w:rPr>
            </w:pPr>
            <w:r>
              <w:rPr>
                <w:sz w:val="20"/>
              </w:rPr>
              <w:t>Панкуроний Пипекуроний Рокуроний Векуроний</w:t>
            </w:r>
          </w:p>
        </w:tc>
        <w:tc>
          <w:tcPr>
            <w:tcW w:w="3193" w:type="dxa"/>
          </w:tcPr>
          <w:p w:rsidR="00645170" w:rsidRDefault="00645170">
            <w:pPr>
              <w:pStyle w:val="TableParagraph"/>
              <w:spacing w:line="360" w:lineRule="auto"/>
              <w:ind w:left="109" w:right="1681"/>
              <w:rPr>
                <w:sz w:val="20"/>
              </w:rPr>
            </w:pPr>
            <w:r>
              <w:rPr>
                <w:sz w:val="20"/>
              </w:rPr>
              <w:t>Галламин Сукцинилхолин</w:t>
            </w:r>
          </w:p>
        </w:tc>
      </w:tr>
    </w:tbl>
    <w:p w:rsidR="00645170" w:rsidRDefault="00645170">
      <w:pPr>
        <w:spacing w:line="360" w:lineRule="auto"/>
        <w:rPr>
          <w:sz w:val="20"/>
        </w:rPr>
        <w:sectPr w:rsidR="00645170">
          <w:headerReference w:type="default" r:id="rId12"/>
          <w:footerReference w:type="default" r:id="rId13"/>
          <w:pgSz w:w="11910" w:h="16840"/>
          <w:pgMar w:top="1040" w:right="340" w:bottom="1140" w:left="1340" w:header="714" w:footer="959" w:gutter="0"/>
          <w:pgNumType w:start="4"/>
          <w:cols w:space="720"/>
        </w:sectPr>
      </w:pPr>
    </w:p>
    <w:p w:rsidR="00645170" w:rsidRDefault="00645170">
      <w:pPr>
        <w:pStyle w:val="BodyText"/>
        <w:spacing w:before="106" w:line="360" w:lineRule="auto"/>
        <w:ind w:right="516" w:firstLine="710"/>
        <w:jc w:val="both"/>
      </w:pPr>
      <w:r>
        <w:t>По механизму действия миорелаксанты подразделяют на 2 класса: деполяризующие и недеполяризующие. Кроме того, миорелаксанты делят по продолжительности действия (слайд, таблица).</w:t>
      </w:r>
    </w:p>
    <w:p w:rsidR="00645170" w:rsidRDefault="00645170">
      <w:pPr>
        <w:pStyle w:val="BodyText"/>
        <w:spacing w:before="10"/>
        <w:ind w:left="0"/>
        <w:rPr>
          <w:sz w:val="41"/>
        </w:rPr>
      </w:pPr>
    </w:p>
    <w:p w:rsidR="00645170" w:rsidRDefault="00645170">
      <w:pPr>
        <w:pStyle w:val="BodyText"/>
        <w:ind w:left="1070"/>
      </w:pPr>
      <w:bookmarkStart w:id="14" w:name="Таблица_2"/>
      <w:bookmarkEnd w:id="14"/>
      <w:r>
        <w:t>Таблица 2</w:t>
      </w:r>
    </w:p>
    <w:p w:rsidR="00645170" w:rsidRDefault="00645170">
      <w:pPr>
        <w:pStyle w:val="BodyText"/>
        <w:spacing w:before="163" w:after="13" w:line="357" w:lineRule="auto"/>
        <w:ind w:right="515" w:firstLine="710"/>
        <w:jc w:val="both"/>
      </w:pPr>
      <w:bookmarkStart w:id="15" w:name="Классификация_миорелаксантов_по_механизм"/>
      <w:bookmarkEnd w:id="15"/>
      <w:r>
        <w:t>Классификация миорелаксантов по механизму и длительности действия</w:t>
      </w:r>
    </w:p>
    <w:tbl>
      <w:tblPr>
        <w:tblW w:w="0" w:type="auto"/>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805"/>
        <w:gridCol w:w="2977"/>
        <w:gridCol w:w="4082"/>
      </w:tblGrid>
      <w:tr w:rsidR="00645170">
        <w:trPr>
          <w:trHeight w:val="412"/>
        </w:trPr>
        <w:tc>
          <w:tcPr>
            <w:tcW w:w="2805" w:type="dxa"/>
          </w:tcPr>
          <w:p w:rsidR="00645170" w:rsidRDefault="00645170">
            <w:pPr>
              <w:pStyle w:val="TableParagraph"/>
              <w:spacing w:line="240" w:lineRule="auto"/>
              <w:ind w:left="0"/>
              <w:rPr>
                <w:sz w:val="26"/>
              </w:rPr>
            </w:pPr>
          </w:p>
        </w:tc>
        <w:tc>
          <w:tcPr>
            <w:tcW w:w="2977" w:type="dxa"/>
          </w:tcPr>
          <w:p w:rsidR="00645170" w:rsidRDefault="00645170">
            <w:pPr>
              <w:pStyle w:val="TableParagraph"/>
              <w:spacing w:line="268" w:lineRule="exact"/>
              <w:ind w:left="112"/>
              <w:rPr>
                <w:sz w:val="24"/>
              </w:rPr>
            </w:pPr>
            <w:r>
              <w:rPr>
                <w:sz w:val="24"/>
              </w:rPr>
              <w:t>Деполяризующие</w:t>
            </w:r>
          </w:p>
        </w:tc>
        <w:tc>
          <w:tcPr>
            <w:tcW w:w="4082" w:type="dxa"/>
          </w:tcPr>
          <w:p w:rsidR="00645170" w:rsidRDefault="00645170">
            <w:pPr>
              <w:pStyle w:val="TableParagraph"/>
              <w:spacing w:line="268" w:lineRule="exact"/>
              <w:ind w:left="112"/>
              <w:rPr>
                <w:sz w:val="24"/>
              </w:rPr>
            </w:pPr>
            <w:r>
              <w:rPr>
                <w:sz w:val="24"/>
              </w:rPr>
              <w:t>Недеполяризующие</w:t>
            </w:r>
          </w:p>
        </w:tc>
      </w:tr>
      <w:tr w:rsidR="00645170">
        <w:trPr>
          <w:trHeight w:val="1243"/>
        </w:trPr>
        <w:tc>
          <w:tcPr>
            <w:tcW w:w="2805" w:type="dxa"/>
          </w:tcPr>
          <w:p w:rsidR="00645170" w:rsidRDefault="00645170">
            <w:pPr>
              <w:pStyle w:val="TableParagraph"/>
              <w:tabs>
                <w:tab w:val="left" w:pos="2576"/>
              </w:tabs>
              <w:spacing w:line="268" w:lineRule="exact"/>
              <w:ind w:left="112"/>
              <w:rPr>
                <w:sz w:val="24"/>
              </w:rPr>
            </w:pPr>
            <w:r>
              <w:rPr>
                <w:sz w:val="24"/>
              </w:rPr>
              <w:t>Короткого</w:t>
            </w:r>
            <w:r>
              <w:rPr>
                <w:sz w:val="24"/>
              </w:rPr>
              <w:tab/>
              <w:t>и</w:t>
            </w:r>
          </w:p>
          <w:p w:rsidR="00645170" w:rsidRDefault="00645170">
            <w:pPr>
              <w:pStyle w:val="TableParagraph"/>
              <w:spacing w:before="7" w:line="410" w:lineRule="atLeast"/>
              <w:ind w:left="112" w:right="940"/>
              <w:rPr>
                <w:sz w:val="24"/>
              </w:rPr>
            </w:pPr>
            <w:r>
              <w:rPr>
                <w:sz w:val="24"/>
              </w:rPr>
              <w:t>ультракороткого действия</w:t>
            </w:r>
          </w:p>
        </w:tc>
        <w:tc>
          <w:tcPr>
            <w:tcW w:w="2977" w:type="dxa"/>
          </w:tcPr>
          <w:p w:rsidR="00645170" w:rsidRDefault="00645170">
            <w:pPr>
              <w:pStyle w:val="TableParagraph"/>
              <w:spacing w:line="362" w:lineRule="auto"/>
              <w:ind w:left="112" w:right="156"/>
              <w:rPr>
                <w:sz w:val="24"/>
              </w:rPr>
            </w:pPr>
            <w:r>
              <w:rPr>
                <w:sz w:val="24"/>
              </w:rPr>
              <w:t>сукцинилхолин (дитилин) декаметоний</w:t>
            </w:r>
          </w:p>
        </w:tc>
        <w:tc>
          <w:tcPr>
            <w:tcW w:w="4082" w:type="dxa"/>
          </w:tcPr>
          <w:p w:rsidR="00645170" w:rsidRDefault="00645170">
            <w:pPr>
              <w:pStyle w:val="TableParagraph"/>
              <w:spacing w:line="268" w:lineRule="exact"/>
              <w:ind w:left="112"/>
              <w:rPr>
                <w:sz w:val="24"/>
              </w:rPr>
            </w:pPr>
            <w:r>
              <w:rPr>
                <w:sz w:val="24"/>
              </w:rPr>
              <w:t>мивакурий (мивакрон)</w:t>
            </w:r>
          </w:p>
        </w:tc>
      </w:tr>
      <w:tr w:rsidR="00645170">
        <w:trPr>
          <w:trHeight w:val="1242"/>
        </w:trPr>
        <w:tc>
          <w:tcPr>
            <w:tcW w:w="2805" w:type="dxa"/>
          </w:tcPr>
          <w:p w:rsidR="00645170" w:rsidRDefault="00645170">
            <w:pPr>
              <w:pStyle w:val="TableParagraph"/>
              <w:spacing w:line="360" w:lineRule="auto"/>
              <w:ind w:left="112" w:right="604"/>
              <w:rPr>
                <w:sz w:val="24"/>
              </w:rPr>
            </w:pPr>
            <w:r>
              <w:rPr>
                <w:sz w:val="24"/>
              </w:rPr>
              <w:t>Средней продолжительности</w:t>
            </w:r>
          </w:p>
        </w:tc>
        <w:tc>
          <w:tcPr>
            <w:tcW w:w="2977" w:type="dxa"/>
          </w:tcPr>
          <w:p w:rsidR="00645170" w:rsidRDefault="00645170">
            <w:pPr>
              <w:pStyle w:val="TableParagraph"/>
              <w:spacing w:line="240" w:lineRule="auto"/>
              <w:ind w:left="0"/>
              <w:rPr>
                <w:sz w:val="26"/>
              </w:rPr>
            </w:pPr>
          </w:p>
        </w:tc>
        <w:tc>
          <w:tcPr>
            <w:tcW w:w="4082" w:type="dxa"/>
          </w:tcPr>
          <w:p w:rsidR="00645170" w:rsidRDefault="00645170">
            <w:pPr>
              <w:pStyle w:val="TableParagraph"/>
              <w:spacing w:line="360" w:lineRule="auto"/>
              <w:ind w:left="112" w:right="1659"/>
              <w:rPr>
                <w:sz w:val="24"/>
              </w:rPr>
            </w:pPr>
            <w:r>
              <w:rPr>
                <w:sz w:val="24"/>
              </w:rPr>
              <w:t>атракурий (тракриум) векуроний (норкурон)</w:t>
            </w:r>
          </w:p>
          <w:p w:rsidR="00645170" w:rsidRDefault="00645170">
            <w:pPr>
              <w:pStyle w:val="TableParagraph"/>
              <w:spacing w:line="240" w:lineRule="auto"/>
              <w:ind w:left="112"/>
              <w:rPr>
                <w:sz w:val="24"/>
              </w:rPr>
            </w:pPr>
            <w:r>
              <w:rPr>
                <w:sz w:val="24"/>
              </w:rPr>
              <w:t>рокуроний</w:t>
            </w:r>
          </w:p>
        </w:tc>
      </w:tr>
      <w:tr w:rsidR="00645170">
        <w:trPr>
          <w:trHeight w:val="2486"/>
        </w:trPr>
        <w:tc>
          <w:tcPr>
            <w:tcW w:w="2805" w:type="dxa"/>
          </w:tcPr>
          <w:p w:rsidR="00645170" w:rsidRDefault="00645170">
            <w:pPr>
              <w:pStyle w:val="TableParagraph"/>
              <w:spacing w:line="360" w:lineRule="auto"/>
              <w:ind w:left="112" w:right="1338"/>
              <w:rPr>
                <w:sz w:val="24"/>
              </w:rPr>
            </w:pPr>
            <w:r>
              <w:rPr>
                <w:sz w:val="24"/>
              </w:rPr>
              <w:t>Длительного действия</w:t>
            </w:r>
          </w:p>
        </w:tc>
        <w:tc>
          <w:tcPr>
            <w:tcW w:w="2977" w:type="dxa"/>
          </w:tcPr>
          <w:p w:rsidR="00645170" w:rsidRDefault="00645170">
            <w:pPr>
              <w:pStyle w:val="TableParagraph"/>
              <w:spacing w:line="240" w:lineRule="auto"/>
              <w:ind w:left="0"/>
              <w:rPr>
                <w:sz w:val="26"/>
              </w:rPr>
            </w:pPr>
          </w:p>
        </w:tc>
        <w:tc>
          <w:tcPr>
            <w:tcW w:w="4082" w:type="dxa"/>
          </w:tcPr>
          <w:p w:rsidR="00645170" w:rsidRDefault="00645170">
            <w:pPr>
              <w:pStyle w:val="TableParagraph"/>
              <w:spacing w:line="360" w:lineRule="auto"/>
              <w:ind w:left="112" w:right="1672"/>
              <w:rPr>
                <w:sz w:val="24"/>
              </w:rPr>
            </w:pPr>
            <w:r>
              <w:rPr>
                <w:sz w:val="24"/>
              </w:rPr>
              <w:t>тубокурарин метокурин доксакурий панкуроний</w:t>
            </w:r>
            <w:r>
              <w:rPr>
                <w:spacing w:val="-10"/>
                <w:sz w:val="24"/>
              </w:rPr>
              <w:t xml:space="preserve"> </w:t>
            </w:r>
            <w:r>
              <w:rPr>
                <w:sz w:val="24"/>
              </w:rPr>
              <w:t>(павулон) пипекуроний</w:t>
            </w:r>
            <w:r>
              <w:rPr>
                <w:spacing w:val="-12"/>
                <w:sz w:val="24"/>
              </w:rPr>
              <w:t xml:space="preserve"> </w:t>
            </w:r>
            <w:r>
              <w:rPr>
                <w:sz w:val="24"/>
              </w:rPr>
              <w:t>(ардуан)</w:t>
            </w:r>
          </w:p>
          <w:p w:rsidR="00645170" w:rsidRDefault="00645170">
            <w:pPr>
              <w:pStyle w:val="TableParagraph"/>
              <w:spacing w:line="275" w:lineRule="exact"/>
              <w:ind w:left="112"/>
              <w:rPr>
                <w:sz w:val="24"/>
              </w:rPr>
            </w:pPr>
            <w:r>
              <w:rPr>
                <w:sz w:val="24"/>
              </w:rPr>
              <w:t>галламин</w:t>
            </w:r>
          </w:p>
        </w:tc>
      </w:tr>
    </w:tbl>
    <w:p w:rsidR="00645170" w:rsidRDefault="00645170">
      <w:pPr>
        <w:pStyle w:val="BodyText"/>
        <w:spacing w:before="1"/>
        <w:ind w:left="0"/>
        <w:rPr>
          <w:sz w:val="41"/>
        </w:rPr>
      </w:pPr>
    </w:p>
    <w:p w:rsidR="00645170" w:rsidRDefault="00645170">
      <w:pPr>
        <w:pStyle w:val="BodyText"/>
        <w:spacing w:line="360" w:lineRule="auto"/>
        <w:ind w:right="511" w:firstLine="710"/>
        <w:jc w:val="both"/>
      </w:pPr>
      <w:r>
        <w:t>Для того, чтобы разобраться с механизмом действия и применением современных миорелаксантов вспомним сначала, как осуществляется нейро- мышечная передача.</w:t>
      </w:r>
    </w:p>
    <w:p w:rsidR="00645170" w:rsidRDefault="00645170">
      <w:pPr>
        <w:pStyle w:val="BodyText"/>
        <w:spacing w:before="8"/>
        <w:ind w:left="0"/>
        <w:rPr>
          <w:sz w:val="42"/>
        </w:rPr>
      </w:pPr>
    </w:p>
    <w:p w:rsidR="00645170" w:rsidRDefault="00645170">
      <w:pPr>
        <w:pStyle w:val="Heading1"/>
        <w:numPr>
          <w:ilvl w:val="0"/>
          <w:numId w:val="7"/>
        </w:numPr>
        <w:tabs>
          <w:tab w:val="left" w:pos="1584"/>
        </w:tabs>
        <w:spacing w:before="1"/>
        <w:ind w:left="1583" w:hanging="283"/>
      </w:pPr>
      <w:bookmarkStart w:id="16" w:name="2._Основные_сведения_о_структуре_и_функц"/>
      <w:bookmarkEnd w:id="16"/>
      <w:r>
        <w:t>Основные сведения о структуре и функции</w:t>
      </w:r>
      <w:r>
        <w:rPr>
          <w:spacing w:val="-4"/>
        </w:rPr>
        <w:t xml:space="preserve"> </w:t>
      </w:r>
      <w:r>
        <w:t>нейро-мышечного</w:t>
      </w:r>
    </w:p>
    <w:p w:rsidR="00645170" w:rsidRDefault="00645170">
      <w:pPr>
        <w:spacing w:before="158"/>
        <w:ind w:left="4532"/>
        <w:rPr>
          <w:b/>
          <w:sz w:val="28"/>
        </w:rPr>
      </w:pPr>
      <w:r>
        <w:rPr>
          <w:b/>
          <w:sz w:val="28"/>
        </w:rPr>
        <w:t>синапса</w:t>
      </w:r>
    </w:p>
    <w:p w:rsidR="00645170" w:rsidRDefault="00645170">
      <w:pPr>
        <w:pStyle w:val="BodyText"/>
        <w:ind w:left="0"/>
        <w:rPr>
          <w:b/>
          <w:sz w:val="30"/>
        </w:rPr>
      </w:pPr>
    </w:p>
    <w:p w:rsidR="00645170" w:rsidRDefault="00645170">
      <w:pPr>
        <w:pStyle w:val="BodyText"/>
        <w:spacing w:before="10"/>
        <w:ind w:left="0"/>
        <w:rPr>
          <w:b/>
          <w:sz w:val="25"/>
        </w:rPr>
      </w:pPr>
    </w:p>
    <w:p w:rsidR="00645170" w:rsidRDefault="00645170">
      <w:pPr>
        <w:pStyle w:val="BodyText"/>
        <w:spacing w:line="360" w:lineRule="auto"/>
        <w:ind w:right="515" w:firstLine="710"/>
        <w:jc w:val="both"/>
      </w:pPr>
      <w:r>
        <w:rPr>
          <w:spacing w:val="-3"/>
        </w:rPr>
        <w:t xml:space="preserve">На </w:t>
      </w:r>
      <w:r>
        <w:t xml:space="preserve">слайде представлена схематическая структура нейро-мышечного синапса. </w:t>
      </w:r>
      <w:r>
        <w:rPr>
          <w:spacing w:val="-3"/>
        </w:rPr>
        <w:t xml:space="preserve">На </w:t>
      </w:r>
      <w:r>
        <w:t xml:space="preserve">подходе к мышечному волокну аксон теряет миелиновую оболочку  и  разветвляется  на  множество  конечных  веточек  </w:t>
      </w:r>
      <w:r>
        <w:rPr>
          <w:spacing w:val="14"/>
        </w:rPr>
        <w:t xml:space="preserve"> </w:t>
      </w:r>
      <w:r>
        <w:t>(терминалей).</w:t>
      </w:r>
    </w:p>
    <w:p w:rsidR="00645170" w:rsidRDefault="00645170">
      <w:pPr>
        <w:pStyle w:val="BodyText"/>
        <w:spacing w:line="318" w:lineRule="exact"/>
        <w:jc w:val="both"/>
      </w:pPr>
      <w:r>
        <w:t>Поверхность</w:t>
      </w:r>
      <w:r>
        <w:rPr>
          <w:spacing w:val="14"/>
        </w:rPr>
        <w:t xml:space="preserve"> </w:t>
      </w:r>
      <w:r>
        <w:t>каждой</w:t>
      </w:r>
      <w:r>
        <w:rPr>
          <w:spacing w:val="16"/>
        </w:rPr>
        <w:t xml:space="preserve"> </w:t>
      </w:r>
      <w:r>
        <w:t>такой</w:t>
      </w:r>
      <w:r>
        <w:rPr>
          <w:spacing w:val="16"/>
        </w:rPr>
        <w:t xml:space="preserve"> </w:t>
      </w:r>
      <w:r>
        <w:t>веточки,</w:t>
      </w:r>
      <w:r>
        <w:rPr>
          <w:spacing w:val="18"/>
        </w:rPr>
        <w:t xml:space="preserve"> </w:t>
      </w:r>
      <w:r>
        <w:t>непосредственно</w:t>
      </w:r>
      <w:r>
        <w:rPr>
          <w:spacing w:val="16"/>
        </w:rPr>
        <w:t xml:space="preserve"> </w:t>
      </w:r>
      <w:r>
        <w:t>прилежащая</w:t>
      </w:r>
      <w:r>
        <w:rPr>
          <w:spacing w:val="18"/>
        </w:rPr>
        <w:t xml:space="preserve"> </w:t>
      </w:r>
      <w:r>
        <w:t>к</w:t>
      </w:r>
      <w:r>
        <w:rPr>
          <w:spacing w:val="15"/>
        </w:rPr>
        <w:t xml:space="preserve"> </w:t>
      </w:r>
      <w:r>
        <w:t>мышце,</w:t>
      </w:r>
    </w:p>
    <w:p w:rsidR="00645170" w:rsidRDefault="00645170">
      <w:pPr>
        <w:spacing w:line="318" w:lineRule="exact"/>
        <w:jc w:val="both"/>
        <w:sectPr w:rsidR="00645170">
          <w:headerReference w:type="default" r:id="rId14"/>
          <w:footerReference w:type="default" r:id="rId15"/>
          <w:pgSz w:w="11910" w:h="16840"/>
          <w:pgMar w:top="1040" w:right="340" w:bottom="1120" w:left="1340" w:header="714" w:footer="923" w:gutter="0"/>
          <w:pgNumType w:start="5"/>
          <w:cols w:space="720"/>
        </w:sectPr>
      </w:pPr>
    </w:p>
    <w:p w:rsidR="00645170" w:rsidRDefault="00645170">
      <w:pPr>
        <w:pStyle w:val="BodyText"/>
        <w:spacing w:before="106" w:line="360" w:lineRule="auto"/>
        <w:ind w:right="521"/>
        <w:jc w:val="both"/>
      </w:pPr>
      <w:r>
        <w:t>называется пресинаптической мембраной и вместе с так называемой концевой пластинкой (участком мышечного волокна в месте контакта с нервным окончанием) образует нейро-мышечный</w:t>
      </w:r>
      <w:r>
        <w:rPr>
          <w:spacing w:val="-1"/>
        </w:rPr>
        <w:t xml:space="preserve"> </w:t>
      </w:r>
      <w:r>
        <w:t>синапс.</w:t>
      </w:r>
    </w:p>
    <w:p w:rsidR="00645170" w:rsidRDefault="00645170">
      <w:pPr>
        <w:pStyle w:val="BodyText"/>
        <w:spacing w:line="360" w:lineRule="auto"/>
        <w:ind w:right="516" w:firstLine="710"/>
        <w:jc w:val="both"/>
      </w:pPr>
      <w:r>
        <w:t>Терминаль нерва содержит большое количество митохондрий и везикул с медиатором ацетилхолином. Между пре- и постсинаптическими мембранами находится пространство, заполненное гелем и называемое синаптической щелью.</w:t>
      </w:r>
    </w:p>
    <w:p w:rsidR="00645170" w:rsidRDefault="00645170">
      <w:pPr>
        <w:pStyle w:val="BodyText"/>
        <w:spacing w:line="360" w:lineRule="auto"/>
        <w:ind w:right="511" w:firstLine="710"/>
        <w:jc w:val="both"/>
      </w:pPr>
      <w:r>
        <w:t>Мембрана концевой пластинки (постсинаптическая мембрана) образует множественные складки. На постсинаптической мембране находятся н- холинорецепторы. Постсинаптическая мембрана в покое поляризована. Разница потенциалов наружной и внутренней поверхности мембраны (потенциал покоя) составляет 90 мВ.</w:t>
      </w:r>
    </w:p>
    <w:p w:rsidR="00645170" w:rsidRDefault="00645170">
      <w:pPr>
        <w:pStyle w:val="BodyText"/>
        <w:spacing w:line="360" w:lineRule="auto"/>
        <w:ind w:right="514" w:firstLine="710"/>
        <w:jc w:val="both"/>
      </w:pPr>
      <w:r>
        <w:t>Процесс нейро-мышечной передачи выглядит следующим образом. Приходящее по аксону возбуждение в виде потенциала действия активирует кальциевые каналы, способствуя вхождению кальция внутрь нервного волокна. Повышение концентрации кальция внутри терминали нерва приводит к слиянию везикулярной мембраны с мембраной нервного окончания и выбросу ацетилхолина из везикул в синаптическую щель. Далее ацетилхолин связывается с холинорецепторами постсинаптической мембраны, что приводит к открытию ионных каналов и переходу по градиенту концентрации Na и Ca внутрь клетки и выходу К из клетки. Быстрое перемещение Na внутрь клетки вызывает деполяризацию мембраны (за счет уменьшения отрицательного заряда внутренней поврехности мембраны), а возникший потенциал концевой пластинки при определенном количестве связанных с ацетилхолином рецепторов достигает такой величины, что распространяется на соседние участки мышечного волокна в виде потенциала действия, приводя к сокращению мышцы.</w:t>
      </w:r>
    </w:p>
    <w:p w:rsidR="00645170" w:rsidRDefault="00645170">
      <w:pPr>
        <w:pStyle w:val="BodyText"/>
        <w:spacing w:before="1" w:line="362" w:lineRule="auto"/>
        <w:ind w:right="514" w:firstLine="710"/>
        <w:jc w:val="both"/>
      </w:pPr>
      <w:r>
        <w:t>Ацетилхолин же быстро гидролизуется специфическим ферментом ацетилхолинэстеразой на холин и уксусную кислоту. Молекулы фермента</w:t>
      </w:r>
    </w:p>
    <w:p w:rsidR="00645170" w:rsidRDefault="00645170">
      <w:pPr>
        <w:spacing w:line="362" w:lineRule="auto"/>
        <w:jc w:val="both"/>
        <w:sectPr w:rsidR="00645170">
          <w:headerReference w:type="default" r:id="rId16"/>
          <w:footerReference w:type="default" r:id="rId17"/>
          <w:pgSz w:w="11910" w:h="16840"/>
          <w:pgMar w:top="1040" w:right="340" w:bottom="1140" w:left="1340" w:header="714" w:footer="959" w:gutter="0"/>
          <w:pgNumType w:start="6"/>
          <w:cols w:space="720"/>
        </w:sectPr>
      </w:pPr>
    </w:p>
    <w:p w:rsidR="00645170" w:rsidRDefault="00645170">
      <w:pPr>
        <w:pStyle w:val="BodyText"/>
        <w:spacing w:before="106" w:line="357" w:lineRule="auto"/>
        <w:ind w:right="517"/>
        <w:jc w:val="both"/>
      </w:pPr>
      <w:r>
        <w:t>фиксированы в концевой пластинке в непосредственой близости от холинорецепторов.</w:t>
      </w:r>
    </w:p>
    <w:p w:rsidR="00645170" w:rsidRDefault="00645170">
      <w:pPr>
        <w:pStyle w:val="BodyText"/>
        <w:spacing w:before="5" w:line="360" w:lineRule="auto"/>
        <w:ind w:right="517" w:firstLine="710"/>
        <w:jc w:val="both"/>
      </w:pPr>
      <w:r>
        <w:t>Освобожденная от ацетилхолина концевая пластинка переходит в свое прежнее состояние. Каналы закрываются, электролиты возвращаются к своим прежним уровням за счет активного транспорта. Мышца расслабляется. После кратковременного рефрактерного периода, во время которого восстанавливается потенциал покоя, мембрана вновь становится готова реагировать на поступление в синаптическую щель очередной порции ацетилхолина, а мышца - реагировать на приходящий потенциал действия сокращением.</w:t>
      </w:r>
    </w:p>
    <w:p w:rsidR="00645170" w:rsidRDefault="00645170">
      <w:pPr>
        <w:pStyle w:val="BodyText"/>
        <w:spacing w:before="2" w:line="357" w:lineRule="auto"/>
        <w:ind w:right="524" w:firstLine="710"/>
        <w:jc w:val="both"/>
      </w:pPr>
      <w:r>
        <w:t>Теперь можно поговорить и о механизме действия разных групп миорелаксантов.</w:t>
      </w:r>
    </w:p>
    <w:p w:rsidR="00645170" w:rsidRDefault="00645170">
      <w:pPr>
        <w:pStyle w:val="BodyText"/>
        <w:spacing w:before="1"/>
        <w:ind w:left="0"/>
        <w:rPr>
          <w:sz w:val="43"/>
        </w:rPr>
      </w:pPr>
    </w:p>
    <w:p w:rsidR="00645170" w:rsidRDefault="00645170">
      <w:pPr>
        <w:pStyle w:val="Heading1"/>
        <w:numPr>
          <w:ilvl w:val="0"/>
          <w:numId w:val="7"/>
        </w:numPr>
        <w:tabs>
          <w:tab w:val="left" w:pos="3198"/>
        </w:tabs>
        <w:ind w:left="3197" w:hanging="279"/>
      </w:pPr>
      <w:bookmarkStart w:id="17" w:name="3._Механизм_действия_миорелаксантов"/>
      <w:bookmarkEnd w:id="17"/>
      <w:r>
        <w:t>Механизм действия</w:t>
      </w:r>
      <w:r>
        <w:rPr>
          <w:spacing w:val="1"/>
        </w:rPr>
        <w:t xml:space="preserve"> </w:t>
      </w:r>
      <w:r>
        <w:t>миорелаксантов</w:t>
      </w:r>
    </w:p>
    <w:p w:rsidR="00645170" w:rsidRDefault="00645170">
      <w:pPr>
        <w:pStyle w:val="BodyText"/>
        <w:ind w:left="0"/>
        <w:rPr>
          <w:b/>
          <w:sz w:val="30"/>
        </w:rPr>
      </w:pPr>
    </w:p>
    <w:p w:rsidR="00645170" w:rsidRDefault="00645170">
      <w:pPr>
        <w:pStyle w:val="BodyText"/>
        <w:spacing w:before="5"/>
        <w:ind w:left="0"/>
        <w:rPr>
          <w:b/>
          <w:sz w:val="25"/>
        </w:rPr>
      </w:pPr>
    </w:p>
    <w:p w:rsidR="00645170" w:rsidRDefault="00645170">
      <w:pPr>
        <w:pStyle w:val="BodyText"/>
        <w:spacing w:before="1"/>
        <w:ind w:left="1070"/>
        <w:jc w:val="both"/>
      </w:pPr>
      <w:r>
        <w:t>А. Недеполяризующие релаксанты.</w:t>
      </w:r>
    </w:p>
    <w:p w:rsidR="00645170" w:rsidRDefault="00645170">
      <w:pPr>
        <w:pStyle w:val="BodyText"/>
        <w:spacing w:before="158" w:line="360" w:lineRule="auto"/>
        <w:ind w:right="512" w:firstLine="710"/>
        <w:jc w:val="both"/>
      </w:pPr>
      <w:r>
        <w:t>В низких дозах они действуют на никотиновые рецепторы как конкурентные антагонисты ацетилхолина. В больших дозах некоторые из препаратов этой группы проникают непосредственно в поры ионных каналов, еще больше ослабляя нейро-мышечную передачу. Кроме того, недеполяризующие миорелаксанты могут блокировать пресинаптические каналы, затрудняя транспорт ацетилхолина из нервных окончаний в синаптическую щель. Важным следствием конкурентности их действия является способность ингибиторов холинэстеразы уменьшать или даже полностью прекращать</w:t>
      </w:r>
      <w:r>
        <w:rPr>
          <w:spacing w:val="-2"/>
        </w:rPr>
        <w:t xml:space="preserve"> </w:t>
      </w:r>
      <w:r>
        <w:t>блокаду.</w:t>
      </w:r>
    </w:p>
    <w:p w:rsidR="00645170" w:rsidRDefault="00645170">
      <w:pPr>
        <w:pStyle w:val="BodyText"/>
        <w:spacing w:before="3"/>
        <w:ind w:left="1070"/>
        <w:jc w:val="both"/>
      </w:pPr>
      <w:r>
        <w:t>Б. Деполяризующие миорелаксанты.</w:t>
      </w:r>
    </w:p>
    <w:p w:rsidR="00645170" w:rsidRDefault="00645170">
      <w:pPr>
        <w:pStyle w:val="BodyText"/>
        <w:spacing w:before="163" w:line="360" w:lineRule="auto"/>
        <w:ind w:right="516" w:firstLine="710"/>
        <w:jc w:val="both"/>
      </w:pPr>
      <w:r>
        <w:t>Действуют в 2 фазы. Первая - деполяризующая, связана с действием сукцинилхолина, аналогичным ацетилхолину, с деполяризацией концевой пластинки. Более того, сукцинилхолин может проникать в ионные каналы, вызывая в них “мерцающие” изменения проводимости.</w:t>
      </w:r>
    </w:p>
    <w:p w:rsidR="00645170" w:rsidRDefault="00645170">
      <w:pPr>
        <w:spacing w:line="360" w:lineRule="auto"/>
        <w:jc w:val="both"/>
        <w:sectPr w:rsidR="00645170">
          <w:headerReference w:type="default" r:id="rId18"/>
          <w:footerReference w:type="default" r:id="rId19"/>
          <w:pgSz w:w="11910" w:h="16840"/>
          <w:pgMar w:top="1040" w:right="340" w:bottom="1140" w:left="1340" w:header="714" w:footer="959" w:gutter="0"/>
          <w:pgNumType w:start="7"/>
          <w:cols w:space="720"/>
        </w:sectPr>
      </w:pPr>
    </w:p>
    <w:p w:rsidR="00645170" w:rsidRDefault="00645170">
      <w:pPr>
        <w:pStyle w:val="BodyText"/>
        <w:spacing w:before="106" w:line="360" w:lineRule="auto"/>
        <w:ind w:right="514" w:firstLine="710"/>
        <w:jc w:val="both"/>
      </w:pPr>
      <w:r>
        <w:t>Для поддержания мышечного сокращения необходимы продолжающееся поступление потенциалов концевой пластинки с формированием серии потенциалов действия на миоците. Для формирования очередного потенциала концевой пластинки она должна сначала реполяризоваться, а затем вновь деполяризоваться. Поскольку сукцинилхолин не гидролизуется в синапсе быстро, рецепторы остаются блокированными, повторные импульсы с концевой пластинки не поступают, мышечное волокно реполяризуется, развивается миорелаксация. Этому же способствует и проникновение препарата непосредственно в</w:t>
      </w:r>
      <w:r>
        <w:rPr>
          <w:spacing w:val="-11"/>
        </w:rPr>
        <w:t xml:space="preserve"> </w:t>
      </w:r>
      <w:r>
        <w:t>каналы.</w:t>
      </w:r>
    </w:p>
    <w:p w:rsidR="00645170" w:rsidRDefault="00645170">
      <w:pPr>
        <w:pStyle w:val="BodyText"/>
        <w:spacing w:line="360" w:lineRule="auto"/>
        <w:ind w:right="513" w:firstLine="710"/>
        <w:jc w:val="both"/>
      </w:pPr>
      <w:r>
        <w:t>Кроме того, существует гипотеза, согласно которой на мембране миоцита вокруг концевой пластинки возникает невозбудимая зона, что препятствует распространению возбуждения даже при поступлении импульсов с холинорецепторов (десенсибилизация, 2-я фаза блока). Это наблюдается при введении большой дозы сукцинилхолина.</w:t>
      </w:r>
    </w:p>
    <w:p w:rsidR="00645170" w:rsidRDefault="00645170">
      <w:pPr>
        <w:pStyle w:val="BodyText"/>
        <w:spacing w:line="360" w:lineRule="auto"/>
        <w:ind w:right="519" w:firstLine="710"/>
        <w:jc w:val="both"/>
      </w:pPr>
      <w:r>
        <w:t>Следует подчеркнуть, что полностью механизм действия миорелаксантов не выяснен до сих пор. Исследования, начатые Г. Гриффитом в 1942 г.,</w:t>
      </w:r>
      <w:r>
        <w:rPr>
          <w:spacing w:val="8"/>
        </w:rPr>
        <w:t xml:space="preserve"> </w:t>
      </w:r>
      <w:r>
        <w:t>продолжаются.</w:t>
      </w:r>
    </w:p>
    <w:p w:rsidR="00645170" w:rsidRDefault="00645170">
      <w:pPr>
        <w:pStyle w:val="BodyText"/>
        <w:spacing w:before="6"/>
        <w:ind w:left="0"/>
        <w:rPr>
          <w:sz w:val="42"/>
        </w:rPr>
      </w:pPr>
    </w:p>
    <w:p w:rsidR="00645170" w:rsidRDefault="00645170">
      <w:pPr>
        <w:pStyle w:val="Heading1"/>
        <w:numPr>
          <w:ilvl w:val="0"/>
          <w:numId w:val="7"/>
        </w:numPr>
        <w:tabs>
          <w:tab w:val="left" w:pos="1926"/>
        </w:tabs>
        <w:spacing w:before="1" w:line="357" w:lineRule="auto"/>
        <w:ind w:left="2707" w:right="1095" w:hanging="1066"/>
      </w:pPr>
      <w:bookmarkStart w:id="18" w:name="4._Влияние_миорелаксантов_на_основные_фу"/>
      <w:bookmarkEnd w:id="18"/>
      <w:r>
        <w:t>Влияние миорелаксантов на основные</w:t>
      </w:r>
      <w:r>
        <w:rPr>
          <w:spacing w:val="-28"/>
        </w:rPr>
        <w:t xml:space="preserve"> </w:t>
      </w:r>
      <w:r>
        <w:t>функциональные системы организма и обмен веществ</w:t>
      </w:r>
    </w:p>
    <w:p w:rsidR="00645170" w:rsidRDefault="00645170">
      <w:pPr>
        <w:pStyle w:val="BodyText"/>
        <w:spacing w:before="9"/>
        <w:ind w:left="0"/>
        <w:rPr>
          <w:b/>
          <w:sz w:val="41"/>
        </w:rPr>
      </w:pPr>
    </w:p>
    <w:p w:rsidR="00645170" w:rsidRDefault="00645170">
      <w:pPr>
        <w:pStyle w:val="BodyText"/>
        <w:spacing w:line="360" w:lineRule="auto"/>
        <w:ind w:right="524" w:firstLine="710"/>
        <w:jc w:val="both"/>
      </w:pPr>
      <w:r>
        <w:t>Как указывалось выше, миорелаксанты в силу своей химической структуры неспособны проникать в ЦНС, поэтому влияния на ее функции не оказывают. Необходимо еще раз подчеркнуть, что препараты данной группы не вызывают ни анестезию, ни анальгезию, ни сон.</w:t>
      </w:r>
    </w:p>
    <w:p w:rsidR="00645170" w:rsidRDefault="00645170">
      <w:pPr>
        <w:pStyle w:val="BodyText"/>
        <w:spacing w:before="3" w:line="360" w:lineRule="auto"/>
        <w:ind w:right="511" w:firstLine="710"/>
        <w:jc w:val="both"/>
      </w:pPr>
      <w:r>
        <w:t>На сердечно-сосудистую систему миорелаксанты действуют по- разному. Так векуроний, пипекуроний, доксакурий и рокуроний практически не вызывают изменений ее функций.</w:t>
      </w:r>
    </w:p>
    <w:p w:rsidR="00645170" w:rsidRDefault="00645170">
      <w:pPr>
        <w:pStyle w:val="BodyText"/>
        <w:spacing w:before="2" w:line="357" w:lineRule="auto"/>
        <w:ind w:right="521" w:firstLine="710"/>
        <w:jc w:val="both"/>
      </w:pPr>
      <w:r>
        <w:t>Тубокурарин и в меньшей степени метокурин, мивакурий и атракурий могут вызывать гипотензию. Что обусловлено, по большей части,</w:t>
      </w:r>
    </w:p>
    <w:p w:rsidR="00645170" w:rsidRDefault="00645170">
      <w:pPr>
        <w:spacing w:line="357" w:lineRule="auto"/>
        <w:jc w:val="both"/>
        <w:sectPr w:rsidR="00645170">
          <w:headerReference w:type="default" r:id="rId20"/>
          <w:footerReference w:type="default" r:id="rId21"/>
          <w:pgSz w:w="11910" w:h="16840"/>
          <w:pgMar w:top="1040" w:right="340" w:bottom="1140" w:left="1340" w:header="714" w:footer="959" w:gutter="0"/>
          <w:pgNumType w:start="8"/>
          <w:cols w:space="720"/>
        </w:sectPr>
      </w:pPr>
    </w:p>
    <w:p w:rsidR="00645170" w:rsidRDefault="00645170">
      <w:pPr>
        <w:pStyle w:val="BodyText"/>
        <w:spacing w:before="106" w:line="360" w:lineRule="auto"/>
        <w:ind w:right="514"/>
        <w:jc w:val="both"/>
      </w:pPr>
      <w:r>
        <w:t>высвобождением гистамина (премедикация антигистаминными препаратами уменьшает этот эффект), а при использовании больших доз – ганглионарной блокадой.</w:t>
      </w:r>
    </w:p>
    <w:p w:rsidR="00645170" w:rsidRDefault="00645170">
      <w:pPr>
        <w:pStyle w:val="BodyText"/>
        <w:spacing w:line="360" w:lineRule="auto"/>
        <w:ind w:right="511" w:firstLine="710"/>
        <w:jc w:val="both"/>
      </w:pPr>
      <w:r>
        <w:t>Введение панкурония приводит к умеренному увеличению ЧСС, сердечного выброса, незначительному повышению ОПС. Это является следствием блокады м-холинорецепторов сердца (вагусная блокада) и высвобождением норадреналина из адренергических нервных окончаний и снижением его реаптейка. Аналогичным образом влияет на сердечно- сосудистую систему и галламин.</w:t>
      </w:r>
    </w:p>
    <w:p w:rsidR="00645170" w:rsidRDefault="00645170">
      <w:pPr>
        <w:pStyle w:val="BodyText"/>
        <w:ind w:left="1070"/>
        <w:jc w:val="both"/>
      </w:pPr>
      <w:r>
        <w:t>Вышесказанное суммировано в таблице и на слайде.</w:t>
      </w:r>
    </w:p>
    <w:p w:rsidR="00645170" w:rsidRDefault="00645170">
      <w:pPr>
        <w:pStyle w:val="BodyText"/>
        <w:ind w:left="0"/>
        <w:rPr>
          <w:sz w:val="30"/>
        </w:rPr>
      </w:pPr>
    </w:p>
    <w:p w:rsidR="00645170" w:rsidRDefault="00645170">
      <w:pPr>
        <w:pStyle w:val="BodyText"/>
        <w:spacing w:before="9"/>
        <w:ind w:left="0"/>
        <w:rPr>
          <w:sz w:val="25"/>
        </w:rPr>
      </w:pPr>
    </w:p>
    <w:p w:rsidR="00645170" w:rsidRDefault="00645170">
      <w:pPr>
        <w:pStyle w:val="BodyText"/>
        <w:ind w:left="1070"/>
        <w:jc w:val="both"/>
      </w:pPr>
      <w:r>
        <w:t>Таблица 3</w:t>
      </w:r>
    </w:p>
    <w:p w:rsidR="00645170" w:rsidRDefault="00645170">
      <w:pPr>
        <w:pStyle w:val="BodyText"/>
        <w:spacing w:before="163" w:line="362" w:lineRule="auto"/>
        <w:ind w:right="514" w:firstLine="710"/>
        <w:jc w:val="both"/>
      </w:pPr>
      <w:r>
        <w:t>Влияние миорелаксантов на вегетативные ганглии, м-холинорецепторы сердца и высвобождение гистамина</w:t>
      </w: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96"/>
        <w:gridCol w:w="2218"/>
        <w:gridCol w:w="2357"/>
        <w:gridCol w:w="2602"/>
      </w:tblGrid>
      <w:tr w:rsidR="00645170">
        <w:trPr>
          <w:trHeight w:val="690"/>
        </w:trPr>
        <w:tc>
          <w:tcPr>
            <w:tcW w:w="2396" w:type="dxa"/>
          </w:tcPr>
          <w:p w:rsidR="00645170" w:rsidRDefault="00645170">
            <w:pPr>
              <w:pStyle w:val="TableParagraph"/>
              <w:rPr>
                <w:sz w:val="20"/>
              </w:rPr>
            </w:pPr>
            <w:r>
              <w:rPr>
                <w:sz w:val="20"/>
              </w:rPr>
              <w:t>Препарат</w:t>
            </w:r>
          </w:p>
        </w:tc>
        <w:tc>
          <w:tcPr>
            <w:tcW w:w="2218" w:type="dxa"/>
          </w:tcPr>
          <w:p w:rsidR="00645170" w:rsidRDefault="00645170">
            <w:pPr>
              <w:pStyle w:val="TableParagraph"/>
              <w:rPr>
                <w:sz w:val="20"/>
              </w:rPr>
            </w:pPr>
            <w:r>
              <w:rPr>
                <w:sz w:val="20"/>
              </w:rPr>
              <w:t>Высвобождение</w:t>
            </w:r>
          </w:p>
          <w:p w:rsidR="00645170" w:rsidRDefault="00645170">
            <w:pPr>
              <w:pStyle w:val="TableParagraph"/>
              <w:spacing w:before="115" w:line="240" w:lineRule="auto"/>
              <w:rPr>
                <w:sz w:val="20"/>
              </w:rPr>
            </w:pPr>
            <w:r>
              <w:rPr>
                <w:sz w:val="20"/>
              </w:rPr>
              <w:t>гистамина</w:t>
            </w:r>
          </w:p>
        </w:tc>
        <w:tc>
          <w:tcPr>
            <w:tcW w:w="2357" w:type="dxa"/>
          </w:tcPr>
          <w:p w:rsidR="00645170" w:rsidRDefault="00645170">
            <w:pPr>
              <w:pStyle w:val="TableParagraph"/>
              <w:rPr>
                <w:sz w:val="20"/>
              </w:rPr>
            </w:pPr>
            <w:r>
              <w:rPr>
                <w:sz w:val="20"/>
              </w:rPr>
              <w:t>Действие</w:t>
            </w:r>
          </w:p>
          <w:p w:rsidR="00645170" w:rsidRDefault="00645170">
            <w:pPr>
              <w:pStyle w:val="TableParagraph"/>
              <w:spacing w:before="115" w:line="240" w:lineRule="auto"/>
              <w:rPr>
                <w:sz w:val="20"/>
              </w:rPr>
            </w:pPr>
            <w:r>
              <w:rPr>
                <w:sz w:val="20"/>
              </w:rPr>
              <w:t>на вегетативные ганглии</w:t>
            </w:r>
          </w:p>
        </w:tc>
        <w:tc>
          <w:tcPr>
            <w:tcW w:w="2602" w:type="dxa"/>
          </w:tcPr>
          <w:p w:rsidR="00645170" w:rsidRDefault="00645170">
            <w:pPr>
              <w:pStyle w:val="TableParagraph"/>
              <w:ind w:left="111"/>
              <w:rPr>
                <w:sz w:val="20"/>
              </w:rPr>
            </w:pPr>
            <w:r>
              <w:rPr>
                <w:sz w:val="20"/>
              </w:rPr>
              <w:t>Действие на</w:t>
            </w:r>
          </w:p>
          <w:p w:rsidR="00645170" w:rsidRDefault="00645170">
            <w:pPr>
              <w:pStyle w:val="TableParagraph"/>
              <w:spacing w:before="115" w:line="240" w:lineRule="auto"/>
              <w:ind w:left="111"/>
              <w:rPr>
                <w:sz w:val="20"/>
              </w:rPr>
            </w:pPr>
            <w:r>
              <w:rPr>
                <w:sz w:val="20"/>
              </w:rPr>
              <w:t>м-холинорецепторы сердца</w:t>
            </w:r>
          </w:p>
        </w:tc>
      </w:tr>
      <w:tr w:rsidR="00645170">
        <w:trPr>
          <w:trHeight w:val="345"/>
        </w:trPr>
        <w:tc>
          <w:tcPr>
            <w:tcW w:w="2396" w:type="dxa"/>
          </w:tcPr>
          <w:p w:rsidR="00645170" w:rsidRDefault="00645170">
            <w:pPr>
              <w:pStyle w:val="TableParagraph"/>
              <w:rPr>
                <w:sz w:val="20"/>
              </w:rPr>
            </w:pPr>
            <w:r>
              <w:rPr>
                <w:sz w:val="20"/>
              </w:rPr>
              <w:t>Атракурий</w:t>
            </w:r>
          </w:p>
        </w:tc>
        <w:tc>
          <w:tcPr>
            <w:tcW w:w="2218" w:type="dxa"/>
          </w:tcPr>
          <w:p w:rsidR="00645170" w:rsidRDefault="00645170">
            <w:pPr>
              <w:pStyle w:val="TableParagraph"/>
              <w:rPr>
                <w:sz w:val="20"/>
              </w:rPr>
            </w:pPr>
            <w:r>
              <w:rPr>
                <w:sz w:val="20"/>
              </w:rPr>
              <w:t>+</w:t>
            </w:r>
          </w:p>
        </w:tc>
        <w:tc>
          <w:tcPr>
            <w:tcW w:w="2357" w:type="dxa"/>
          </w:tcPr>
          <w:p w:rsidR="00645170" w:rsidRDefault="00645170">
            <w:pPr>
              <w:pStyle w:val="TableParagraph"/>
              <w:rPr>
                <w:sz w:val="20"/>
              </w:rPr>
            </w:pPr>
            <w:r>
              <w:rPr>
                <w:sz w:val="20"/>
              </w:rPr>
              <w:t>нет</w:t>
            </w:r>
          </w:p>
        </w:tc>
        <w:tc>
          <w:tcPr>
            <w:tcW w:w="2602" w:type="dxa"/>
          </w:tcPr>
          <w:p w:rsidR="00645170" w:rsidRDefault="00645170">
            <w:pPr>
              <w:pStyle w:val="TableParagraph"/>
              <w:ind w:left="111"/>
              <w:rPr>
                <w:sz w:val="20"/>
              </w:rPr>
            </w:pPr>
            <w:r>
              <w:rPr>
                <w:sz w:val="20"/>
              </w:rPr>
              <w:t>нет</w:t>
            </w:r>
          </w:p>
        </w:tc>
      </w:tr>
      <w:tr w:rsidR="00645170">
        <w:trPr>
          <w:trHeight w:val="345"/>
        </w:trPr>
        <w:tc>
          <w:tcPr>
            <w:tcW w:w="2396" w:type="dxa"/>
          </w:tcPr>
          <w:p w:rsidR="00645170" w:rsidRDefault="00645170">
            <w:pPr>
              <w:pStyle w:val="TableParagraph"/>
              <w:rPr>
                <w:sz w:val="20"/>
              </w:rPr>
            </w:pPr>
            <w:r>
              <w:rPr>
                <w:sz w:val="20"/>
              </w:rPr>
              <w:t>Доксакурий</w:t>
            </w:r>
          </w:p>
        </w:tc>
        <w:tc>
          <w:tcPr>
            <w:tcW w:w="2218" w:type="dxa"/>
          </w:tcPr>
          <w:p w:rsidR="00645170" w:rsidRDefault="00645170">
            <w:pPr>
              <w:pStyle w:val="TableParagraph"/>
              <w:rPr>
                <w:sz w:val="20"/>
              </w:rPr>
            </w:pPr>
            <w:r>
              <w:rPr>
                <w:sz w:val="20"/>
              </w:rPr>
              <w:t>нет</w:t>
            </w:r>
          </w:p>
        </w:tc>
        <w:tc>
          <w:tcPr>
            <w:tcW w:w="2357" w:type="dxa"/>
          </w:tcPr>
          <w:p w:rsidR="00645170" w:rsidRDefault="00645170">
            <w:pPr>
              <w:pStyle w:val="TableParagraph"/>
              <w:rPr>
                <w:sz w:val="20"/>
              </w:rPr>
            </w:pPr>
            <w:r>
              <w:rPr>
                <w:sz w:val="20"/>
              </w:rPr>
              <w:t>нет</w:t>
            </w:r>
          </w:p>
        </w:tc>
        <w:tc>
          <w:tcPr>
            <w:tcW w:w="2602" w:type="dxa"/>
          </w:tcPr>
          <w:p w:rsidR="00645170" w:rsidRDefault="00645170">
            <w:pPr>
              <w:pStyle w:val="TableParagraph"/>
              <w:ind w:left="111"/>
              <w:rPr>
                <w:sz w:val="20"/>
              </w:rPr>
            </w:pPr>
            <w:r>
              <w:rPr>
                <w:sz w:val="20"/>
              </w:rPr>
              <w:t>нет</w:t>
            </w:r>
          </w:p>
        </w:tc>
      </w:tr>
      <w:tr w:rsidR="00645170">
        <w:trPr>
          <w:trHeight w:val="345"/>
        </w:trPr>
        <w:tc>
          <w:tcPr>
            <w:tcW w:w="2396" w:type="dxa"/>
          </w:tcPr>
          <w:p w:rsidR="00645170" w:rsidRDefault="00645170">
            <w:pPr>
              <w:pStyle w:val="TableParagraph"/>
              <w:rPr>
                <w:sz w:val="20"/>
              </w:rPr>
            </w:pPr>
            <w:r>
              <w:rPr>
                <w:sz w:val="20"/>
              </w:rPr>
              <w:t>Метокурин</w:t>
            </w:r>
          </w:p>
        </w:tc>
        <w:tc>
          <w:tcPr>
            <w:tcW w:w="2218" w:type="dxa"/>
          </w:tcPr>
          <w:p w:rsidR="00645170" w:rsidRDefault="00645170">
            <w:pPr>
              <w:pStyle w:val="TableParagraph"/>
              <w:rPr>
                <w:sz w:val="20"/>
              </w:rPr>
            </w:pPr>
            <w:r>
              <w:rPr>
                <w:sz w:val="20"/>
              </w:rPr>
              <w:t>+</w:t>
            </w:r>
          </w:p>
        </w:tc>
        <w:tc>
          <w:tcPr>
            <w:tcW w:w="2357" w:type="dxa"/>
          </w:tcPr>
          <w:p w:rsidR="00645170" w:rsidRDefault="00645170">
            <w:pPr>
              <w:pStyle w:val="TableParagraph"/>
              <w:rPr>
                <w:sz w:val="20"/>
              </w:rPr>
            </w:pPr>
            <w:r>
              <w:rPr>
                <w:sz w:val="20"/>
              </w:rPr>
              <w:t>слабая блокада</w:t>
            </w:r>
          </w:p>
        </w:tc>
        <w:tc>
          <w:tcPr>
            <w:tcW w:w="2602" w:type="dxa"/>
          </w:tcPr>
          <w:p w:rsidR="00645170" w:rsidRDefault="00645170">
            <w:pPr>
              <w:pStyle w:val="TableParagraph"/>
              <w:ind w:left="111"/>
              <w:rPr>
                <w:sz w:val="20"/>
              </w:rPr>
            </w:pPr>
            <w:r>
              <w:rPr>
                <w:sz w:val="20"/>
              </w:rPr>
              <w:t>нет</w:t>
            </w:r>
          </w:p>
        </w:tc>
      </w:tr>
      <w:tr w:rsidR="00645170">
        <w:trPr>
          <w:trHeight w:val="345"/>
        </w:trPr>
        <w:tc>
          <w:tcPr>
            <w:tcW w:w="2396" w:type="dxa"/>
          </w:tcPr>
          <w:p w:rsidR="00645170" w:rsidRDefault="00645170">
            <w:pPr>
              <w:pStyle w:val="TableParagraph"/>
              <w:rPr>
                <w:sz w:val="20"/>
              </w:rPr>
            </w:pPr>
            <w:r>
              <w:rPr>
                <w:sz w:val="20"/>
              </w:rPr>
              <w:t>Мивакурий</w:t>
            </w:r>
          </w:p>
        </w:tc>
        <w:tc>
          <w:tcPr>
            <w:tcW w:w="2218" w:type="dxa"/>
          </w:tcPr>
          <w:p w:rsidR="00645170" w:rsidRDefault="00645170">
            <w:pPr>
              <w:pStyle w:val="TableParagraph"/>
              <w:rPr>
                <w:sz w:val="20"/>
              </w:rPr>
            </w:pPr>
            <w:r>
              <w:rPr>
                <w:sz w:val="20"/>
              </w:rPr>
              <w:t>+</w:t>
            </w:r>
          </w:p>
        </w:tc>
        <w:tc>
          <w:tcPr>
            <w:tcW w:w="2357" w:type="dxa"/>
          </w:tcPr>
          <w:p w:rsidR="00645170" w:rsidRDefault="00645170">
            <w:pPr>
              <w:pStyle w:val="TableParagraph"/>
              <w:rPr>
                <w:sz w:val="20"/>
              </w:rPr>
            </w:pPr>
            <w:r>
              <w:rPr>
                <w:sz w:val="20"/>
              </w:rPr>
              <w:t>нет</w:t>
            </w:r>
          </w:p>
        </w:tc>
        <w:tc>
          <w:tcPr>
            <w:tcW w:w="2602" w:type="dxa"/>
          </w:tcPr>
          <w:p w:rsidR="00645170" w:rsidRDefault="00645170">
            <w:pPr>
              <w:pStyle w:val="TableParagraph"/>
              <w:ind w:left="111"/>
              <w:rPr>
                <w:sz w:val="20"/>
              </w:rPr>
            </w:pPr>
            <w:r>
              <w:rPr>
                <w:sz w:val="20"/>
              </w:rPr>
              <w:t>нет</w:t>
            </w:r>
          </w:p>
        </w:tc>
      </w:tr>
      <w:tr w:rsidR="00645170">
        <w:trPr>
          <w:trHeight w:val="345"/>
        </w:trPr>
        <w:tc>
          <w:tcPr>
            <w:tcW w:w="2396" w:type="dxa"/>
          </w:tcPr>
          <w:p w:rsidR="00645170" w:rsidRDefault="00645170">
            <w:pPr>
              <w:pStyle w:val="TableParagraph"/>
              <w:rPr>
                <w:sz w:val="20"/>
              </w:rPr>
            </w:pPr>
            <w:r>
              <w:rPr>
                <w:sz w:val="20"/>
              </w:rPr>
              <w:t>Тубокурарин</w:t>
            </w:r>
          </w:p>
        </w:tc>
        <w:tc>
          <w:tcPr>
            <w:tcW w:w="2218" w:type="dxa"/>
          </w:tcPr>
          <w:p w:rsidR="00645170" w:rsidRDefault="00645170">
            <w:pPr>
              <w:pStyle w:val="TableParagraph"/>
              <w:rPr>
                <w:sz w:val="20"/>
              </w:rPr>
            </w:pPr>
            <w:r>
              <w:rPr>
                <w:sz w:val="20"/>
              </w:rPr>
              <w:t>++</w:t>
            </w:r>
          </w:p>
        </w:tc>
        <w:tc>
          <w:tcPr>
            <w:tcW w:w="2357" w:type="dxa"/>
          </w:tcPr>
          <w:p w:rsidR="00645170" w:rsidRDefault="00645170">
            <w:pPr>
              <w:pStyle w:val="TableParagraph"/>
              <w:rPr>
                <w:sz w:val="20"/>
              </w:rPr>
            </w:pPr>
            <w:r>
              <w:rPr>
                <w:sz w:val="20"/>
              </w:rPr>
              <w:t>слабая блокада</w:t>
            </w:r>
          </w:p>
        </w:tc>
        <w:tc>
          <w:tcPr>
            <w:tcW w:w="2602" w:type="dxa"/>
          </w:tcPr>
          <w:p w:rsidR="00645170" w:rsidRDefault="00645170">
            <w:pPr>
              <w:pStyle w:val="TableParagraph"/>
              <w:ind w:left="111"/>
              <w:rPr>
                <w:sz w:val="20"/>
              </w:rPr>
            </w:pPr>
            <w:r>
              <w:rPr>
                <w:sz w:val="20"/>
              </w:rPr>
              <w:t>нет</w:t>
            </w:r>
          </w:p>
        </w:tc>
      </w:tr>
      <w:tr w:rsidR="00645170">
        <w:trPr>
          <w:trHeight w:val="345"/>
        </w:trPr>
        <w:tc>
          <w:tcPr>
            <w:tcW w:w="2396" w:type="dxa"/>
          </w:tcPr>
          <w:p w:rsidR="00645170" w:rsidRDefault="00645170">
            <w:pPr>
              <w:pStyle w:val="TableParagraph"/>
              <w:rPr>
                <w:sz w:val="20"/>
              </w:rPr>
            </w:pPr>
            <w:r>
              <w:rPr>
                <w:sz w:val="20"/>
              </w:rPr>
              <w:t>Панкуроний</w:t>
            </w:r>
          </w:p>
        </w:tc>
        <w:tc>
          <w:tcPr>
            <w:tcW w:w="2218" w:type="dxa"/>
          </w:tcPr>
          <w:p w:rsidR="00645170" w:rsidRDefault="00645170">
            <w:pPr>
              <w:pStyle w:val="TableParagraph"/>
              <w:rPr>
                <w:sz w:val="20"/>
              </w:rPr>
            </w:pPr>
            <w:r>
              <w:rPr>
                <w:sz w:val="20"/>
              </w:rPr>
              <w:t>нет</w:t>
            </w:r>
          </w:p>
        </w:tc>
        <w:tc>
          <w:tcPr>
            <w:tcW w:w="2357" w:type="dxa"/>
          </w:tcPr>
          <w:p w:rsidR="00645170" w:rsidRDefault="00645170">
            <w:pPr>
              <w:pStyle w:val="TableParagraph"/>
              <w:rPr>
                <w:sz w:val="20"/>
              </w:rPr>
            </w:pPr>
            <w:r>
              <w:rPr>
                <w:sz w:val="20"/>
              </w:rPr>
              <w:t>нет</w:t>
            </w:r>
          </w:p>
        </w:tc>
        <w:tc>
          <w:tcPr>
            <w:tcW w:w="2602" w:type="dxa"/>
          </w:tcPr>
          <w:p w:rsidR="00645170" w:rsidRDefault="00645170">
            <w:pPr>
              <w:pStyle w:val="TableParagraph"/>
              <w:ind w:left="111"/>
              <w:rPr>
                <w:sz w:val="20"/>
              </w:rPr>
            </w:pPr>
            <w:r>
              <w:rPr>
                <w:sz w:val="20"/>
              </w:rPr>
              <w:t>умеренная блокада</w:t>
            </w:r>
          </w:p>
        </w:tc>
      </w:tr>
      <w:tr w:rsidR="00645170">
        <w:trPr>
          <w:trHeight w:val="345"/>
        </w:trPr>
        <w:tc>
          <w:tcPr>
            <w:tcW w:w="2396" w:type="dxa"/>
          </w:tcPr>
          <w:p w:rsidR="00645170" w:rsidRDefault="00645170">
            <w:pPr>
              <w:pStyle w:val="TableParagraph"/>
              <w:spacing w:line="226" w:lineRule="exact"/>
              <w:rPr>
                <w:sz w:val="20"/>
              </w:rPr>
            </w:pPr>
            <w:r>
              <w:rPr>
                <w:sz w:val="20"/>
              </w:rPr>
              <w:t>Пипекуроний</w:t>
            </w:r>
          </w:p>
        </w:tc>
        <w:tc>
          <w:tcPr>
            <w:tcW w:w="2218" w:type="dxa"/>
          </w:tcPr>
          <w:p w:rsidR="00645170" w:rsidRDefault="00645170">
            <w:pPr>
              <w:pStyle w:val="TableParagraph"/>
              <w:spacing w:line="226" w:lineRule="exact"/>
              <w:rPr>
                <w:sz w:val="20"/>
              </w:rPr>
            </w:pPr>
            <w:r>
              <w:rPr>
                <w:sz w:val="20"/>
              </w:rPr>
              <w:t>нет</w:t>
            </w:r>
          </w:p>
        </w:tc>
        <w:tc>
          <w:tcPr>
            <w:tcW w:w="2357" w:type="dxa"/>
          </w:tcPr>
          <w:p w:rsidR="00645170" w:rsidRDefault="00645170">
            <w:pPr>
              <w:pStyle w:val="TableParagraph"/>
              <w:spacing w:line="226" w:lineRule="exact"/>
              <w:rPr>
                <w:sz w:val="20"/>
              </w:rPr>
            </w:pPr>
            <w:r>
              <w:rPr>
                <w:sz w:val="20"/>
              </w:rPr>
              <w:t>нет</w:t>
            </w:r>
          </w:p>
        </w:tc>
        <w:tc>
          <w:tcPr>
            <w:tcW w:w="2602" w:type="dxa"/>
          </w:tcPr>
          <w:p w:rsidR="00645170" w:rsidRDefault="00645170">
            <w:pPr>
              <w:pStyle w:val="TableParagraph"/>
              <w:spacing w:line="226" w:lineRule="exact"/>
              <w:ind w:left="111"/>
              <w:rPr>
                <w:sz w:val="20"/>
              </w:rPr>
            </w:pPr>
            <w:r>
              <w:rPr>
                <w:sz w:val="20"/>
              </w:rPr>
              <w:t>нет</w:t>
            </w:r>
          </w:p>
        </w:tc>
      </w:tr>
      <w:tr w:rsidR="00645170">
        <w:trPr>
          <w:trHeight w:val="345"/>
        </w:trPr>
        <w:tc>
          <w:tcPr>
            <w:tcW w:w="2396" w:type="dxa"/>
          </w:tcPr>
          <w:p w:rsidR="00645170" w:rsidRDefault="00645170">
            <w:pPr>
              <w:pStyle w:val="TableParagraph"/>
              <w:rPr>
                <w:sz w:val="20"/>
              </w:rPr>
            </w:pPr>
            <w:r>
              <w:rPr>
                <w:sz w:val="20"/>
              </w:rPr>
              <w:t>Векуроний</w:t>
            </w:r>
          </w:p>
        </w:tc>
        <w:tc>
          <w:tcPr>
            <w:tcW w:w="2218" w:type="dxa"/>
          </w:tcPr>
          <w:p w:rsidR="00645170" w:rsidRDefault="00645170">
            <w:pPr>
              <w:pStyle w:val="TableParagraph"/>
              <w:rPr>
                <w:sz w:val="20"/>
              </w:rPr>
            </w:pPr>
            <w:r>
              <w:rPr>
                <w:sz w:val="20"/>
              </w:rPr>
              <w:t>нет</w:t>
            </w:r>
          </w:p>
        </w:tc>
        <w:tc>
          <w:tcPr>
            <w:tcW w:w="2357" w:type="dxa"/>
          </w:tcPr>
          <w:p w:rsidR="00645170" w:rsidRDefault="00645170">
            <w:pPr>
              <w:pStyle w:val="TableParagraph"/>
              <w:rPr>
                <w:sz w:val="20"/>
              </w:rPr>
            </w:pPr>
            <w:r>
              <w:rPr>
                <w:sz w:val="20"/>
              </w:rPr>
              <w:t>нет</w:t>
            </w:r>
          </w:p>
        </w:tc>
        <w:tc>
          <w:tcPr>
            <w:tcW w:w="2602" w:type="dxa"/>
          </w:tcPr>
          <w:p w:rsidR="00645170" w:rsidRDefault="00645170">
            <w:pPr>
              <w:pStyle w:val="TableParagraph"/>
              <w:ind w:left="111"/>
              <w:rPr>
                <w:sz w:val="20"/>
              </w:rPr>
            </w:pPr>
            <w:r>
              <w:rPr>
                <w:sz w:val="20"/>
              </w:rPr>
              <w:t>нет</w:t>
            </w:r>
          </w:p>
        </w:tc>
      </w:tr>
      <w:tr w:rsidR="00645170">
        <w:trPr>
          <w:trHeight w:val="345"/>
        </w:trPr>
        <w:tc>
          <w:tcPr>
            <w:tcW w:w="2396" w:type="dxa"/>
          </w:tcPr>
          <w:p w:rsidR="00645170" w:rsidRDefault="00645170">
            <w:pPr>
              <w:pStyle w:val="TableParagraph"/>
              <w:rPr>
                <w:sz w:val="20"/>
              </w:rPr>
            </w:pPr>
            <w:r>
              <w:rPr>
                <w:sz w:val="20"/>
              </w:rPr>
              <w:t>Рокуроний</w:t>
            </w:r>
          </w:p>
        </w:tc>
        <w:tc>
          <w:tcPr>
            <w:tcW w:w="2218" w:type="dxa"/>
          </w:tcPr>
          <w:p w:rsidR="00645170" w:rsidRDefault="00645170">
            <w:pPr>
              <w:pStyle w:val="TableParagraph"/>
              <w:rPr>
                <w:sz w:val="20"/>
              </w:rPr>
            </w:pPr>
            <w:r>
              <w:rPr>
                <w:sz w:val="20"/>
              </w:rPr>
              <w:t>нет</w:t>
            </w:r>
          </w:p>
        </w:tc>
        <w:tc>
          <w:tcPr>
            <w:tcW w:w="2357" w:type="dxa"/>
          </w:tcPr>
          <w:p w:rsidR="00645170" w:rsidRDefault="00645170">
            <w:pPr>
              <w:pStyle w:val="TableParagraph"/>
              <w:rPr>
                <w:sz w:val="20"/>
              </w:rPr>
            </w:pPr>
            <w:r>
              <w:rPr>
                <w:sz w:val="20"/>
              </w:rPr>
              <w:t>нет</w:t>
            </w:r>
          </w:p>
        </w:tc>
        <w:tc>
          <w:tcPr>
            <w:tcW w:w="2602" w:type="dxa"/>
          </w:tcPr>
          <w:p w:rsidR="00645170" w:rsidRDefault="00645170">
            <w:pPr>
              <w:pStyle w:val="TableParagraph"/>
              <w:ind w:left="111"/>
              <w:rPr>
                <w:sz w:val="20"/>
              </w:rPr>
            </w:pPr>
            <w:r>
              <w:rPr>
                <w:sz w:val="20"/>
              </w:rPr>
              <w:t>нет</w:t>
            </w:r>
          </w:p>
        </w:tc>
      </w:tr>
      <w:tr w:rsidR="00645170">
        <w:trPr>
          <w:trHeight w:val="345"/>
        </w:trPr>
        <w:tc>
          <w:tcPr>
            <w:tcW w:w="2396" w:type="dxa"/>
          </w:tcPr>
          <w:p w:rsidR="00645170" w:rsidRDefault="00645170">
            <w:pPr>
              <w:pStyle w:val="TableParagraph"/>
              <w:rPr>
                <w:sz w:val="20"/>
              </w:rPr>
            </w:pPr>
            <w:r>
              <w:rPr>
                <w:sz w:val="20"/>
              </w:rPr>
              <w:t>Галламин</w:t>
            </w:r>
          </w:p>
        </w:tc>
        <w:tc>
          <w:tcPr>
            <w:tcW w:w="2218" w:type="dxa"/>
          </w:tcPr>
          <w:p w:rsidR="00645170" w:rsidRDefault="00645170">
            <w:pPr>
              <w:pStyle w:val="TableParagraph"/>
              <w:rPr>
                <w:sz w:val="20"/>
              </w:rPr>
            </w:pPr>
            <w:r>
              <w:rPr>
                <w:sz w:val="20"/>
              </w:rPr>
              <w:t>нет</w:t>
            </w:r>
          </w:p>
        </w:tc>
        <w:tc>
          <w:tcPr>
            <w:tcW w:w="2357" w:type="dxa"/>
          </w:tcPr>
          <w:p w:rsidR="00645170" w:rsidRDefault="00645170">
            <w:pPr>
              <w:pStyle w:val="TableParagraph"/>
              <w:rPr>
                <w:sz w:val="20"/>
              </w:rPr>
            </w:pPr>
            <w:r>
              <w:rPr>
                <w:sz w:val="20"/>
              </w:rPr>
              <w:t>нет</w:t>
            </w:r>
          </w:p>
        </w:tc>
        <w:tc>
          <w:tcPr>
            <w:tcW w:w="2602" w:type="dxa"/>
          </w:tcPr>
          <w:p w:rsidR="00645170" w:rsidRDefault="00645170">
            <w:pPr>
              <w:pStyle w:val="TableParagraph"/>
              <w:ind w:left="111"/>
              <w:rPr>
                <w:sz w:val="20"/>
              </w:rPr>
            </w:pPr>
            <w:r>
              <w:rPr>
                <w:sz w:val="20"/>
              </w:rPr>
              <w:t>сильная блокада</w:t>
            </w:r>
          </w:p>
        </w:tc>
      </w:tr>
      <w:tr w:rsidR="00645170">
        <w:trPr>
          <w:trHeight w:val="345"/>
        </w:trPr>
        <w:tc>
          <w:tcPr>
            <w:tcW w:w="2396" w:type="dxa"/>
          </w:tcPr>
          <w:p w:rsidR="00645170" w:rsidRDefault="00645170">
            <w:pPr>
              <w:pStyle w:val="TableParagraph"/>
              <w:rPr>
                <w:sz w:val="20"/>
              </w:rPr>
            </w:pPr>
            <w:r>
              <w:rPr>
                <w:sz w:val="20"/>
              </w:rPr>
              <w:t>Сукцинилхолин</w:t>
            </w:r>
          </w:p>
        </w:tc>
        <w:tc>
          <w:tcPr>
            <w:tcW w:w="2218" w:type="dxa"/>
          </w:tcPr>
          <w:p w:rsidR="00645170" w:rsidRDefault="00645170">
            <w:pPr>
              <w:pStyle w:val="TableParagraph"/>
              <w:rPr>
                <w:sz w:val="20"/>
              </w:rPr>
            </w:pPr>
            <w:r>
              <w:rPr>
                <w:sz w:val="20"/>
              </w:rPr>
              <w:t>+</w:t>
            </w:r>
          </w:p>
        </w:tc>
        <w:tc>
          <w:tcPr>
            <w:tcW w:w="2357" w:type="dxa"/>
          </w:tcPr>
          <w:p w:rsidR="00645170" w:rsidRDefault="00645170">
            <w:pPr>
              <w:pStyle w:val="TableParagraph"/>
              <w:rPr>
                <w:sz w:val="20"/>
              </w:rPr>
            </w:pPr>
            <w:r>
              <w:rPr>
                <w:sz w:val="20"/>
              </w:rPr>
              <w:t>стимуляция</w:t>
            </w:r>
          </w:p>
        </w:tc>
        <w:tc>
          <w:tcPr>
            <w:tcW w:w="2602" w:type="dxa"/>
          </w:tcPr>
          <w:p w:rsidR="00645170" w:rsidRDefault="00645170">
            <w:pPr>
              <w:pStyle w:val="TableParagraph"/>
              <w:ind w:left="111"/>
              <w:rPr>
                <w:sz w:val="20"/>
              </w:rPr>
            </w:pPr>
            <w:r>
              <w:rPr>
                <w:sz w:val="20"/>
              </w:rPr>
              <w:t>стимуляция</w:t>
            </w:r>
          </w:p>
        </w:tc>
      </w:tr>
    </w:tbl>
    <w:p w:rsidR="00645170" w:rsidRDefault="00645170">
      <w:pPr>
        <w:pStyle w:val="BodyText"/>
        <w:spacing w:before="1"/>
        <w:ind w:left="0"/>
        <w:rPr>
          <w:sz w:val="41"/>
        </w:rPr>
      </w:pPr>
    </w:p>
    <w:p w:rsidR="00645170" w:rsidRDefault="00645170">
      <w:pPr>
        <w:pStyle w:val="BodyText"/>
        <w:spacing w:before="1"/>
        <w:ind w:left="1070"/>
        <w:jc w:val="both"/>
      </w:pPr>
      <w:r>
        <w:t>Сукцинилхолин вызывает многообразные эффекты.</w:t>
      </w:r>
    </w:p>
    <w:p w:rsidR="00645170" w:rsidRDefault="00645170">
      <w:pPr>
        <w:pStyle w:val="BodyText"/>
        <w:spacing w:before="162" w:line="360" w:lineRule="auto"/>
        <w:ind w:right="513" w:firstLine="710"/>
        <w:jc w:val="both"/>
      </w:pPr>
      <w:r>
        <w:t>Он стимулирует н-холинорецепторы в симпатических и парасимпатических ганглиях и м-холинорецепторы сердца. При введении в небольших дозах вызывает отрицательные ино- и хронотропные эффекты, которые купируются введением атропина. В больших дозах может, наоборот,</w:t>
      </w:r>
    </w:p>
    <w:p w:rsidR="00645170" w:rsidRDefault="00645170">
      <w:pPr>
        <w:spacing w:line="360" w:lineRule="auto"/>
        <w:jc w:val="both"/>
        <w:sectPr w:rsidR="00645170">
          <w:headerReference w:type="default" r:id="rId22"/>
          <w:footerReference w:type="default" r:id="rId23"/>
          <w:pgSz w:w="11910" w:h="16840"/>
          <w:pgMar w:top="1040" w:right="340" w:bottom="1140" w:left="1340" w:header="714" w:footer="959" w:gutter="0"/>
          <w:pgNumType w:start="9"/>
          <w:cols w:space="720"/>
        </w:sectPr>
      </w:pPr>
    </w:p>
    <w:p w:rsidR="00645170" w:rsidRDefault="00645170">
      <w:pPr>
        <w:pStyle w:val="BodyText"/>
        <w:spacing w:before="106" w:line="360" w:lineRule="auto"/>
        <w:ind w:right="518"/>
        <w:jc w:val="both"/>
      </w:pPr>
      <w:r>
        <w:t>оказывать положительное ино- и хронотропное действие. При введении повторных доз без предварительной атропинизации часто наблюдается выраженная брадикардия вплоть до асистолии. (Предотвращается атропином, ганглиоблокаторами, недеполяризующими миорелаксантами).</w:t>
      </w:r>
    </w:p>
    <w:p w:rsidR="00645170" w:rsidRDefault="00645170">
      <w:pPr>
        <w:pStyle w:val="BodyText"/>
        <w:spacing w:line="360" w:lineRule="auto"/>
        <w:ind w:right="514" w:firstLine="710"/>
        <w:jc w:val="both"/>
      </w:pPr>
      <w:r>
        <w:t>Сукцинилхолин может вызывать выраженную гиперкалиемую, чреватую остановкой сердца. Особенно это опасно для больных с тяжелыми травмами, ожогами, повреждением головного, спинного мозга или периферических нервов, инсультом, энцефалитом, другими неврологическими заболеваниями (дистрофия Дюшенна, полинейропатии, синдром Гийена-Барре, паркинсонизм), почечной  недостаточностью, тяжелой внутрибрюшной инфекцией, столбняком, после разрыва артериальной аневризмы головного мозга, утопления, на фоне метаболического ацидоза, у лиц, длительно находящихся в неподвижном состоянии. Механизм этого явления неизвестен.</w:t>
      </w:r>
    </w:p>
    <w:p w:rsidR="00645170" w:rsidRDefault="00645170">
      <w:pPr>
        <w:pStyle w:val="BodyText"/>
        <w:spacing w:line="360" w:lineRule="auto"/>
        <w:ind w:right="512" w:firstLine="710"/>
        <w:jc w:val="both"/>
      </w:pPr>
      <w:r>
        <w:t>Сукцинилхолин повышает внутриглазное давление. Это начинает проявляться через 1 мин после введения, максимума достигает на 2-4 минуте, прекращается через 5 мин после инъекции. Механизм данного явления также неизвестен. Предполагается, что это связано с сокращением тонических миофибрилл или расширением сосудов хориоидального спелетения. При офтальмологических операциях применение сукцинилхолина не противопоказано, если не вскрывается передняя камера глаза.</w:t>
      </w:r>
    </w:p>
    <w:p w:rsidR="00645170" w:rsidRDefault="00645170">
      <w:pPr>
        <w:pStyle w:val="BodyText"/>
        <w:spacing w:line="362" w:lineRule="auto"/>
        <w:ind w:right="515" w:firstLine="710"/>
        <w:jc w:val="both"/>
      </w:pPr>
      <w:r>
        <w:t>У больных с большим объемом мышечной ткани миофасцикуляции могут приводить к значительному повышению внутрижелудочного давления, регургитации и последующей аспирации.</w:t>
      </w:r>
    </w:p>
    <w:p w:rsidR="00645170" w:rsidRDefault="00645170">
      <w:pPr>
        <w:pStyle w:val="BodyText"/>
        <w:spacing w:line="360" w:lineRule="auto"/>
        <w:ind w:right="516" w:firstLine="710"/>
        <w:jc w:val="both"/>
      </w:pPr>
      <w:r>
        <w:t>С миофасцикуляциями связаны и возникающие у значительной части больных (по разным данным от 0,2 до 92%) в течение 2-3 –х суток после введения препарата мышечные боли. Считается, что это вызвано повреждением мышц во время их фибрилляций (что подтверждается миоглобинурией).</w:t>
      </w:r>
    </w:p>
    <w:p w:rsidR="00645170" w:rsidRDefault="00645170">
      <w:pPr>
        <w:spacing w:line="360" w:lineRule="auto"/>
        <w:jc w:val="both"/>
        <w:sectPr w:rsidR="00645170">
          <w:headerReference w:type="default" r:id="rId24"/>
          <w:footerReference w:type="default" r:id="rId25"/>
          <w:pgSz w:w="11910" w:h="16840"/>
          <w:pgMar w:top="1040" w:right="340" w:bottom="1140" w:left="1340" w:header="714" w:footer="959" w:gutter="0"/>
          <w:pgNumType w:start="10"/>
          <w:cols w:space="720"/>
        </w:sectPr>
      </w:pPr>
    </w:p>
    <w:p w:rsidR="00645170" w:rsidRDefault="00645170">
      <w:pPr>
        <w:pStyle w:val="BodyText"/>
        <w:spacing w:before="106" w:line="357" w:lineRule="auto"/>
        <w:ind w:right="515" w:firstLine="710"/>
        <w:jc w:val="both"/>
      </w:pPr>
      <w:r>
        <w:t>У некоторых больных сукцинилхолин вызывает повышение мозгового кровотока и рост внутричерепного давления.</w:t>
      </w:r>
    </w:p>
    <w:p w:rsidR="00645170" w:rsidRDefault="00645170">
      <w:pPr>
        <w:pStyle w:val="BodyText"/>
        <w:spacing w:before="5" w:line="360" w:lineRule="auto"/>
        <w:ind w:right="515" w:firstLine="710"/>
        <w:jc w:val="both"/>
      </w:pPr>
      <w:r>
        <w:t>Сукцинилхолин является провоцирующим фактором злокачественной гипертермии – гиперметаболического заболевания скелетных мышц, сопровождающегося выраженным повышением температуры тела, тахикардией, метаболическим ацидозом.</w:t>
      </w:r>
    </w:p>
    <w:p w:rsidR="00645170" w:rsidRDefault="00645170">
      <w:pPr>
        <w:pStyle w:val="BodyText"/>
        <w:spacing w:before="5"/>
        <w:ind w:left="0"/>
        <w:rPr>
          <w:sz w:val="42"/>
        </w:rPr>
      </w:pPr>
    </w:p>
    <w:p w:rsidR="00645170" w:rsidRDefault="00645170">
      <w:pPr>
        <w:pStyle w:val="Heading1"/>
        <w:numPr>
          <w:ilvl w:val="0"/>
          <w:numId w:val="7"/>
        </w:numPr>
        <w:tabs>
          <w:tab w:val="left" w:pos="1560"/>
        </w:tabs>
        <w:spacing w:before="1"/>
        <w:ind w:left="1559" w:hanging="284"/>
      </w:pPr>
      <w:bookmarkStart w:id="19" w:name="5._Показания_к_применению_миорелаксантов"/>
      <w:bookmarkEnd w:id="19"/>
      <w:r>
        <w:t>Показания к применению миорелаксантов в анестезиологии</w:t>
      </w:r>
      <w:r>
        <w:rPr>
          <w:spacing w:val="-4"/>
        </w:rPr>
        <w:t xml:space="preserve"> </w:t>
      </w:r>
      <w:r>
        <w:t>и</w:t>
      </w:r>
    </w:p>
    <w:p w:rsidR="00645170" w:rsidRDefault="00645170">
      <w:pPr>
        <w:spacing w:before="158"/>
        <w:ind w:left="3990"/>
        <w:rPr>
          <w:b/>
          <w:sz w:val="28"/>
        </w:rPr>
      </w:pPr>
      <w:r>
        <w:rPr>
          <w:b/>
          <w:sz w:val="28"/>
        </w:rPr>
        <w:t>реаниматологии</w:t>
      </w:r>
    </w:p>
    <w:p w:rsidR="00645170" w:rsidRDefault="00645170">
      <w:pPr>
        <w:pStyle w:val="BodyText"/>
        <w:ind w:left="0"/>
        <w:rPr>
          <w:b/>
          <w:sz w:val="30"/>
        </w:rPr>
      </w:pPr>
    </w:p>
    <w:p w:rsidR="00645170" w:rsidRDefault="00645170">
      <w:pPr>
        <w:pStyle w:val="BodyText"/>
        <w:spacing w:before="10"/>
        <w:ind w:left="0"/>
        <w:rPr>
          <w:b/>
          <w:sz w:val="25"/>
        </w:rPr>
      </w:pPr>
    </w:p>
    <w:p w:rsidR="00645170" w:rsidRDefault="00645170">
      <w:pPr>
        <w:pStyle w:val="ListParagraph"/>
        <w:numPr>
          <w:ilvl w:val="0"/>
          <w:numId w:val="6"/>
        </w:numPr>
        <w:tabs>
          <w:tab w:val="left" w:pos="1354"/>
        </w:tabs>
        <w:spacing w:before="1"/>
        <w:ind w:hanging="284"/>
        <w:jc w:val="both"/>
        <w:rPr>
          <w:sz w:val="28"/>
        </w:rPr>
      </w:pPr>
      <w:r>
        <w:rPr>
          <w:sz w:val="28"/>
        </w:rPr>
        <w:t>Обеспечение условий для интубации</w:t>
      </w:r>
      <w:r>
        <w:rPr>
          <w:spacing w:val="3"/>
          <w:sz w:val="28"/>
        </w:rPr>
        <w:t xml:space="preserve"> </w:t>
      </w:r>
      <w:r>
        <w:rPr>
          <w:sz w:val="28"/>
        </w:rPr>
        <w:t>трахеи.</w:t>
      </w:r>
    </w:p>
    <w:p w:rsidR="00645170" w:rsidRDefault="00645170">
      <w:pPr>
        <w:pStyle w:val="ListParagraph"/>
        <w:numPr>
          <w:ilvl w:val="0"/>
          <w:numId w:val="6"/>
        </w:numPr>
        <w:tabs>
          <w:tab w:val="left" w:pos="1426"/>
        </w:tabs>
        <w:spacing w:before="158" w:line="360" w:lineRule="auto"/>
        <w:ind w:left="359" w:right="511" w:firstLine="710"/>
        <w:jc w:val="both"/>
        <w:rPr>
          <w:sz w:val="28"/>
        </w:rPr>
      </w:pPr>
      <w:r>
        <w:rPr>
          <w:sz w:val="28"/>
        </w:rPr>
        <w:t>Обеспечение миорелаксации во время оперативных вмешательств для создания оптимальных условий работы хирургической бригады без избыточных доз препаратов для общей анестезии, а также необходимость мышечного расслабления при некоторых диагностических манипуляциях, выполняемых в условиях общей анестезии (например,</w:t>
      </w:r>
      <w:r>
        <w:rPr>
          <w:spacing w:val="-11"/>
          <w:sz w:val="28"/>
        </w:rPr>
        <w:t xml:space="preserve"> </w:t>
      </w:r>
      <w:r>
        <w:rPr>
          <w:sz w:val="28"/>
        </w:rPr>
        <w:t>бронхоскопия).</w:t>
      </w:r>
    </w:p>
    <w:p w:rsidR="00645170" w:rsidRDefault="00645170">
      <w:pPr>
        <w:pStyle w:val="ListParagraph"/>
        <w:numPr>
          <w:ilvl w:val="0"/>
          <w:numId w:val="6"/>
        </w:numPr>
        <w:tabs>
          <w:tab w:val="left" w:pos="1354"/>
        </w:tabs>
        <w:spacing w:before="0"/>
        <w:ind w:hanging="284"/>
        <w:jc w:val="both"/>
        <w:rPr>
          <w:sz w:val="28"/>
        </w:rPr>
      </w:pPr>
      <w:r>
        <w:rPr>
          <w:sz w:val="28"/>
        </w:rPr>
        <w:t>Подавление самостоятельного дыхания с целью проведения</w:t>
      </w:r>
      <w:r>
        <w:rPr>
          <w:spacing w:val="-8"/>
          <w:sz w:val="28"/>
        </w:rPr>
        <w:t xml:space="preserve"> </w:t>
      </w:r>
      <w:r>
        <w:rPr>
          <w:sz w:val="28"/>
        </w:rPr>
        <w:t>ИВЛ.</w:t>
      </w:r>
    </w:p>
    <w:p w:rsidR="00645170" w:rsidRDefault="00645170">
      <w:pPr>
        <w:pStyle w:val="ListParagraph"/>
        <w:numPr>
          <w:ilvl w:val="0"/>
          <w:numId w:val="6"/>
        </w:numPr>
        <w:tabs>
          <w:tab w:val="left" w:pos="1637"/>
          <w:tab w:val="left" w:pos="3391"/>
          <w:tab w:val="left" w:pos="5305"/>
          <w:tab w:val="left" w:pos="6811"/>
          <w:tab w:val="left" w:pos="7602"/>
        </w:tabs>
        <w:spacing w:line="362" w:lineRule="auto"/>
        <w:ind w:left="359" w:right="523" w:firstLine="710"/>
        <w:rPr>
          <w:sz w:val="28"/>
        </w:rPr>
      </w:pPr>
      <w:r>
        <w:rPr>
          <w:sz w:val="28"/>
        </w:rPr>
        <w:t>Устранение</w:t>
      </w:r>
      <w:r>
        <w:rPr>
          <w:sz w:val="28"/>
        </w:rPr>
        <w:tab/>
        <w:t>судорожного</w:t>
      </w:r>
      <w:r>
        <w:rPr>
          <w:sz w:val="28"/>
        </w:rPr>
        <w:tab/>
        <w:t>синдрома</w:t>
      </w:r>
      <w:r>
        <w:rPr>
          <w:sz w:val="28"/>
        </w:rPr>
        <w:tab/>
        <w:t>при</w:t>
      </w:r>
      <w:r>
        <w:rPr>
          <w:sz w:val="28"/>
        </w:rPr>
        <w:tab/>
      </w:r>
      <w:r>
        <w:rPr>
          <w:w w:val="95"/>
          <w:sz w:val="28"/>
        </w:rPr>
        <w:t xml:space="preserve">неэффективности </w:t>
      </w:r>
      <w:r>
        <w:rPr>
          <w:sz w:val="28"/>
        </w:rPr>
        <w:t>противосудорожных</w:t>
      </w:r>
      <w:r>
        <w:rPr>
          <w:spacing w:val="-4"/>
          <w:sz w:val="28"/>
        </w:rPr>
        <w:t xml:space="preserve"> </w:t>
      </w:r>
      <w:r>
        <w:rPr>
          <w:sz w:val="28"/>
        </w:rPr>
        <w:t>препаратов.</w:t>
      </w:r>
    </w:p>
    <w:p w:rsidR="00645170" w:rsidRDefault="00645170">
      <w:pPr>
        <w:pStyle w:val="ListParagraph"/>
        <w:numPr>
          <w:ilvl w:val="0"/>
          <w:numId w:val="6"/>
        </w:numPr>
        <w:tabs>
          <w:tab w:val="left" w:pos="1426"/>
        </w:tabs>
        <w:spacing w:before="0" w:line="362" w:lineRule="auto"/>
        <w:ind w:left="359" w:right="518" w:firstLine="710"/>
        <w:rPr>
          <w:sz w:val="28"/>
        </w:rPr>
      </w:pPr>
      <w:r>
        <w:rPr>
          <w:sz w:val="28"/>
        </w:rPr>
        <w:t>Блокада защитных реакций на холод в виде мышечной дрожи и гипертонуса мышц при искусственной</w:t>
      </w:r>
      <w:r>
        <w:rPr>
          <w:spacing w:val="1"/>
          <w:sz w:val="28"/>
        </w:rPr>
        <w:t xml:space="preserve"> </w:t>
      </w:r>
      <w:r>
        <w:rPr>
          <w:sz w:val="28"/>
        </w:rPr>
        <w:t>гипотермии.</w:t>
      </w:r>
    </w:p>
    <w:p w:rsidR="00645170" w:rsidRDefault="00645170">
      <w:pPr>
        <w:pStyle w:val="ListParagraph"/>
        <w:numPr>
          <w:ilvl w:val="0"/>
          <w:numId w:val="6"/>
        </w:numPr>
        <w:tabs>
          <w:tab w:val="left" w:pos="1483"/>
          <w:tab w:val="left" w:pos="3558"/>
          <w:tab w:val="left" w:pos="4196"/>
          <w:tab w:val="left" w:pos="5654"/>
          <w:tab w:val="left" w:pos="7967"/>
          <w:tab w:val="left" w:pos="8317"/>
        </w:tabs>
        <w:spacing w:before="0" w:line="362" w:lineRule="auto"/>
        <w:ind w:left="359" w:right="522" w:firstLine="710"/>
        <w:rPr>
          <w:sz w:val="28"/>
        </w:rPr>
      </w:pPr>
      <w:r>
        <w:rPr>
          <w:sz w:val="28"/>
        </w:rPr>
        <w:t>Миорелаксация</w:t>
      </w:r>
      <w:r>
        <w:rPr>
          <w:sz w:val="28"/>
        </w:rPr>
        <w:tab/>
        <w:t>при</w:t>
      </w:r>
      <w:r>
        <w:rPr>
          <w:sz w:val="28"/>
        </w:rPr>
        <w:tab/>
        <w:t>репозиции</w:t>
      </w:r>
      <w:r>
        <w:rPr>
          <w:sz w:val="28"/>
        </w:rPr>
        <w:tab/>
        <w:t xml:space="preserve">отломков </w:t>
      </w:r>
      <w:r>
        <w:rPr>
          <w:spacing w:val="50"/>
          <w:sz w:val="28"/>
        </w:rPr>
        <w:t xml:space="preserve"> </w:t>
      </w:r>
      <w:r>
        <w:rPr>
          <w:sz w:val="28"/>
        </w:rPr>
        <w:t>костей</w:t>
      </w:r>
      <w:r>
        <w:rPr>
          <w:sz w:val="28"/>
        </w:rPr>
        <w:tab/>
        <w:t>и</w:t>
      </w:r>
      <w:r>
        <w:rPr>
          <w:sz w:val="28"/>
        </w:rPr>
        <w:tab/>
      </w:r>
      <w:r>
        <w:rPr>
          <w:spacing w:val="-3"/>
          <w:sz w:val="28"/>
        </w:rPr>
        <w:t xml:space="preserve">вправлении </w:t>
      </w:r>
      <w:r>
        <w:rPr>
          <w:sz w:val="28"/>
        </w:rPr>
        <w:t>вывихов в суставах, где имеются мощные мышечные</w:t>
      </w:r>
      <w:r>
        <w:rPr>
          <w:spacing w:val="3"/>
          <w:sz w:val="28"/>
        </w:rPr>
        <w:t xml:space="preserve"> </w:t>
      </w:r>
      <w:r>
        <w:rPr>
          <w:sz w:val="28"/>
        </w:rPr>
        <w:t>массивы.</w:t>
      </w:r>
    </w:p>
    <w:p w:rsidR="00645170" w:rsidRDefault="00645170">
      <w:pPr>
        <w:pStyle w:val="BodyText"/>
        <w:spacing w:before="8"/>
        <w:ind w:left="0"/>
        <w:rPr>
          <w:sz w:val="40"/>
        </w:rPr>
      </w:pPr>
    </w:p>
    <w:p w:rsidR="00645170" w:rsidRDefault="00645170">
      <w:pPr>
        <w:pStyle w:val="Heading1"/>
        <w:numPr>
          <w:ilvl w:val="0"/>
          <w:numId w:val="5"/>
        </w:numPr>
        <w:tabs>
          <w:tab w:val="left" w:pos="1397"/>
        </w:tabs>
        <w:ind w:hanging="284"/>
      </w:pPr>
      <w:bookmarkStart w:id="20" w:name="6._Характеристика_основных_препаратов,_м"/>
      <w:bookmarkEnd w:id="20"/>
      <w:r>
        <w:t>Характеристика основных препаратов, методика их</w:t>
      </w:r>
      <w:r>
        <w:rPr>
          <w:spacing w:val="-5"/>
        </w:rPr>
        <w:t xml:space="preserve"> </w:t>
      </w:r>
      <w:r>
        <w:t>применения</w:t>
      </w:r>
    </w:p>
    <w:p w:rsidR="00645170" w:rsidRDefault="00645170">
      <w:pPr>
        <w:pStyle w:val="BodyText"/>
        <w:ind w:left="0"/>
        <w:rPr>
          <w:b/>
          <w:sz w:val="30"/>
        </w:rPr>
      </w:pPr>
    </w:p>
    <w:p w:rsidR="00645170" w:rsidRDefault="00645170">
      <w:pPr>
        <w:pStyle w:val="BodyText"/>
        <w:spacing w:before="10"/>
        <w:ind w:left="0"/>
        <w:rPr>
          <w:b/>
          <w:sz w:val="25"/>
        </w:rPr>
      </w:pPr>
    </w:p>
    <w:p w:rsidR="00645170" w:rsidRDefault="00645170">
      <w:pPr>
        <w:pStyle w:val="BodyText"/>
        <w:spacing w:line="360" w:lineRule="auto"/>
        <w:ind w:right="520" w:firstLine="710"/>
        <w:jc w:val="both"/>
      </w:pPr>
      <w:r>
        <w:t>Единственным используемым в настоящее время представителем деполяризующих миорелаксантов является сукцинилхолин (дитилин, листенон).</w:t>
      </w:r>
    </w:p>
    <w:p w:rsidR="00645170" w:rsidRDefault="00645170">
      <w:pPr>
        <w:spacing w:line="360" w:lineRule="auto"/>
        <w:jc w:val="both"/>
        <w:sectPr w:rsidR="00645170">
          <w:headerReference w:type="default" r:id="rId26"/>
          <w:footerReference w:type="default" r:id="rId27"/>
          <w:pgSz w:w="11910" w:h="16840"/>
          <w:pgMar w:top="1040" w:right="340" w:bottom="1140" w:left="1340" w:header="714" w:footer="959" w:gutter="0"/>
          <w:pgNumType w:start="11"/>
          <w:cols w:space="720"/>
        </w:sectPr>
      </w:pPr>
    </w:p>
    <w:p w:rsidR="00645170" w:rsidRDefault="00645170">
      <w:pPr>
        <w:pStyle w:val="BodyText"/>
        <w:spacing w:before="106" w:line="360" w:lineRule="auto"/>
        <w:ind w:right="516" w:firstLine="710"/>
        <w:jc w:val="both"/>
      </w:pPr>
      <w:r>
        <w:t>Основными качествами, определяющими его популярность вопреки многочисленным побочным эффектам являются очень быстрое начало действия (от 30 до 60 с) и его кратковременность (менее 10 мин). Препарат вводится в дозе 1-1,5 мг/кг. Следует однако отметить, что если применяется прекураризация, то интубационная доза сукцинилхолина увеличивается в 1,5 раза.</w:t>
      </w:r>
    </w:p>
    <w:p w:rsidR="00645170" w:rsidRDefault="00645170">
      <w:pPr>
        <w:pStyle w:val="BodyText"/>
        <w:tabs>
          <w:tab w:val="left" w:pos="3973"/>
          <w:tab w:val="left" w:pos="5816"/>
          <w:tab w:val="left" w:pos="8300"/>
        </w:tabs>
        <w:spacing w:line="360" w:lineRule="auto"/>
        <w:ind w:right="512" w:firstLine="710"/>
        <w:jc w:val="both"/>
      </w:pPr>
      <w:r>
        <w:t>Сукцинилхолин</w:t>
      </w:r>
      <w:r>
        <w:tab/>
        <w:t>быстро</w:t>
      </w:r>
      <w:r>
        <w:tab/>
        <w:t>разрушается</w:t>
      </w:r>
      <w:r>
        <w:tab/>
      </w:r>
      <w:r>
        <w:rPr>
          <w:w w:val="95"/>
        </w:rPr>
        <w:t xml:space="preserve">плазменной </w:t>
      </w:r>
      <w:r>
        <w:t>псевдохолинэстеразой. После дозы 1 мг/кг продолжительность действия его составляет 6-8 мин. Иногда его применяют и для поддержания релаксации, вводя в виде инфузии со скоростью от 20 до 110 мкг/кг/мин (в среднем – 60 мкг/кг/мин), особенно для кратковременных манипуляций (например, бронхоскопия) и операций.</w:t>
      </w:r>
    </w:p>
    <w:p w:rsidR="00645170" w:rsidRDefault="00645170">
      <w:pPr>
        <w:pStyle w:val="BodyText"/>
        <w:spacing w:line="360" w:lineRule="auto"/>
        <w:ind w:right="512" w:firstLine="710"/>
        <w:jc w:val="both"/>
      </w:pPr>
      <w:r>
        <w:t>Учитывая многочисленность и выраженность побочных эффектов, зачастую перечеркивающих положительные качества сукцинилхолина, в настоящее время показания к его применению все более суживаются. Полагают, что имеет смысл использовать деполяризующие релаксанты только при предполагающейся трудной интубации (для быстрого восстановления мышечного тонуса и перевода больного на самостоятельное дыхание в случае неудачи – хотя даже это положение спорно, ряд авторов полагает, что в этой ситуации следует вообще отказаться от применения миорелаксантов) или при высоком риске регургитации и аспирации ("полный" желудок), в целях наиболее быстрого выполнения интубации трахеи и перевода больного на</w:t>
      </w:r>
      <w:r>
        <w:rPr>
          <w:spacing w:val="10"/>
        </w:rPr>
        <w:t xml:space="preserve"> </w:t>
      </w:r>
      <w:r>
        <w:t>ИВЛ</w:t>
      </w:r>
      <w:r>
        <w:rPr>
          <w:vertAlign w:val="superscript"/>
        </w:rPr>
        <w:t>1</w:t>
      </w:r>
      <w:r>
        <w:t>.</w:t>
      </w:r>
    </w:p>
    <w:p w:rsidR="00645170" w:rsidRDefault="00645170">
      <w:pPr>
        <w:pStyle w:val="BodyText"/>
        <w:spacing w:before="2" w:line="360" w:lineRule="auto"/>
        <w:ind w:right="520" w:firstLine="710"/>
        <w:jc w:val="both"/>
      </w:pPr>
      <w:r>
        <w:t>Элиминация препарата осуществляется за счет его разрушения псевдохолинэстеразой (бутирилхолинэстеразой) плазмы крови на холин и сукцинилмонохолин с последующим дальнейшим гидролизом последнего на янтарную кислоту и холин.</w:t>
      </w:r>
    </w:p>
    <w:p w:rsidR="00645170" w:rsidRDefault="00645170">
      <w:pPr>
        <w:pStyle w:val="BodyText"/>
        <w:ind w:left="0"/>
        <w:rPr>
          <w:sz w:val="20"/>
        </w:rPr>
      </w:pPr>
    </w:p>
    <w:p w:rsidR="00645170" w:rsidRDefault="00645170">
      <w:pPr>
        <w:pStyle w:val="BodyText"/>
        <w:ind w:left="0"/>
        <w:rPr>
          <w:sz w:val="20"/>
        </w:rPr>
      </w:pPr>
    </w:p>
    <w:p w:rsidR="00645170" w:rsidRDefault="00645170">
      <w:pPr>
        <w:pStyle w:val="BodyText"/>
        <w:spacing w:before="7"/>
        <w:ind w:left="0"/>
        <w:rPr>
          <w:sz w:val="27"/>
        </w:rPr>
      </w:pPr>
      <w:r>
        <w:rPr>
          <w:noProof/>
          <w:lang w:eastAsia="ru-RU"/>
        </w:rPr>
        <w:pict>
          <v:rect id="_x0000_s1049" style="position:absolute;margin-left:85pt;margin-top:17.85pt;width:144.05pt;height:.5pt;z-index:-251657216;mso-wrap-distance-left:0;mso-wrap-distance-right:0;mso-position-horizontal-relative:page" fillcolor="black" stroked="f">
            <w10:wrap type="topAndBottom" anchorx="page"/>
          </v:rect>
        </w:pict>
      </w:r>
    </w:p>
    <w:p w:rsidR="00645170" w:rsidRDefault="00645170">
      <w:pPr>
        <w:spacing w:before="56" w:line="237" w:lineRule="auto"/>
        <w:ind w:left="359" w:right="881" w:firstLine="710"/>
        <w:rPr>
          <w:sz w:val="24"/>
        </w:rPr>
      </w:pPr>
      <w:r>
        <w:rPr>
          <w:sz w:val="24"/>
          <w:vertAlign w:val="superscript"/>
        </w:rPr>
        <w:t>1</w:t>
      </w:r>
      <w:r>
        <w:rPr>
          <w:sz w:val="24"/>
        </w:rPr>
        <w:t xml:space="preserve"> В показания для применения дитилина надо добавить низкую квалификацию анестезиолога (в плане интубации трахеи).</w:t>
      </w:r>
    </w:p>
    <w:p w:rsidR="00645170" w:rsidRDefault="00645170">
      <w:pPr>
        <w:spacing w:line="237" w:lineRule="auto"/>
        <w:rPr>
          <w:sz w:val="24"/>
        </w:rPr>
        <w:sectPr w:rsidR="00645170">
          <w:headerReference w:type="default" r:id="rId28"/>
          <w:footerReference w:type="default" r:id="rId29"/>
          <w:pgSz w:w="11910" w:h="16840"/>
          <w:pgMar w:top="1040" w:right="340" w:bottom="1080" w:left="1340" w:header="714" w:footer="893" w:gutter="0"/>
          <w:pgNumType w:start="12"/>
          <w:cols w:space="720"/>
        </w:sectPr>
      </w:pPr>
    </w:p>
    <w:p w:rsidR="00645170" w:rsidRDefault="00645170">
      <w:pPr>
        <w:pStyle w:val="BodyText"/>
        <w:spacing w:before="106" w:line="360" w:lineRule="auto"/>
        <w:ind w:right="517" w:firstLine="710"/>
        <w:jc w:val="both"/>
      </w:pPr>
      <w:r>
        <w:t>Метаболизм препарата нарушается при гипотермии (замедление гидролиза) и при низкой концентрации или наследственном дефекте псевдохолинэстеразы. Недеполяризующие релаксанты проявляют к сукцинилхолину антагонистическое действие. Так даже прекураризация (о чем уже говорилось выше) вынуждает увеличивать дозу сукцинилхолина на 50-100%. Исключение здесь составляет панкуроний. Он усиливает действие сукцинилхолина за счет угнетения активности псевдохолинэстеразы.</w:t>
      </w:r>
    </w:p>
    <w:p w:rsidR="00645170" w:rsidRDefault="00645170">
      <w:pPr>
        <w:pStyle w:val="BodyText"/>
        <w:spacing w:line="360" w:lineRule="auto"/>
        <w:ind w:right="513" w:firstLine="710"/>
        <w:jc w:val="both"/>
      </w:pPr>
      <w:r>
        <w:t>Из достаточно большого перечня недеполяризующих релаксантов мы рассмотрим только наиболее часто использующиеся. И начнем мы с представления об идеальном миорелаксанте.</w:t>
      </w:r>
    </w:p>
    <w:p w:rsidR="00645170" w:rsidRDefault="00645170">
      <w:pPr>
        <w:pStyle w:val="BodyText"/>
        <w:spacing w:before="1"/>
        <w:ind w:left="1070"/>
        <w:jc w:val="both"/>
      </w:pPr>
      <w:r>
        <w:t>Свойства "идеального" миорелаксанта (слайд):</w:t>
      </w:r>
    </w:p>
    <w:p w:rsidR="00645170" w:rsidRDefault="00645170">
      <w:pPr>
        <w:pStyle w:val="ListParagraph"/>
        <w:numPr>
          <w:ilvl w:val="0"/>
          <w:numId w:val="4"/>
        </w:numPr>
        <w:tabs>
          <w:tab w:val="left" w:pos="1431"/>
        </w:tabs>
        <w:spacing w:before="158"/>
        <w:ind w:left="1430" w:hanging="361"/>
        <w:jc w:val="both"/>
        <w:rPr>
          <w:sz w:val="28"/>
        </w:rPr>
      </w:pPr>
      <w:r>
        <w:rPr>
          <w:sz w:val="28"/>
        </w:rPr>
        <w:t>высокая</w:t>
      </w:r>
      <w:r>
        <w:rPr>
          <w:spacing w:val="2"/>
          <w:sz w:val="28"/>
        </w:rPr>
        <w:t xml:space="preserve"> </w:t>
      </w:r>
      <w:r>
        <w:rPr>
          <w:sz w:val="28"/>
        </w:rPr>
        <w:t>активность;</w:t>
      </w:r>
    </w:p>
    <w:p w:rsidR="00645170" w:rsidRDefault="00645170">
      <w:pPr>
        <w:pStyle w:val="ListParagraph"/>
        <w:numPr>
          <w:ilvl w:val="0"/>
          <w:numId w:val="4"/>
        </w:numPr>
        <w:tabs>
          <w:tab w:val="left" w:pos="1431"/>
        </w:tabs>
        <w:ind w:left="1430" w:hanging="361"/>
        <w:jc w:val="both"/>
        <w:rPr>
          <w:sz w:val="28"/>
        </w:rPr>
      </w:pPr>
      <w:r>
        <w:rPr>
          <w:sz w:val="28"/>
        </w:rPr>
        <w:t>конкурентный механизм</w:t>
      </w:r>
      <w:r>
        <w:rPr>
          <w:spacing w:val="2"/>
          <w:sz w:val="28"/>
        </w:rPr>
        <w:t xml:space="preserve"> </w:t>
      </w:r>
      <w:r>
        <w:rPr>
          <w:sz w:val="28"/>
        </w:rPr>
        <w:t>действия;</w:t>
      </w:r>
    </w:p>
    <w:p w:rsidR="00645170" w:rsidRDefault="00645170">
      <w:pPr>
        <w:pStyle w:val="ListParagraph"/>
        <w:numPr>
          <w:ilvl w:val="0"/>
          <w:numId w:val="4"/>
        </w:numPr>
        <w:tabs>
          <w:tab w:val="left" w:pos="1431"/>
        </w:tabs>
        <w:ind w:left="1430" w:hanging="361"/>
        <w:rPr>
          <w:sz w:val="28"/>
        </w:rPr>
      </w:pPr>
      <w:r>
        <w:rPr>
          <w:sz w:val="28"/>
        </w:rPr>
        <w:t>избирательность действия на н-холинорецепторы скелетных</w:t>
      </w:r>
      <w:r>
        <w:rPr>
          <w:spacing w:val="-13"/>
          <w:sz w:val="28"/>
        </w:rPr>
        <w:t xml:space="preserve"> </w:t>
      </w:r>
      <w:r>
        <w:rPr>
          <w:sz w:val="28"/>
        </w:rPr>
        <w:t>мышц;</w:t>
      </w:r>
    </w:p>
    <w:p w:rsidR="00645170" w:rsidRDefault="00645170">
      <w:pPr>
        <w:pStyle w:val="ListParagraph"/>
        <w:numPr>
          <w:ilvl w:val="0"/>
          <w:numId w:val="4"/>
        </w:numPr>
        <w:tabs>
          <w:tab w:val="left" w:pos="1431"/>
        </w:tabs>
        <w:spacing w:before="158"/>
        <w:ind w:left="1430" w:hanging="361"/>
        <w:rPr>
          <w:sz w:val="28"/>
        </w:rPr>
      </w:pPr>
      <w:r>
        <w:rPr>
          <w:sz w:val="28"/>
        </w:rPr>
        <w:t>быстрое начало</w:t>
      </w:r>
      <w:r>
        <w:rPr>
          <w:spacing w:val="6"/>
          <w:sz w:val="28"/>
        </w:rPr>
        <w:t xml:space="preserve"> </w:t>
      </w:r>
      <w:r>
        <w:rPr>
          <w:sz w:val="28"/>
        </w:rPr>
        <w:t>действия;</w:t>
      </w:r>
    </w:p>
    <w:p w:rsidR="00645170" w:rsidRDefault="00645170">
      <w:pPr>
        <w:pStyle w:val="ListParagraph"/>
        <w:numPr>
          <w:ilvl w:val="0"/>
          <w:numId w:val="4"/>
        </w:numPr>
        <w:tabs>
          <w:tab w:val="left" w:pos="1431"/>
          <w:tab w:val="left" w:pos="4001"/>
          <w:tab w:val="left" w:pos="4999"/>
          <w:tab w:val="left" w:pos="7651"/>
          <w:tab w:val="left" w:pos="9185"/>
        </w:tabs>
        <w:spacing w:line="357" w:lineRule="auto"/>
        <w:ind w:right="512" w:firstLine="710"/>
        <w:rPr>
          <w:sz w:val="28"/>
        </w:rPr>
      </w:pPr>
      <w:r>
        <w:rPr>
          <w:sz w:val="28"/>
        </w:rPr>
        <w:t>кратковременный</w:t>
      </w:r>
      <w:r>
        <w:rPr>
          <w:sz w:val="28"/>
        </w:rPr>
        <w:tab/>
        <w:t>блок</w:t>
      </w:r>
      <w:r>
        <w:rPr>
          <w:sz w:val="28"/>
        </w:rPr>
        <w:tab/>
        <w:t>нервно-мышечной</w:t>
      </w:r>
      <w:r>
        <w:rPr>
          <w:sz w:val="28"/>
        </w:rPr>
        <w:tab/>
        <w:t>передачи</w:t>
      </w:r>
      <w:r>
        <w:rPr>
          <w:sz w:val="28"/>
        </w:rPr>
        <w:tab/>
      </w:r>
      <w:r>
        <w:rPr>
          <w:spacing w:val="-6"/>
          <w:sz w:val="28"/>
        </w:rPr>
        <w:t xml:space="preserve">(при </w:t>
      </w:r>
      <w:r>
        <w:rPr>
          <w:sz w:val="28"/>
        </w:rPr>
        <w:t>однократном введении не более 15</w:t>
      </w:r>
      <w:r>
        <w:rPr>
          <w:spacing w:val="5"/>
          <w:sz w:val="28"/>
        </w:rPr>
        <w:t xml:space="preserve"> </w:t>
      </w:r>
      <w:r>
        <w:rPr>
          <w:sz w:val="28"/>
        </w:rPr>
        <w:t>мин);</w:t>
      </w:r>
    </w:p>
    <w:p w:rsidR="00645170" w:rsidRDefault="00645170">
      <w:pPr>
        <w:pStyle w:val="ListParagraph"/>
        <w:numPr>
          <w:ilvl w:val="0"/>
          <w:numId w:val="4"/>
        </w:numPr>
        <w:tabs>
          <w:tab w:val="left" w:pos="1431"/>
          <w:tab w:val="left" w:pos="3037"/>
          <w:tab w:val="left" w:pos="5297"/>
          <w:tab w:val="left" w:pos="6045"/>
          <w:tab w:val="left" w:pos="7666"/>
          <w:tab w:val="left" w:pos="8414"/>
        </w:tabs>
        <w:spacing w:before="5" w:line="362" w:lineRule="auto"/>
        <w:ind w:right="522" w:firstLine="710"/>
        <w:rPr>
          <w:sz w:val="28"/>
        </w:rPr>
      </w:pPr>
      <w:r>
        <w:rPr>
          <w:sz w:val="28"/>
        </w:rPr>
        <w:t>отсутствие</w:t>
      </w:r>
      <w:r>
        <w:rPr>
          <w:sz w:val="28"/>
        </w:rPr>
        <w:tab/>
        <w:t>потенцирования</w:t>
      </w:r>
      <w:r>
        <w:rPr>
          <w:sz w:val="28"/>
        </w:rPr>
        <w:tab/>
        <w:t>или</w:t>
      </w:r>
      <w:r>
        <w:rPr>
          <w:sz w:val="28"/>
        </w:rPr>
        <w:tab/>
        <w:t>кумуляции</w:t>
      </w:r>
      <w:r>
        <w:rPr>
          <w:sz w:val="28"/>
        </w:rPr>
        <w:tab/>
        <w:t>при</w:t>
      </w:r>
      <w:r>
        <w:rPr>
          <w:sz w:val="28"/>
        </w:rPr>
        <w:tab/>
      </w:r>
      <w:r>
        <w:rPr>
          <w:w w:val="95"/>
          <w:sz w:val="28"/>
        </w:rPr>
        <w:t xml:space="preserve">повторном </w:t>
      </w:r>
      <w:r>
        <w:rPr>
          <w:sz w:val="28"/>
        </w:rPr>
        <w:t>введении;</w:t>
      </w:r>
    </w:p>
    <w:p w:rsidR="00645170" w:rsidRDefault="00645170">
      <w:pPr>
        <w:pStyle w:val="ListParagraph"/>
        <w:numPr>
          <w:ilvl w:val="0"/>
          <w:numId w:val="4"/>
        </w:numPr>
        <w:tabs>
          <w:tab w:val="left" w:pos="1431"/>
        </w:tabs>
        <w:spacing w:before="0" w:line="314" w:lineRule="exact"/>
        <w:ind w:left="1430" w:hanging="361"/>
        <w:rPr>
          <w:sz w:val="28"/>
        </w:rPr>
      </w:pPr>
      <w:r>
        <w:rPr>
          <w:sz w:val="28"/>
        </w:rPr>
        <w:t>отсутствие побочных</w:t>
      </w:r>
      <w:r>
        <w:rPr>
          <w:spacing w:val="-2"/>
          <w:sz w:val="28"/>
        </w:rPr>
        <w:t xml:space="preserve"> </w:t>
      </w:r>
      <w:r>
        <w:rPr>
          <w:sz w:val="28"/>
        </w:rPr>
        <w:t>эффектов;</w:t>
      </w:r>
    </w:p>
    <w:p w:rsidR="00645170" w:rsidRDefault="00645170">
      <w:pPr>
        <w:pStyle w:val="ListParagraph"/>
        <w:numPr>
          <w:ilvl w:val="0"/>
          <w:numId w:val="4"/>
        </w:numPr>
        <w:tabs>
          <w:tab w:val="left" w:pos="1431"/>
        </w:tabs>
        <w:spacing w:before="164"/>
        <w:ind w:left="1430" w:hanging="361"/>
        <w:rPr>
          <w:sz w:val="28"/>
        </w:rPr>
      </w:pPr>
      <w:r>
        <w:rPr>
          <w:sz w:val="28"/>
        </w:rPr>
        <w:t>низкая</w:t>
      </w:r>
      <w:r>
        <w:rPr>
          <w:spacing w:val="2"/>
          <w:sz w:val="28"/>
        </w:rPr>
        <w:t xml:space="preserve"> </w:t>
      </w:r>
      <w:r>
        <w:rPr>
          <w:sz w:val="28"/>
        </w:rPr>
        <w:t>токсичность;</w:t>
      </w:r>
    </w:p>
    <w:p w:rsidR="00645170" w:rsidRDefault="00645170">
      <w:pPr>
        <w:pStyle w:val="ListParagraph"/>
        <w:numPr>
          <w:ilvl w:val="0"/>
          <w:numId w:val="4"/>
        </w:numPr>
        <w:tabs>
          <w:tab w:val="left" w:pos="1431"/>
        </w:tabs>
        <w:spacing w:before="158" w:line="362" w:lineRule="auto"/>
        <w:ind w:right="514" w:firstLine="710"/>
        <w:rPr>
          <w:sz w:val="28"/>
        </w:rPr>
      </w:pPr>
      <w:r>
        <w:rPr>
          <w:sz w:val="28"/>
        </w:rPr>
        <w:t>отсутствие физиологической и токсической активности метаболитов и их быстрое выведение из</w:t>
      </w:r>
      <w:r>
        <w:rPr>
          <w:spacing w:val="1"/>
          <w:sz w:val="28"/>
        </w:rPr>
        <w:t xml:space="preserve"> </w:t>
      </w:r>
      <w:r>
        <w:rPr>
          <w:sz w:val="28"/>
        </w:rPr>
        <w:t>организма;</w:t>
      </w:r>
    </w:p>
    <w:p w:rsidR="00645170" w:rsidRDefault="00645170">
      <w:pPr>
        <w:pStyle w:val="ListParagraph"/>
        <w:numPr>
          <w:ilvl w:val="0"/>
          <w:numId w:val="4"/>
        </w:numPr>
        <w:tabs>
          <w:tab w:val="left" w:pos="1431"/>
        </w:tabs>
        <w:spacing w:before="0" w:line="319" w:lineRule="exact"/>
        <w:ind w:left="1430" w:hanging="361"/>
        <w:rPr>
          <w:sz w:val="28"/>
        </w:rPr>
      </w:pPr>
      <w:r>
        <w:rPr>
          <w:sz w:val="28"/>
        </w:rPr>
        <w:t>наличие эффективных</w:t>
      </w:r>
      <w:r>
        <w:rPr>
          <w:spacing w:val="-2"/>
          <w:sz w:val="28"/>
        </w:rPr>
        <w:t xml:space="preserve"> </w:t>
      </w:r>
      <w:r>
        <w:rPr>
          <w:sz w:val="28"/>
        </w:rPr>
        <w:t>антагонистов;</w:t>
      </w:r>
    </w:p>
    <w:p w:rsidR="00645170" w:rsidRDefault="00645170">
      <w:pPr>
        <w:pStyle w:val="ListParagraph"/>
        <w:numPr>
          <w:ilvl w:val="0"/>
          <w:numId w:val="4"/>
        </w:numPr>
        <w:tabs>
          <w:tab w:val="left" w:pos="1431"/>
        </w:tabs>
        <w:spacing w:before="158"/>
        <w:ind w:left="1430" w:hanging="361"/>
        <w:rPr>
          <w:sz w:val="28"/>
        </w:rPr>
      </w:pPr>
      <w:r>
        <w:rPr>
          <w:sz w:val="28"/>
        </w:rPr>
        <w:t>стойкость при</w:t>
      </w:r>
      <w:r>
        <w:rPr>
          <w:spacing w:val="4"/>
          <w:sz w:val="28"/>
        </w:rPr>
        <w:t xml:space="preserve"> </w:t>
      </w:r>
      <w:r>
        <w:rPr>
          <w:sz w:val="28"/>
        </w:rPr>
        <w:t>хранении;</w:t>
      </w:r>
    </w:p>
    <w:p w:rsidR="00645170" w:rsidRDefault="00645170">
      <w:pPr>
        <w:pStyle w:val="ListParagraph"/>
        <w:numPr>
          <w:ilvl w:val="0"/>
          <w:numId w:val="4"/>
        </w:numPr>
        <w:tabs>
          <w:tab w:val="left" w:pos="1431"/>
        </w:tabs>
        <w:ind w:left="1430" w:hanging="361"/>
        <w:rPr>
          <w:sz w:val="28"/>
        </w:rPr>
      </w:pPr>
      <w:r>
        <w:rPr>
          <w:sz w:val="28"/>
        </w:rPr>
        <w:t>рентабельность для промышленного</w:t>
      </w:r>
      <w:r>
        <w:rPr>
          <w:spacing w:val="1"/>
          <w:sz w:val="28"/>
        </w:rPr>
        <w:t xml:space="preserve"> </w:t>
      </w:r>
      <w:r>
        <w:rPr>
          <w:sz w:val="28"/>
        </w:rPr>
        <w:t>производства.</w:t>
      </w:r>
    </w:p>
    <w:p w:rsidR="00645170" w:rsidRDefault="00645170">
      <w:pPr>
        <w:rPr>
          <w:sz w:val="28"/>
        </w:rPr>
        <w:sectPr w:rsidR="00645170">
          <w:headerReference w:type="default" r:id="rId30"/>
          <w:footerReference w:type="default" r:id="rId31"/>
          <w:pgSz w:w="11910" w:h="16840"/>
          <w:pgMar w:top="1040" w:right="340" w:bottom="1140" w:left="1340" w:header="714" w:footer="959" w:gutter="0"/>
          <w:pgNumType w:start="13"/>
          <w:cols w:space="720"/>
        </w:sectPr>
      </w:pPr>
    </w:p>
    <w:p w:rsidR="00645170" w:rsidRDefault="00645170">
      <w:pPr>
        <w:pStyle w:val="BodyText"/>
        <w:spacing w:before="106"/>
        <w:ind w:left="1070"/>
      </w:pPr>
      <w:r>
        <w:t>Таблица 4</w:t>
      </w:r>
    </w:p>
    <w:p w:rsidR="00645170" w:rsidRDefault="00645170">
      <w:pPr>
        <w:pStyle w:val="BodyText"/>
        <w:spacing w:before="158"/>
        <w:ind w:left="1070"/>
      </w:pPr>
      <w:r>
        <w:t>Современные миорелаксанты (1)</w:t>
      </w:r>
    </w:p>
    <w:p w:rsidR="00645170" w:rsidRDefault="00645170">
      <w:pPr>
        <w:pStyle w:val="BodyText"/>
        <w:spacing w:before="9"/>
        <w:ind w:left="0"/>
        <w:rPr>
          <w:sz w:val="14"/>
        </w:rPr>
      </w:pPr>
    </w:p>
    <w:tbl>
      <w:tblPr>
        <w:tblW w:w="0" w:type="auto"/>
        <w:tblInd w:w="3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417"/>
        <w:gridCol w:w="854"/>
        <w:gridCol w:w="754"/>
        <w:gridCol w:w="706"/>
        <w:gridCol w:w="1407"/>
        <w:gridCol w:w="1129"/>
        <w:gridCol w:w="701"/>
        <w:gridCol w:w="1129"/>
        <w:gridCol w:w="1268"/>
      </w:tblGrid>
      <w:tr w:rsidR="00645170">
        <w:trPr>
          <w:trHeight w:val="1377"/>
        </w:trPr>
        <w:tc>
          <w:tcPr>
            <w:tcW w:w="1417" w:type="dxa"/>
          </w:tcPr>
          <w:p w:rsidR="00645170" w:rsidRDefault="00645170">
            <w:pPr>
              <w:pStyle w:val="TableParagraph"/>
              <w:ind w:left="11"/>
              <w:rPr>
                <w:sz w:val="20"/>
              </w:rPr>
            </w:pPr>
            <w:r>
              <w:rPr>
                <w:sz w:val="20"/>
              </w:rPr>
              <w:t>Name</w:t>
            </w:r>
          </w:p>
        </w:tc>
        <w:tc>
          <w:tcPr>
            <w:tcW w:w="854" w:type="dxa"/>
          </w:tcPr>
          <w:p w:rsidR="00645170" w:rsidRDefault="00645170">
            <w:pPr>
              <w:pStyle w:val="TableParagraph"/>
              <w:spacing w:line="360" w:lineRule="auto"/>
              <w:ind w:left="11" w:right="13"/>
              <w:rPr>
                <w:sz w:val="20"/>
              </w:rPr>
            </w:pPr>
            <w:r>
              <w:rPr>
                <w:sz w:val="20"/>
              </w:rPr>
              <w:t>Высвобо ждение гистамин</w:t>
            </w:r>
          </w:p>
          <w:p w:rsidR="00645170" w:rsidRDefault="00645170">
            <w:pPr>
              <w:pStyle w:val="TableParagraph"/>
              <w:spacing w:line="228" w:lineRule="exact"/>
              <w:ind w:left="11"/>
              <w:rPr>
                <w:sz w:val="20"/>
              </w:rPr>
            </w:pPr>
            <w:r>
              <w:rPr>
                <w:sz w:val="20"/>
              </w:rPr>
              <w:t>а</w:t>
            </w:r>
          </w:p>
        </w:tc>
        <w:tc>
          <w:tcPr>
            <w:tcW w:w="754" w:type="dxa"/>
          </w:tcPr>
          <w:p w:rsidR="00645170" w:rsidRDefault="00645170">
            <w:pPr>
              <w:pStyle w:val="TableParagraph"/>
              <w:ind w:left="7"/>
              <w:rPr>
                <w:sz w:val="20"/>
              </w:rPr>
            </w:pPr>
            <w:r>
              <w:rPr>
                <w:sz w:val="20"/>
              </w:rPr>
              <w:t>Вагус</w:t>
            </w:r>
          </w:p>
        </w:tc>
        <w:tc>
          <w:tcPr>
            <w:tcW w:w="706" w:type="dxa"/>
          </w:tcPr>
          <w:p w:rsidR="00645170" w:rsidRDefault="00645170">
            <w:pPr>
              <w:pStyle w:val="TableParagraph"/>
              <w:spacing w:line="360" w:lineRule="auto"/>
              <w:ind w:left="12" w:right="-25"/>
              <w:rPr>
                <w:sz w:val="20"/>
              </w:rPr>
            </w:pPr>
            <w:r>
              <w:rPr>
                <w:sz w:val="20"/>
              </w:rPr>
              <w:t xml:space="preserve">Гангли онарная </w:t>
            </w:r>
            <w:r>
              <w:rPr>
                <w:spacing w:val="-2"/>
                <w:sz w:val="20"/>
              </w:rPr>
              <w:t>стимул</w:t>
            </w:r>
          </w:p>
          <w:p w:rsidR="00645170" w:rsidRDefault="00645170">
            <w:pPr>
              <w:pStyle w:val="TableParagraph"/>
              <w:spacing w:line="228" w:lineRule="exact"/>
              <w:ind w:left="12"/>
              <w:rPr>
                <w:sz w:val="20"/>
              </w:rPr>
            </w:pPr>
            <w:r>
              <w:rPr>
                <w:sz w:val="20"/>
              </w:rPr>
              <w:t>яция</w:t>
            </w:r>
          </w:p>
        </w:tc>
        <w:tc>
          <w:tcPr>
            <w:tcW w:w="1407" w:type="dxa"/>
          </w:tcPr>
          <w:p w:rsidR="00645170" w:rsidRDefault="00645170">
            <w:pPr>
              <w:pStyle w:val="TableParagraph"/>
              <w:ind w:left="12"/>
              <w:rPr>
                <w:sz w:val="20"/>
              </w:rPr>
            </w:pPr>
            <w:r>
              <w:rPr>
                <w:sz w:val="20"/>
              </w:rPr>
              <w:t>Форма выпуска</w:t>
            </w:r>
          </w:p>
        </w:tc>
        <w:tc>
          <w:tcPr>
            <w:tcW w:w="1129" w:type="dxa"/>
          </w:tcPr>
          <w:p w:rsidR="00645170" w:rsidRDefault="00645170">
            <w:pPr>
              <w:pStyle w:val="TableParagraph"/>
              <w:ind w:left="12"/>
              <w:rPr>
                <w:sz w:val="20"/>
              </w:rPr>
            </w:pPr>
            <w:r>
              <w:rPr>
                <w:sz w:val="20"/>
              </w:rPr>
              <w:t>Дозировка</w:t>
            </w:r>
          </w:p>
        </w:tc>
        <w:tc>
          <w:tcPr>
            <w:tcW w:w="701" w:type="dxa"/>
          </w:tcPr>
          <w:p w:rsidR="00645170" w:rsidRDefault="00645170">
            <w:pPr>
              <w:pStyle w:val="TableParagraph"/>
              <w:spacing w:line="360" w:lineRule="auto"/>
              <w:ind w:left="6" w:right="-4"/>
              <w:rPr>
                <w:sz w:val="20"/>
              </w:rPr>
            </w:pPr>
            <w:r>
              <w:rPr>
                <w:sz w:val="20"/>
              </w:rPr>
              <w:t>Время развити я блока</w:t>
            </w:r>
          </w:p>
        </w:tc>
        <w:tc>
          <w:tcPr>
            <w:tcW w:w="1129" w:type="dxa"/>
          </w:tcPr>
          <w:p w:rsidR="00645170" w:rsidRDefault="00645170">
            <w:pPr>
              <w:pStyle w:val="TableParagraph"/>
              <w:spacing w:line="360" w:lineRule="auto"/>
              <w:ind w:left="11" w:right="15"/>
              <w:rPr>
                <w:sz w:val="20"/>
              </w:rPr>
            </w:pPr>
            <w:r>
              <w:rPr>
                <w:sz w:val="20"/>
              </w:rPr>
              <w:t>Продолжите льность действия</w:t>
            </w:r>
          </w:p>
        </w:tc>
        <w:tc>
          <w:tcPr>
            <w:tcW w:w="1268" w:type="dxa"/>
          </w:tcPr>
          <w:p w:rsidR="00645170" w:rsidRDefault="00645170">
            <w:pPr>
              <w:pStyle w:val="TableParagraph"/>
              <w:ind w:left="10"/>
              <w:rPr>
                <w:sz w:val="20"/>
              </w:rPr>
            </w:pPr>
            <w:r>
              <w:rPr>
                <w:sz w:val="20"/>
              </w:rPr>
              <w:t>Цена</w:t>
            </w:r>
          </w:p>
        </w:tc>
      </w:tr>
      <w:tr w:rsidR="00645170">
        <w:trPr>
          <w:trHeight w:val="345"/>
        </w:trPr>
        <w:tc>
          <w:tcPr>
            <w:tcW w:w="1417" w:type="dxa"/>
          </w:tcPr>
          <w:p w:rsidR="00645170" w:rsidRDefault="00645170">
            <w:pPr>
              <w:pStyle w:val="TableParagraph"/>
              <w:ind w:left="11"/>
              <w:rPr>
                <w:sz w:val="20"/>
              </w:rPr>
            </w:pPr>
            <w:r>
              <w:rPr>
                <w:sz w:val="20"/>
              </w:rPr>
              <w:t>Сукцинилхолин</w:t>
            </w:r>
          </w:p>
        </w:tc>
        <w:tc>
          <w:tcPr>
            <w:tcW w:w="854" w:type="dxa"/>
          </w:tcPr>
          <w:p w:rsidR="00645170" w:rsidRDefault="00645170">
            <w:pPr>
              <w:pStyle w:val="TableParagraph"/>
              <w:spacing w:line="240" w:lineRule="auto"/>
              <w:ind w:left="0"/>
              <w:rPr>
                <w:sz w:val="20"/>
              </w:rPr>
            </w:pPr>
          </w:p>
        </w:tc>
        <w:tc>
          <w:tcPr>
            <w:tcW w:w="754" w:type="dxa"/>
          </w:tcPr>
          <w:p w:rsidR="00645170" w:rsidRDefault="00645170">
            <w:pPr>
              <w:pStyle w:val="TableParagraph"/>
              <w:ind w:left="7"/>
              <w:rPr>
                <w:sz w:val="20"/>
              </w:rPr>
            </w:pPr>
            <w:r>
              <w:rPr>
                <w:sz w:val="20"/>
              </w:rPr>
              <w:t>Стим.</w:t>
            </w:r>
          </w:p>
        </w:tc>
        <w:tc>
          <w:tcPr>
            <w:tcW w:w="706" w:type="dxa"/>
          </w:tcPr>
          <w:p w:rsidR="00645170" w:rsidRDefault="00645170">
            <w:pPr>
              <w:pStyle w:val="TableParagraph"/>
              <w:ind w:left="12"/>
              <w:rPr>
                <w:sz w:val="20"/>
              </w:rPr>
            </w:pPr>
            <w:r>
              <w:rPr>
                <w:sz w:val="20"/>
              </w:rPr>
              <w:t>Стим.</w:t>
            </w:r>
          </w:p>
        </w:tc>
        <w:tc>
          <w:tcPr>
            <w:tcW w:w="1407" w:type="dxa"/>
          </w:tcPr>
          <w:p w:rsidR="00645170" w:rsidRDefault="00645170">
            <w:pPr>
              <w:pStyle w:val="TableParagraph"/>
              <w:ind w:left="12"/>
              <w:rPr>
                <w:sz w:val="20"/>
              </w:rPr>
            </w:pPr>
            <w:r>
              <w:rPr>
                <w:sz w:val="20"/>
              </w:rPr>
              <w:t>20 мг/мл</w:t>
            </w:r>
          </w:p>
        </w:tc>
        <w:tc>
          <w:tcPr>
            <w:tcW w:w="1129" w:type="dxa"/>
          </w:tcPr>
          <w:p w:rsidR="00645170" w:rsidRDefault="00645170">
            <w:pPr>
              <w:pStyle w:val="TableParagraph"/>
              <w:ind w:left="12"/>
              <w:rPr>
                <w:sz w:val="20"/>
              </w:rPr>
            </w:pPr>
            <w:r>
              <w:rPr>
                <w:sz w:val="20"/>
              </w:rPr>
              <w:t>1 мг/кг</w:t>
            </w:r>
          </w:p>
        </w:tc>
        <w:tc>
          <w:tcPr>
            <w:tcW w:w="701" w:type="dxa"/>
          </w:tcPr>
          <w:p w:rsidR="00645170" w:rsidRDefault="00645170">
            <w:pPr>
              <w:pStyle w:val="TableParagraph"/>
              <w:ind w:left="6"/>
              <w:rPr>
                <w:sz w:val="20"/>
              </w:rPr>
            </w:pPr>
            <w:r>
              <w:rPr>
                <w:sz w:val="20"/>
              </w:rPr>
              <w:t>30 с</w:t>
            </w:r>
          </w:p>
        </w:tc>
        <w:tc>
          <w:tcPr>
            <w:tcW w:w="1129" w:type="dxa"/>
          </w:tcPr>
          <w:p w:rsidR="00645170" w:rsidRDefault="00645170">
            <w:pPr>
              <w:pStyle w:val="TableParagraph"/>
              <w:ind w:left="11"/>
              <w:rPr>
                <w:sz w:val="20"/>
              </w:rPr>
            </w:pPr>
            <w:r>
              <w:rPr>
                <w:sz w:val="20"/>
              </w:rPr>
              <w:t>5-10 мин</w:t>
            </w:r>
          </w:p>
        </w:tc>
        <w:tc>
          <w:tcPr>
            <w:tcW w:w="1268" w:type="dxa"/>
          </w:tcPr>
          <w:p w:rsidR="00645170" w:rsidRDefault="00645170">
            <w:pPr>
              <w:pStyle w:val="TableParagraph"/>
              <w:ind w:left="10"/>
              <w:rPr>
                <w:sz w:val="20"/>
              </w:rPr>
            </w:pPr>
            <w:r>
              <w:rPr>
                <w:sz w:val="20"/>
              </w:rPr>
              <w:t>$0.36/200 мг</w:t>
            </w:r>
          </w:p>
        </w:tc>
      </w:tr>
      <w:tr w:rsidR="00645170">
        <w:trPr>
          <w:trHeight w:val="345"/>
        </w:trPr>
        <w:tc>
          <w:tcPr>
            <w:tcW w:w="1417" w:type="dxa"/>
          </w:tcPr>
          <w:p w:rsidR="00645170" w:rsidRDefault="00645170">
            <w:pPr>
              <w:pStyle w:val="TableParagraph"/>
              <w:ind w:left="11"/>
              <w:rPr>
                <w:sz w:val="20"/>
              </w:rPr>
            </w:pPr>
            <w:r>
              <w:rPr>
                <w:sz w:val="20"/>
              </w:rPr>
              <w:t>d-тубокурарин</w:t>
            </w:r>
          </w:p>
        </w:tc>
        <w:tc>
          <w:tcPr>
            <w:tcW w:w="854" w:type="dxa"/>
          </w:tcPr>
          <w:p w:rsidR="00645170" w:rsidRDefault="00645170">
            <w:pPr>
              <w:pStyle w:val="TableParagraph"/>
              <w:spacing w:line="240" w:lineRule="auto"/>
              <w:ind w:left="0"/>
              <w:rPr>
                <w:sz w:val="20"/>
              </w:rPr>
            </w:pPr>
          </w:p>
        </w:tc>
        <w:tc>
          <w:tcPr>
            <w:tcW w:w="754" w:type="dxa"/>
          </w:tcPr>
          <w:p w:rsidR="00645170" w:rsidRDefault="00645170">
            <w:pPr>
              <w:pStyle w:val="TableParagraph"/>
              <w:ind w:left="7"/>
              <w:rPr>
                <w:sz w:val="20"/>
              </w:rPr>
            </w:pPr>
            <w:r>
              <w:rPr>
                <w:sz w:val="20"/>
              </w:rPr>
              <w:t>-</w:t>
            </w:r>
          </w:p>
        </w:tc>
        <w:tc>
          <w:tcPr>
            <w:tcW w:w="706" w:type="dxa"/>
          </w:tcPr>
          <w:p w:rsidR="00645170" w:rsidRDefault="00645170">
            <w:pPr>
              <w:pStyle w:val="TableParagraph"/>
              <w:ind w:left="12"/>
              <w:rPr>
                <w:sz w:val="20"/>
              </w:rPr>
            </w:pPr>
            <w:r>
              <w:rPr>
                <w:sz w:val="20"/>
              </w:rPr>
              <w:t>Блок.</w:t>
            </w:r>
          </w:p>
        </w:tc>
        <w:tc>
          <w:tcPr>
            <w:tcW w:w="1407" w:type="dxa"/>
          </w:tcPr>
          <w:p w:rsidR="00645170" w:rsidRDefault="00645170">
            <w:pPr>
              <w:pStyle w:val="TableParagraph"/>
              <w:ind w:left="12"/>
              <w:rPr>
                <w:sz w:val="20"/>
              </w:rPr>
            </w:pPr>
            <w:r>
              <w:rPr>
                <w:sz w:val="20"/>
              </w:rPr>
              <w:t>3 мг/мл</w:t>
            </w:r>
          </w:p>
        </w:tc>
        <w:tc>
          <w:tcPr>
            <w:tcW w:w="1129" w:type="dxa"/>
          </w:tcPr>
          <w:p w:rsidR="00645170" w:rsidRDefault="00645170">
            <w:pPr>
              <w:pStyle w:val="TableParagraph"/>
              <w:ind w:left="12"/>
              <w:rPr>
                <w:sz w:val="20"/>
              </w:rPr>
            </w:pPr>
            <w:r>
              <w:rPr>
                <w:sz w:val="20"/>
              </w:rPr>
              <w:t>0.5 мг/кг</w:t>
            </w:r>
          </w:p>
        </w:tc>
        <w:tc>
          <w:tcPr>
            <w:tcW w:w="701" w:type="dxa"/>
          </w:tcPr>
          <w:p w:rsidR="00645170" w:rsidRDefault="00645170">
            <w:pPr>
              <w:pStyle w:val="TableParagraph"/>
              <w:ind w:left="6"/>
              <w:rPr>
                <w:sz w:val="20"/>
              </w:rPr>
            </w:pPr>
            <w:r>
              <w:rPr>
                <w:sz w:val="20"/>
              </w:rPr>
              <w:t>3 мин</w:t>
            </w:r>
          </w:p>
        </w:tc>
        <w:tc>
          <w:tcPr>
            <w:tcW w:w="1129" w:type="dxa"/>
          </w:tcPr>
          <w:p w:rsidR="00645170" w:rsidRDefault="00645170">
            <w:pPr>
              <w:pStyle w:val="TableParagraph"/>
              <w:ind w:left="11"/>
              <w:rPr>
                <w:sz w:val="20"/>
              </w:rPr>
            </w:pPr>
            <w:r>
              <w:rPr>
                <w:sz w:val="20"/>
              </w:rPr>
              <w:t>60-100 мин</w:t>
            </w:r>
          </w:p>
        </w:tc>
        <w:tc>
          <w:tcPr>
            <w:tcW w:w="1268" w:type="dxa"/>
          </w:tcPr>
          <w:p w:rsidR="00645170" w:rsidRDefault="00645170">
            <w:pPr>
              <w:pStyle w:val="TableParagraph"/>
              <w:ind w:left="10"/>
              <w:rPr>
                <w:sz w:val="20"/>
              </w:rPr>
            </w:pPr>
            <w:r>
              <w:rPr>
                <w:sz w:val="20"/>
              </w:rPr>
              <w:t>$4.51/60 мг</w:t>
            </w:r>
          </w:p>
        </w:tc>
      </w:tr>
      <w:tr w:rsidR="00645170">
        <w:trPr>
          <w:trHeight w:val="345"/>
        </w:trPr>
        <w:tc>
          <w:tcPr>
            <w:tcW w:w="1417" w:type="dxa"/>
          </w:tcPr>
          <w:p w:rsidR="00645170" w:rsidRDefault="00645170">
            <w:pPr>
              <w:pStyle w:val="TableParagraph"/>
              <w:ind w:left="11"/>
              <w:rPr>
                <w:sz w:val="20"/>
              </w:rPr>
            </w:pPr>
            <w:r>
              <w:rPr>
                <w:sz w:val="20"/>
              </w:rPr>
              <w:t>Метокурин</w:t>
            </w:r>
          </w:p>
        </w:tc>
        <w:tc>
          <w:tcPr>
            <w:tcW w:w="854" w:type="dxa"/>
          </w:tcPr>
          <w:p w:rsidR="00645170" w:rsidRDefault="00645170">
            <w:pPr>
              <w:pStyle w:val="TableParagraph"/>
              <w:ind w:left="11"/>
              <w:rPr>
                <w:sz w:val="20"/>
              </w:rPr>
            </w:pPr>
            <w:r>
              <w:rPr>
                <w:sz w:val="20"/>
              </w:rPr>
              <w:t>-</w:t>
            </w:r>
          </w:p>
        </w:tc>
        <w:tc>
          <w:tcPr>
            <w:tcW w:w="754" w:type="dxa"/>
          </w:tcPr>
          <w:p w:rsidR="00645170" w:rsidRDefault="00645170">
            <w:pPr>
              <w:pStyle w:val="TableParagraph"/>
              <w:ind w:left="7"/>
              <w:rPr>
                <w:sz w:val="20"/>
              </w:rPr>
            </w:pPr>
            <w:r>
              <w:rPr>
                <w:sz w:val="20"/>
              </w:rPr>
              <w:t>-</w:t>
            </w:r>
          </w:p>
        </w:tc>
        <w:tc>
          <w:tcPr>
            <w:tcW w:w="706" w:type="dxa"/>
          </w:tcPr>
          <w:p w:rsidR="00645170" w:rsidRDefault="00645170">
            <w:pPr>
              <w:pStyle w:val="TableParagraph"/>
              <w:ind w:left="12"/>
              <w:rPr>
                <w:sz w:val="20"/>
              </w:rPr>
            </w:pPr>
            <w:r>
              <w:rPr>
                <w:sz w:val="20"/>
              </w:rPr>
              <w:t>Блок.</w:t>
            </w:r>
          </w:p>
        </w:tc>
        <w:tc>
          <w:tcPr>
            <w:tcW w:w="1407" w:type="dxa"/>
          </w:tcPr>
          <w:p w:rsidR="00645170" w:rsidRDefault="00645170">
            <w:pPr>
              <w:pStyle w:val="TableParagraph"/>
              <w:ind w:left="12"/>
              <w:rPr>
                <w:sz w:val="20"/>
              </w:rPr>
            </w:pPr>
            <w:r>
              <w:rPr>
                <w:sz w:val="20"/>
              </w:rPr>
              <w:t>2 мг/мл</w:t>
            </w:r>
          </w:p>
        </w:tc>
        <w:tc>
          <w:tcPr>
            <w:tcW w:w="1129" w:type="dxa"/>
          </w:tcPr>
          <w:p w:rsidR="00645170" w:rsidRDefault="00645170">
            <w:pPr>
              <w:pStyle w:val="TableParagraph"/>
              <w:ind w:left="12"/>
              <w:rPr>
                <w:sz w:val="20"/>
              </w:rPr>
            </w:pPr>
            <w:r>
              <w:rPr>
                <w:sz w:val="20"/>
              </w:rPr>
              <w:t>0.3 мг/кг</w:t>
            </w:r>
          </w:p>
        </w:tc>
        <w:tc>
          <w:tcPr>
            <w:tcW w:w="701" w:type="dxa"/>
          </w:tcPr>
          <w:p w:rsidR="00645170" w:rsidRDefault="00645170">
            <w:pPr>
              <w:pStyle w:val="TableParagraph"/>
              <w:ind w:left="6"/>
              <w:rPr>
                <w:sz w:val="20"/>
              </w:rPr>
            </w:pPr>
            <w:r>
              <w:rPr>
                <w:sz w:val="20"/>
              </w:rPr>
              <w:t>3 мин</w:t>
            </w:r>
          </w:p>
        </w:tc>
        <w:tc>
          <w:tcPr>
            <w:tcW w:w="1129" w:type="dxa"/>
          </w:tcPr>
          <w:p w:rsidR="00645170" w:rsidRDefault="00645170">
            <w:pPr>
              <w:pStyle w:val="TableParagraph"/>
              <w:ind w:left="11"/>
              <w:rPr>
                <w:sz w:val="20"/>
              </w:rPr>
            </w:pPr>
            <w:r>
              <w:rPr>
                <w:sz w:val="20"/>
              </w:rPr>
              <w:t>60-120 мин</w:t>
            </w:r>
          </w:p>
        </w:tc>
        <w:tc>
          <w:tcPr>
            <w:tcW w:w="1268" w:type="dxa"/>
          </w:tcPr>
          <w:p w:rsidR="00645170" w:rsidRDefault="00645170">
            <w:pPr>
              <w:pStyle w:val="TableParagraph"/>
              <w:ind w:left="10"/>
              <w:rPr>
                <w:sz w:val="20"/>
              </w:rPr>
            </w:pPr>
            <w:r>
              <w:rPr>
                <w:sz w:val="20"/>
              </w:rPr>
              <w:t>$20.27/40 мг</w:t>
            </w:r>
          </w:p>
        </w:tc>
      </w:tr>
      <w:tr w:rsidR="00645170">
        <w:trPr>
          <w:trHeight w:val="345"/>
        </w:trPr>
        <w:tc>
          <w:tcPr>
            <w:tcW w:w="1417" w:type="dxa"/>
          </w:tcPr>
          <w:p w:rsidR="00645170" w:rsidRDefault="00645170">
            <w:pPr>
              <w:pStyle w:val="TableParagraph"/>
              <w:ind w:left="11"/>
              <w:rPr>
                <w:sz w:val="20"/>
              </w:rPr>
            </w:pPr>
            <w:r>
              <w:rPr>
                <w:sz w:val="20"/>
              </w:rPr>
              <w:t>Панкуроний</w:t>
            </w:r>
          </w:p>
        </w:tc>
        <w:tc>
          <w:tcPr>
            <w:tcW w:w="854" w:type="dxa"/>
          </w:tcPr>
          <w:p w:rsidR="00645170" w:rsidRDefault="00645170">
            <w:pPr>
              <w:pStyle w:val="TableParagraph"/>
              <w:ind w:left="11"/>
              <w:rPr>
                <w:sz w:val="20"/>
              </w:rPr>
            </w:pPr>
            <w:r>
              <w:rPr>
                <w:sz w:val="20"/>
              </w:rPr>
              <w:t>-</w:t>
            </w:r>
          </w:p>
        </w:tc>
        <w:tc>
          <w:tcPr>
            <w:tcW w:w="754" w:type="dxa"/>
          </w:tcPr>
          <w:p w:rsidR="00645170" w:rsidRDefault="00645170">
            <w:pPr>
              <w:pStyle w:val="TableParagraph"/>
              <w:ind w:left="7"/>
              <w:rPr>
                <w:sz w:val="20"/>
              </w:rPr>
            </w:pPr>
            <w:r>
              <w:rPr>
                <w:sz w:val="20"/>
              </w:rPr>
              <w:t>Блок.</w:t>
            </w:r>
          </w:p>
        </w:tc>
        <w:tc>
          <w:tcPr>
            <w:tcW w:w="706" w:type="dxa"/>
          </w:tcPr>
          <w:p w:rsidR="00645170" w:rsidRDefault="00645170">
            <w:pPr>
              <w:pStyle w:val="TableParagraph"/>
              <w:ind w:left="12"/>
              <w:rPr>
                <w:sz w:val="20"/>
              </w:rPr>
            </w:pPr>
            <w:r>
              <w:rPr>
                <w:sz w:val="20"/>
              </w:rPr>
              <w:t>-</w:t>
            </w:r>
          </w:p>
        </w:tc>
        <w:tc>
          <w:tcPr>
            <w:tcW w:w="1407" w:type="dxa"/>
          </w:tcPr>
          <w:p w:rsidR="00645170" w:rsidRDefault="00645170">
            <w:pPr>
              <w:pStyle w:val="TableParagraph"/>
              <w:ind w:left="12"/>
              <w:rPr>
                <w:sz w:val="20"/>
              </w:rPr>
            </w:pPr>
            <w:r>
              <w:rPr>
                <w:sz w:val="20"/>
              </w:rPr>
              <w:t>1 мг/мл</w:t>
            </w:r>
          </w:p>
        </w:tc>
        <w:tc>
          <w:tcPr>
            <w:tcW w:w="1129" w:type="dxa"/>
          </w:tcPr>
          <w:p w:rsidR="00645170" w:rsidRDefault="00645170">
            <w:pPr>
              <w:pStyle w:val="TableParagraph"/>
              <w:ind w:left="12"/>
              <w:rPr>
                <w:sz w:val="20"/>
              </w:rPr>
            </w:pPr>
            <w:r>
              <w:rPr>
                <w:sz w:val="20"/>
              </w:rPr>
              <w:t>0.1 мг/кг</w:t>
            </w:r>
          </w:p>
        </w:tc>
        <w:tc>
          <w:tcPr>
            <w:tcW w:w="701" w:type="dxa"/>
          </w:tcPr>
          <w:p w:rsidR="00645170" w:rsidRDefault="00645170">
            <w:pPr>
              <w:pStyle w:val="TableParagraph"/>
              <w:ind w:left="6"/>
              <w:rPr>
                <w:sz w:val="20"/>
              </w:rPr>
            </w:pPr>
            <w:r>
              <w:rPr>
                <w:sz w:val="20"/>
              </w:rPr>
              <w:t>3 мин</w:t>
            </w:r>
          </w:p>
        </w:tc>
        <w:tc>
          <w:tcPr>
            <w:tcW w:w="1129" w:type="dxa"/>
          </w:tcPr>
          <w:p w:rsidR="00645170" w:rsidRDefault="00645170">
            <w:pPr>
              <w:pStyle w:val="TableParagraph"/>
              <w:ind w:left="11"/>
              <w:rPr>
                <w:sz w:val="20"/>
              </w:rPr>
            </w:pPr>
            <w:r>
              <w:rPr>
                <w:sz w:val="20"/>
              </w:rPr>
              <w:t>60-120 мин</w:t>
            </w:r>
          </w:p>
        </w:tc>
        <w:tc>
          <w:tcPr>
            <w:tcW w:w="1268" w:type="dxa"/>
          </w:tcPr>
          <w:p w:rsidR="00645170" w:rsidRDefault="00645170">
            <w:pPr>
              <w:pStyle w:val="TableParagraph"/>
              <w:ind w:left="10"/>
              <w:rPr>
                <w:sz w:val="20"/>
              </w:rPr>
            </w:pPr>
            <w:r>
              <w:rPr>
                <w:sz w:val="20"/>
              </w:rPr>
              <w:t>$1.31/10 мг</w:t>
            </w:r>
          </w:p>
        </w:tc>
      </w:tr>
      <w:tr w:rsidR="00645170">
        <w:trPr>
          <w:trHeight w:val="345"/>
        </w:trPr>
        <w:tc>
          <w:tcPr>
            <w:tcW w:w="1417" w:type="dxa"/>
          </w:tcPr>
          <w:p w:rsidR="00645170" w:rsidRDefault="00645170">
            <w:pPr>
              <w:pStyle w:val="TableParagraph"/>
              <w:ind w:left="11"/>
              <w:rPr>
                <w:sz w:val="20"/>
              </w:rPr>
            </w:pPr>
            <w:r>
              <w:rPr>
                <w:sz w:val="20"/>
              </w:rPr>
              <w:t>Доксакурий</w:t>
            </w:r>
          </w:p>
        </w:tc>
        <w:tc>
          <w:tcPr>
            <w:tcW w:w="854" w:type="dxa"/>
          </w:tcPr>
          <w:p w:rsidR="00645170" w:rsidRDefault="00645170">
            <w:pPr>
              <w:pStyle w:val="TableParagraph"/>
              <w:ind w:left="11"/>
              <w:rPr>
                <w:sz w:val="20"/>
              </w:rPr>
            </w:pPr>
            <w:r>
              <w:rPr>
                <w:sz w:val="20"/>
              </w:rPr>
              <w:t>-</w:t>
            </w:r>
          </w:p>
        </w:tc>
        <w:tc>
          <w:tcPr>
            <w:tcW w:w="754" w:type="dxa"/>
          </w:tcPr>
          <w:p w:rsidR="00645170" w:rsidRDefault="00645170">
            <w:pPr>
              <w:pStyle w:val="TableParagraph"/>
              <w:ind w:left="7"/>
              <w:rPr>
                <w:sz w:val="20"/>
              </w:rPr>
            </w:pPr>
            <w:r>
              <w:rPr>
                <w:sz w:val="20"/>
              </w:rPr>
              <w:t>-</w:t>
            </w:r>
          </w:p>
        </w:tc>
        <w:tc>
          <w:tcPr>
            <w:tcW w:w="706" w:type="dxa"/>
          </w:tcPr>
          <w:p w:rsidR="00645170" w:rsidRDefault="00645170">
            <w:pPr>
              <w:pStyle w:val="TableParagraph"/>
              <w:ind w:left="12"/>
              <w:rPr>
                <w:sz w:val="20"/>
              </w:rPr>
            </w:pPr>
            <w:r>
              <w:rPr>
                <w:sz w:val="20"/>
              </w:rPr>
              <w:t>-</w:t>
            </w:r>
          </w:p>
        </w:tc>
        <w:tc>
          <w:tcPr>
            <w:tcW w:w="1407" w:type="dxa"/>
          </w:tcPr>
          <w:p w:rsidR="00645170" w:rsidRDefault="00645170">
            <w:pPr>
              <w:pStyle w:val="TableParagraph"/>
              <w:ind w:left="12"/>
              <w:rPr>
                <w:sz w:val="20"/>
              </w:rPr>
            </w:pPr>
            <w:r>
              <w:rPr>
                <w:sz w:val="20"/>
              </w:rPr>
              <w:t>1 мг/мл</w:t>
            </w:r>
          </w:p>
        </w:tc>
        <w:tc>
          <w:tcPr>
            <w:tcW w:w="1129" w:type="dxa"/>
          </w:tcPr>
          <w:p w:rsidR="00645170" w:rsidRDefault="00645170">
            <w:pPr>
              <w:pStyle w:val="TableParagraph"/>
              <w:ind w:left="12"/>
              <w:rPr>
                <w:sz w:val="20"/>
              </w:rPr>
            </w:pPr>
            <w:r>
              <w:rPr>
                <w:sz w:val="20"/>
              </w:rPr>
              <w:t>0.06 мг/кг</w:t>
            </w:r>
          </w:p>
        </w:tc>
        <w:tc>
          <w:tcPr>
            <w:tcW w:w="701" w:type="dxa"/>
          </w:tcPr>
          <w:p w:rsidR="00645170" w:rsidRDefault="00645170">
            <w:pPr>
              <w:pStyle w:val="TableParagraph"/>
              <w:ind w:left="6"/>
              <w:rPr>
                <w:sz w:val="20"/>
              </w:rPr>
            </w:pPr>
            <w:r>
              <w:rPr>
                <w:sz w:val="20"/>
              </w:rPr>
              <w:t>4 мин</w:t>
            </w:r>
          </w:p>
        </w:tc>
        <w:tc>
          <w:tcPr>
            <w:tcW w:w="1129" w:type="dxa"/>
          </w:tcPr>
          <w:p w:rsidR="00645170" w:rsidRDefault="00645170">
            <w:pPr>
              <w:pStyle w:val="TableParagraph"/>
              <w:ind w:left="11"/>
              <w:rPr>
                <w:sz w:val="20"/>
              </w:rPr>
            </w:pPr>
            <w:r>
              <w:rPr>
                <w:sz w:val="20"/>
              </w:rPr>
              <w:t>90-150 мин</w:t>
            </w:r>
          </w:p>
        </w:tc>
        <w:tc>
          <w:tcPr>
            <w:tcW w:w="1268" w:type="dxa"/>
          </w:tcPr>
          <w:p w:rsidR="00645170" w:rsidRDefault="00645170">
            <w:pPr>
              <w:pStyle w:val="TableParagraph"/>
              <w:ind w:left="10"/>
              <w:rPr>
                <w:sz w:val="20"/>
              </w:rPr>
            </w:pPr>
            <w:r>
              <w:rPr>
                <w:sz w:val="20"/>
              </w:rPr>
              <w:t>$13.49/5 мг</w:t>
            </w:r>
          </w:p>
        </w:tc>
      </w:tr>
      <w:tr w:rsidR="00645170">
        <w:trPr>
          <w:trHeight w:val="345"/>
        </w:trPr>
        <w:tc>
          <w:tcPr>
            <w:tcW w:w="1417" w:type="dxa"/>
          </w:tcPr>
          <w:p w:rsidR="00645170" w:rsidRDefault="00645170">
            <w:pPr>
              <w:pStyle w:val="TableParagraph"/>
              <w:ind w:left="11"/>
              <w:rPr>
                <w:sz w:val="20"/>
              </w:rPr>
            </w:pPr>
            <w:r>
              <w:rPr>
                <w:sz w:val="20"/>
              </w:rPr>
              <w:t>Векуроний</w:t>
            </w:r>
          </w:p>
        </w:tc>
        <w:tc>
          <w:tcPr>
            <w:tcW w:w="854" w:type="dxa"/>
          </w:tcPr>
          <w:p w:rsidR="00645170" w:rsidRDefault="00645170">
            <w:pPr>
              <w:pStyle w:val="TableParagraph"/>
              <w:ind w:left="11"/>
              <w:rPr>
                <w:sz w:val="20"/>
              </w:rPr>
            </w:pPr>
            <w:r>
              <w:rPr>
                <w:sz w:val="20"/>
              </w:rPr>
              <w:t>-</w:t>
            </w:r>
          </w:p>
        </w:tc>
        <w:tc>
          <w:tcPr>
            <w:tcW w:w="754" w:type="dxa"/>
          </w:tcPr>
          <w:p w:rsidR="00645170" w:rsidRDefault="00645170">
            <w:pPr>
              <w:pStyle w:val="TableParagraph"/>
              <w:ind w:left="7"/>
              <w:rPr>
                <w:sz w:val="20"/>
              </w:rPr>
            </w:pPr>
            <w:r>
              <w:rPr>
                <w:sz w:val="20"/>
              </w:rPr>
              <w:t>-</w:t>
            </w:r>
          </w:p>
        </w:tc>
        <w:tc>
          <w:tcPr>
            <w:tcW w:w="706" w:type="dxa"/>
          </w:tcPr>
          <w:p w:rsidR="00645170" w:rsidRDefault="00645170">
            <w:pPr>
              <w:pStyle w:val="TableParagraph"/>
              <w:ind w:left="12"/>
              <w:rPr>
                <w:sz w:val="20"/>
              </w:rPr>
            </w:pPr>
            <w:r>
              <w:rPr>
                <w:sz w:val="20"/>
              </w:rPr>
              <w:t>-</w:t>
            </w:r>
          </w:p>
        </w:tc>
        <w:tc>
          <w:tcPr>
            <w:tcW w:w="1407" w:type="dxa"/>
          </w:tcPr>
          <w:p w:rsidR="00645170" w:rsidRDefault="00645170">
            <w:pPr>
              <w:pStyle w:val="TableParagraph"/>
              <w:ind w:left="12"/>
              <w:rPr>
                <w:sz w:val="20"/>
              </w:rPr>
            </w:pPr>
            <w:r>
              <w:rPr>
                <w:sz w:val="20"/>
              </w:rPr>
              <w:t>10 мг</w:t>
            </w:r>
          </w:p>
        </w:tc>
        <w:tc>
          <w:tcPr>
            <w:tcW w:w="1129" w:type="dxa"/>
          </w:tcPr>
          <w:p w:rsidR="00645170" w:rsidRDefault="00645170">
            <w:pPr>
              <w:pStyle w:val="TableParagraph"/>
              <w:ind w:left="12"/>
              <w:rPr>
                <w:sz w:val="20"/>
              </w:rPr>
            </w:pPr>
            <w:r>
              <w:rPr>
                <w:sz w:val="20"/>
              </w:rPr>
              <w:t>0.1 мг/кг</w:t>
            </w:r>
          </w:p>
        </w:tc>
        <w:tc>
          <w:tcPr>
            <w:tcW w:w="701" w:type="dxa"/>
          </w:tcPr>
          <w:p w:rsidR="00645170" w:rsidRDefault="00645170">
            <w:pPr>
              <w:pStyle w:val="TableParagraph"/>
              <w:ind w:left="6"/>
              <w:rPr>
                <w:sz w:val="20"/>
              </w:rPr>
            </w:pPr>
            <w:r>
              <w:rPr>
                <w:sz w:val="20"/>
              </w:rPr>
              <w:t>2 мин</w:t>
            </w:r>
          </w:p>
        </w:tc>
        <w:tc>
          <w:tcPr>
            <w:tcW w:w="1129" w:type="dxa"/>
          </w:tcPr>
          <w:p w:rsidR="00645170" w:rsidRDefault="00645170">
            <w:pPr>
              <w:pStyle w:val="TableParagraph"/>
              <w:ind w:left="11"/>
              <w:rPr>
                <w:sz w:val="20"/>
              </w:rPr>
            </w:pPr>
            <w:r>
              <w:rPr>
                <w:sz w:val="20"/>
              </w:rPr>
              <w:t>45-90 мин</w:t>
            </w:r>
          </w:p>
        </w:tc>
        <w:tc>
          <w:tcPr>
            <w:tcW w:w="1268" w:type="dxa"/>
          </w:tcPr>
          <w:p w:rsidR="00645170" w:rsidRDefault="00645170">
            <w:pPr>
              <w:pStyle w:val="TableParagraph"/>
              <w:ind w:left="10"/>
              <w:rPr>
                <w:sz w:val="20"/>
              </w:rPr>
            </w:pPr>
            <w:r>
              <w:rPr>
                <w:sz w:val="20"/>
              </w:rPr>
              <w:t>$18.11/10 мг</w:t>
            </w:r>
          </w:p>
        </w:tc>
      </w:tr>
      <w:tr w:rsidR="00645170">
        <w:trPr>
          <w:trHeight w:val="345"/>
        </w:trPr>
        <w:tc>
          <w:tcPr>
            <w:tcW w:w="1417" w:type="dxa"/>
          </w:tcPr>
          <w:p w:rsidR="00645170" w:rsidRDefault="00645170">
            <w:pPr>
              <w:pStyle w:val="TableParagraph"/>
              <w:spacing w:line="226" w:lineRule="exact"/>
              <w:ind w:left="11"/>
              <w:rPr>
                <w:sz w:val="20"/>
              </w:rPr>
            </w:pPr>
            <w:r>
              <w:rPr>
                <w:sz w:val="20"/>
              </w:rPr>
              <w:t>Цисатракурий</w:t>
            </w:r>
          </w:p>
        </w:tc>
        <w:tc>
          <w:tcPr>
            <w:tcW w:w="854" w:type="dxa"/>
          </w:tcPr>
          <w:p w:rsidR="00645170" w:rsidRDefault="00645170">
            <w:pPr>
              <w:pStyle w:val="TableParagraph"/>
              <w:spacing w:line="226" w:lineRule="exact"/>
              <w:ind w:left="11"/>
              <w:rPr>
                <w:sz w:val="20"/>
              </w:rPr>
            </w:pPr>
            <w:r>
              <w:rPr>
                <w:sz w:val="20"/>
              </w:rPr>
              <w:t>-</w:t>
            </w:r>
          </w:p>
        </w:tc>
        <w:tc>
          <w:tcPr>
            <w:tcW w:w="754" w:type="dxa"/>
          </w:tcPr>
          <w:p w:rsidR="00645170" w:rsidRDefault="00645170">
            <w:pPr>
              <w:pStyle w:val="TableParagraph"/>
              <w:spacing w:line="226" w:lineRule="exact"/>
              <w:ind w:left="7"/>
              <w:rPr>
                <w:sz w:val="20"/>
              </w:rPr>
            </w:pPr>
            <w:r>
              <w:rPr>
                <w:sz w:val="20"/>
              </w:rPr>
              <w:t>-</w:t>
            </w:r>
          </w:p>
        </w:tc>
        <w:tc>
          <w:tcPr>
            <w:tcW w:w="706" w:type="dxa"/>
          </w:tcPr>
          <w:p w:rsidR="00645170" w:rsidRDefault="00645170">
            <w:pPr>
              <w:pStyle w:val="TableParagraph"/>
              <w:spacing w:line="226" w:lineRule="exact"/>
              <w:ind w:left="12"/>
              <w:rPr>
                <w:sz w:val="20"/>
              </w:rPr>
            </w:pPr>
            <w:r>
              <w:rPr>
                <w:sz w:val="20"/>
              </w:rPr>
              <w:t>-</w:t>
            </w:r>
          </w:p>
        </w:tc>
        <w:tc>
          <w:tcPr>
            <w:tcW w:w="1407" w:type="dxa"/>
          </w:tcPr>
          <w:p w:rsidR="00645170" w:rsidRDefault="00645170">
            <w:pPr>
              <w:pStyle w:val="TableParagraph"/>
              <w:spacing w:line="226" w:lineRule="exact"/>
              <w:ind w:left="12"/>
              <w:rPr>
                <w:sz w:val="20"/>
              </w:rPr>
            </w:pPr>
            <w:r>
              <w:rPr>
                <w:sz w:val="20"/>
              </w:rPr>
              <w:t>10 мг/мл</w:t>
            </w:r>
          </w:p>
        </w:tc>
        <w:tc>
          <w:tcPr>
            <w:tcW w:w="1129" w:type="dxa"/>
          </w:tcPr>
          <w:p w:rsidR="00645170" w:rsidRDefault="00645170">
            <w:pPr>
              <w:pStyle w:val="TableParagraph"/>
              <w:spacing w:line="226" w:lineRule="exact"/>
              <w:ind w:left="12"/>
              <w:rPr>
                <w:sz w:val="20"/>
              </w:rPr>
            </w:pPr>
            <w:r>
              <w:rPr>
                <w:sz w:val="20"/>
              </w:rPr>
              <w:t>0.5 мг/кг</w:t>
            </w:r>
          </w:p>
        </w:tc>
        <w:tc>
          <w:tcPr>
            <w:tcW w:w="701" w:type="dxa"/>
          </w:tcPr>
          <w:p w:rsidR="00645170" w:rsidRDefault="00645170">
            <w:pPr>
              <w:pStyle w:val="TableParagraph"/>
              <w:spacing w:line="226" w:lineRule="exact"/>
              <w:ind w:left="6"/>
              <w:rPr>
                <w:sz w:val="20"/>
              </w:rPr>
            </w:pPr>
            <w:r>
              <w:rPr>
                <w:sz w:val="20"/>
              </w:rPr>
              <w:t>2 мин</w:t>
            </w:r>
          </w:p>
        </w:tc>
        <w:tc>
          <w:tcPr>
            <w:tcW w:w="1129" w:type="dxa"/>
          </w:tcPr>
          <w:p w:rsidR="00645170" w:rsidRDefault="00645170">
            <w:pPr>
              <w:pStyle w:val="TableParagraph"/>
              <w:spacing w:line="226" w:lineRule="exact"/>
              <w:ind w:left="11"/>
              <w:rPr>
                <w:sz w:val="20"/>
              </w:rPr>
            </w:pPr>
            <w:r>
              <w:rPr>
                <w:sz w:val="20"/>
              </w:rPr>
              <w:t>30-45 мин</w:t>
            </w:r>
          </w:p>
        </w:tc>
        <w:tc>
          <w:tcPr>
            <w:tcW w:w="1268" w:type="dxa"/>
          </w:tcPr>
          <w:p w:rsidR="00645170" w:rsidRDefault="00645170">
            <w:pPr>
              <w:pStyle w:val="TableParagraph"/>
              <w:spacing w:line="226" w:lineRule="exact"/>
              <w:ind w:left="10"/>
              <w:rPr>
                <w:sz w:val="20"/>
              </w:rPr>
            </w:pPr>
            <w:r>
              <w:rPr>
                <w:sz w:val="20"/>
              </w:rPr>
              <w:t>$39.47/100 мг</w:t>
            </w:r>
          </w:p>
        </w:tc>
      </w:tr>
      <w:tr w:rsidR="00645170">
        <w:trPr>
          <w:trHeight w:val="345"/>
        </w:trPr>
        <w:tc>
          <w:tcPr>
            <w:tcW w:w="1417" w:type="dxa"/>
          </w:tcPr>
          <w:p w:rsidR="00645170" w:rsidRDefault="00645170">
            <w:pPr>
              <w:pStyle w:val="TableParagraph"/>
              <w:ind w:left="11"/>
              <w:rPr>
                <w:sz w:val="20"/>
              </w:rPr>
            </w:pPr>
            <w:r>
              <w:rPr>
                <w:sz w:val="20"/>
              </w:rPr>
              <w:t>Рокуроний</w:t>
            </w:r>
          </w:p>
        </w:tc>
        <w:tc>
          <w:tcPr>
            <w:tcW w:w="854" w:type="dxa"/>
          </w:tcPr>
          <w:p w:rsidR="00645170" w:rsidRDefault="00645170">
            <w:pPr>
              <w:pStyle w:val="TableParagraph"/>
              <w:ind w:left="11"/>
              <w:rPr>
                <w:sz w:val="20"/>
              </w:rPr>
            </w:pPr>
            <w:r>
              <w:rPr>
                <w:sz w:val="20"/>
              </w:rPr>
              <w:t>-</w:t>
            </w:r>
          </w:p>
        </w:tc>
        <w:tc>
          <w:tcPr>
            <w:tcW w:w="754" w:type="dxa"/>
          </w:tcPr>
          <w:p w:rsidR="00645170" w:rsidRDefault="00645170">
            <w:pPr>
              <w:pStyle w:val="TableParagraph"/>
              <w:ind w:left="7"/>
              <w:rPr>
                <w:sz w:val="20"/>
              </w:rPr>
            </w:pPr>
            <w:r>
              <w:rPr>
                <w:sz w:val="20"/>
              </w:rPr>
              <w:t>Блок.</w:t>
            </w:r>
          </w:p>
        </w:tc>
        <w:tc>
          <w:tcPr>
            <w:tcW w:w="706" w:type="dxa"/>
          </w:tcPr>
          <w:p w:rsidR="00645170" w:rsidRDefault="00645170">
            <w:pPr>
              <w:pStyle w:val="TableParagraph"/>
              <w:ind w:left="12"/>
              <w:rPr>
                <w:sz w:val="20"/>
              </w:rPr>
            </w:pPr>
            <w:r>
              <w:rPr>
                <w:sz w:val="20"/>
              </w:rPr>
              <w:t>-</w:t>
            </w:r>
          </w:p>
        </w:tc>
        <w:tc>
          <w:tcPr>
            <w:tcW w:w="1407" w:type="dxa"/>
          </w:tcPr>
          <w:p w:rsidR="00645170" w:rsidRDefault="00645170">
            <w:pPr>
              <w:pStyle w:val="TableParagraph"/>
              <w:ind w:left="12"/>
              <w:rPr>
                <w:sz w:val="20"/>
              </w:rPr>
            </w:pPr>
            <w:r>
              <w:rPr>
                <w:sz w:val="20"/>
              </w:rPr>
              <w:t>10 мг/мл</w:t>
            </w:r>
          </w:p>
        </w:tc>
        <w:tc>
          <w:tcPr>
            <w:tcW w:w="1129" w:type="dxa"/>
          </w:tcPr>
          <w:p w:rsidR="00645170" w:rsidRDefault="00645170">
            <w:pPr>
              <w:pStyle w:val="TableParagraph"/>
              <w:ind w:left="12"/>
              <w:rPr>
                <w:sz w:val="20"/>
              </w:rPr>
            </w:pPr>
            <w:r>
              <w:rPr>
                <w:sz w:val="20"/>
              </w:rPr>
              <w:t>1 мг/кг</w:t>
            </w:r>
          </w:p>
        </w:tc>
        <w:tc>
          <w:tcPr>
            <w:tcW w:w="701" w:type="dxa"/>
          </w:tcPr>
          <w:p w:rsidR="00645170" w:rsidRDefault="00645170">
            <w:pPr>
              <w:pStyle w:val="TableParagraph"/>
              <w:ind w:left="6"/>
              <w:rPr>
                <w:sz w:val="20"/>
              </w:rPr>
            </w:pPr>
            <w:r>
              <w:rPr>
                <w:sz w:val="20"/>
              </w:rPr>
              <w:t>1 мин</w:t>
            </w:r>
          </w:p>
        </w:tc>
        <w:tc>
          <w:tcPr>
            <w:tcW w:w="1129" w:type="dxa"/>
          </w:tcPr>
          <w:p w:rsidR="00645170" w:rsidRDefault="00645170">
            <w:pPr>
              <w:pStyle w:val="TableParagraph"/>
              <w:ind w:left="11"/>
              <w:rPr>
                <w:sz w:val="20"/>
              </w:rPr>
            </w:pPr>
            <w:r>
              <w:rPr>
                <w:sz w:val="20"/>
              </w:rPr>
              <w:t>45-75 мин</w:t>
            </w:r>
          </w:p>
        </w:tc>
        <w:tc>
          <w:tcPr>
            <w:tcW w:w="1268" w:type="dxa"/>
          </w:tcPr>
          <w:p w:rsidR="00645170" w:rsidRDefault="00645170">
            <w:pPr>
              <w:pStyle w:val="TableParagraph"/>
              <w:ind w:left="10"/>
              <w:rPr>
                <w:sz w:val="20"/>
              </w:rPr>
            </w:pPr>
            <w:r>
              <w:rPr>
                <w:sz w:val="20"/>
              </w:rPr>
              <w:t>$14.62/50 мг</w:t>
            </w:r>
          </w:p>
        </w:tc>
      </w:tr>
      <w:tr w:rsidR="00645170">
        <w:trPr>
          <w:trHeight w:val="345"/>
        </w:trPr>
        <w:tc>
          <w:tcPr>
            <w:tcW w:w="1417" w:type="dxa"/>
          </w:tcPr>
          <w:p w:rsidR="00645170" w:rsidRDefault="00645170">
            <w:pPr>
              <w:pStyle w:val="TableParagraph"/>
              <w:ind w:left="11"/>
              <w:rPr>
                <w:sz w:val="20"/>
              </w:rPr>
            </w:pPr>
            <w:r>
              <w:rPr>
                <w:sz w:val="20"/>
              </w:rPr>
              <w:t>Мивакурий</w:t>
            </w:r>
          </w:p>
        </w:tc>
        <w:tc>
          <w:tcPr>
            <w:tcW w:w="854" w:type="dxa"/>
          </w:tcPr>
          <w:p w:rsidR="00645170" w:rsidRDefault="00645170">
            <w:pPr>
              <w:pStyle w:val="TableParagraph"/>
              <w:spacing w:line="240" w:lineRule="auto"/>
              <w:ind w:left="0"/>
              <w:rPr>
                <w:sz w:val="20"/>
              </w:rPr>
            </w:pPr>
          </w:p>
        </w:tc>
        <w:tc>
          <w:tcPr>
            <w:tcW w:w="754" w:type="dxa"/>
          </w:tcPr>
          <w:p w:rsidR="00645170" w:rsidRDefault="00645170">
            <w:pPr>
              <w:pStyle w:val="TableParagraph"/>
              <w:ind w:left="7"/>
              <w:rPr>
                <w:sz w:val="20"/>
              </w:rPr>
            </w:pPr>
            <w:r>
              <w:rPr>
                <w:sz w:val="20"/>
              </w:rPr>
              <w:t>-</w:t>
            </w:r>
          </w:p>
        </w:tc>
        <w:tc>
          <w:tcPr>
            <w:tcW w:w="706" w:type="dxa"/>
          </w:tcPr>
          <w:p w:rsidR="00645170" w:rsidRDefault="00645170">
            <w:pPr>
              <w:pStyle w:val="TableParagraph"/>
              <w:ind w:left="12"/>
              <w:rPr>
                <w:sz w:val="20"/>
              </w:rPr>
            </w:pPr>
            <w:r>
              <w:rPr>
                <w:sz w:val="20"/>
              </w:rPr>
              <w:t>-</w:t>
            </w:r>
          </w:p>
        </w:tc>
        <w:tc>
          <w:tcPr>
            <w:tcW w:w="1407" w:type="dxa"/>
          </w:tcPr>
          <w:p w:rsidR="00645170" w:rsidRDefault="00645170">
            <w:pPr>
              <w:pStyle w:val="TableParagraph"/>
              <w:ind w:left="12"/>
              <w:rPr>
                <w:sz w:val="20"/>
              </w:rPr>
            </w:pPr>
            <w:r>
              <w:rPr>
                <w:sz w:val="20"/>
              </w:rPr>
              <w:t>20 мг/мл</w:t>
            </w:r>
          </w:p>
        </w:tc>
        <w:tc>
          <w:tcPr>
            <w:tcW w:w="1129" w:type="dxa"/>
          </w:tcPr>
          <w:p w:rsidR="00645170" w:rsidRDefault="00645170">
            <w:pPr>
              <w:pStyle w:val="TableParagraph"/>
              <w:ind w:left="12"/>
              <w:rPr>
                <w:sz w:val="20"/>
              </w:rPr>
            </w:pPr>
            <w:r>
              <w:rPr>
                <w:sz w:val="20"/>
              </w:rPr>
              <w:t>0.2 мг/кг</w:t>
            </w:r>
          </w:p>
        </w:tc>
        <w:tc>
          <w:tcPr>
            <w:tcW w:w="701" w:type="dxa"/>
          </w:tcPr>
          <w:p w:rsidR="00645170" w:rsidRDefault="00645170">
            <w:pPr>
              <w:pStyle w:val="TableParagraph"/>
              <w:ind w:left="6"/>
              <w:rPr>
                <w:sz w:val="20"/>
              </w:rPr>
            </w:pPr>
            <w:r>
              <w:rPr>
                <w:sz w:val="20"/>
              </w:rPr>
              <w:t>1 мин</w:t>
            </w:r>
          </w:p>
        </w:tc>
        <w:tc>
          <w:tcPr>
            <w:tcW w:w="1129" w:type="dxa"/>
          </w:tcPr>
          <w:p w:rsidR="00645170" w:rsidRDefault="00645170">
            <w:pPr>
              <w:pStyle w:val="TableParagraph"/>
              <w:ind w:left="11"/>
              <w:rPr>
                <w:sz w:val="20"/>
              </w:rPr>
            </w:pPr>
            <w:r>
              <w:rPr>
                <w:sz w:val="20"/>
              </w:rPr>
              <w:t>15-20 мин</w:t>
            </w:r>
          </w:p>
        </w:tc>
        <w:tc>
          <w:tcPr>
            <w:tcW w:w="1268" w:type="dxa"/>
          </w:tcPr>
          <w:p w:rsidR="00645170" w:rsidRDefault="00645170">
            <w:pPr>
              <w:pStyle w:val="TableParagraph"/>
              <w:ind w:left="10"/>
              <w:rPr>
                <w:sz w:val="20"/>
              </w:rPr>
            </w:pPr>
            <w:r>
              <w:rPr>
                <w:sz w:val="20"/>
              </w:rPr>
              <w:t>$8.05/100 мг</w:t>
            </w:r>
          </w:p>
        </w:tc>
      </w:tr>
    </w:tbl>
    <w:p w:rsidR="00645170" w:rsidRDefault="00645170">
      <w:pPr>
        <w:pStyle w:val="BodyText"/>
        <w:spacing w:before="6"/>
        <w:ind w:left="0"/>
        <w:rPr>
          <w:sz w:val="41"/>
        </w:rPr>
      </w:pPr>
    </w:p>
    <w:p w:rsidR="00645170" w:rsidRDefault="00645170">
      <w:pPr>
        <w:pStyle w:val="BodyText"/>
        <w:ind w:left="1070"/>
      </w:pPr>
      <w:r>
        <w:t>Таблица 5</w:t>
      </w:r>
    </w:p>
    <w:p w:rsidR="00645170" w:rsidRDefault="00645170">
      <w:pPr>
        <w:pStyle w:val="BodyText"/>
        <w:spacing w:before="163"/>
        <w:ind w:left="1070"/>
      </w:pPr>
      <w:r>
        <w:t>Современные миорелаксанты (2)</w:t>
      </w:r>
    </w:p>
    <w:p w:rsidR="00645170" w:rsidRDefault="00645170">
      <w:pPr>
        <w:pStyle w:val="BodyText"/>
        <w:spacing w:before="4"/>
        <w:ind w:left="0"/>
        <w:rPr>
          <w:sz w:val="14"/>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383"/>
        <w:gridCol w:w="807"/>
        <w:gridCol w:w="1095"/>
        <w:gridCol w:w="1095"/>
        <w:gridCol w:w="1100"/>
        <w:gridCol w:w="1095"/>
        <w:gridCol w:w="1095"/>
        <w:gridCol w:w="1095"/>
        <w:gridCol w:w="1095"/>
      </w:tblGrid>
      <w:tr w:rsidR="00645170">
        <w:trPr>
          <w:trHeight w:val="1382"/>
        </w:trPr>
        <w:tc>
          <w:tcPr>
            <w:tcW w:w="1383" w:type="dxa"/>
          </w:tcPr>
          <w:p w:rsidR="00645170" w:rsidRDefault="00645170">
            <w:pPr>
              <w:pStyle w:val="TableParagraph"/>
              <w:ind w:left="30"/>
              <w:rPr>
                <w:sz w:val="20"/>
              </w:rPr>
            </w:pPr>
            <w:r>
              <w:rPr>
                <w:sz w:val="20"/>
              </w:rPr>
              <w:t>Миорелаксант</w:t>
            </w:r>
          </w:p>
        </w:tc>
        <w:tc>
          <w:tcPr>
            <w:tcW w:w="807" w:type="dxa"/>
          </w:tcPr>
          <w:p w:rsidR="00645170" w:rsidRDefault="00645170">
            <w:pPr>
              <w:pStyle w:val="TableParagraph"/>
              <w:spacing w:line="360" w:lineRule="auto"/>
              <w:ind w:left="30" w:right="-3"/>
              <w:rPr>
                <w:sz w:val="20"/>
              </w:rPr>
            </w:pPr>
            <w:r>
              <w:rPr>
                <w:sz w:val="20"/>
              </w:rPr>
              <w:t>Метабол изм</w:t>
            </w:r>
          </w:p>
        </w:tc>
        <w:tc>
          <w:tcPr>
            <w:tcW w:w="1095" w:type="dxa"/>
          </w:tcPr>
          <w:p w:rsidR="00645170" w:rsidRDefault="00645170">
            <w:pPr>
              <w:pStyle w:val="TableParagraph"/>
              <w:spacing w:line="360" w:lineRule="auto"/>
              <w:ind w:left="30" w:right="93"/>
              <w:rPr>
                <w:sz w:val="20"/>
              </w:rPr>
            </w:pPr>
            <w:r>
              <w:rPr>
                <w:sz w:val="20"/>
              </w:rPr>
              <w:t>Главный путь элиминаци</w:t>
            </w:r>
          </w:p>
          <w:p w:rsidR="00645170" w:rsidRDefault="00645170">
            <w:pPr>
              <w:pStyle w:val="TableParagraph"/>
              <w:spacing w:line="240" w:lineRule="auto"/>
              <w:ind w:left="30"/>
              <w:rPr>
                <w:sz w:val="20"/>
              </w:rPr>
            </w:pPr>
            <w:r>
              <w:rPr>
                <w:sz w:val="20"/>
              </w:rPr>
              <w:t>и</w:t>
            </w:r>
          </w:p>
        </w:tc>
        <w:tc>
          <w:tcPr>
            <w:tcW w:w="1095" w:type="dxa"/>
          </w:tcPr>
          <w:p w:rsidR="00645170" w:rsidRDefault="00645170">
            <w:pPr>
              <w:pStyle w:val="TableParagraph"/>
              <w:spacing w:line="360" w:lineRule="auto"/>
              <w:ind w:left="35" w:right="93"/>
              <w:rPr>
                <w:sz w:val="20"/>
              </w:rPr>
            </w:pPr>
            <w:r>
              <w:rPr>
                <w:sz w:val="20"/>
              </w:rPr>
              <w:t>Начало действия</w:t>
            </w:r>
          </w:p>
        </w:tc>
        <w:tc>
          <w:tcPr>
            <w:tcW w:w="1100" w:type="dxa"/>
          </w:tcPr>
          <w:p w:rsidR="00645170" w:rsidRDefault="00645170">
            <w:pPr>
              <w:pStyle w:val="TableParagraph"/>
              <w:spacing w:line="360" w:lineRule="auto"/>
              <w:ind w:left="35" w:right="23"/>
              <w:rPr>
                <w:sz w:val="20"/>
              </w:rPr>
            </w:pPr>
            <w:r>
              <w:rPr>
                <w:sz w:val="20"/>
              </w:rPr>
              <w:t>Длительнос ть действия</w:t>
            </w:r>
          </w:p>
        </w:tc>
        <w:tc>
          <w:tcPr>
            <w:tcW w:w="1095" w:type="dxa"/>
          </w:tcPr>
          <w:p w:rsidR="00645170" w:rsidRDefault="00645170">
            <w:pPr>
              <w:pStyle w:val="TableParagraph"/>
              <w:spacing w:line="360" w:lineRule="auto"/>
              <w:ind w:left="30" w:right="37"/>
              <w:rPr>
                <w:sz w:val="20"/>
              </w:rPr>
            </w:pPr>
            <w:r>
              <w:rPr>
                <w:sz w:val="20"/>
              </w:rPr>
              <w:t>Высвобожд ение гистамина</w:t>
            </w:r>
          </w:p>
        </w:tc>
        <w:tc>
          <w:tcPr>
            <w:tcW w:w="1095" w:type="dxa"/>
          </w:tcPr>
          <w:p w:rsidR="00645170" w:rsidRDefault="00645170">
            <w:pPr>
              <w:pStyle w:val="TableParagraph"/>
              <w:spacing w:line="360" w:lineRule="auto"/>
              <w:ind w:left="30" w:right="7"/>
              <w:rPr>
                <w:sz w:val="20"/>
              </w:rPr>
            </w:pPr>
            <w:r>
              <w:rPr>
                <w:sz w:val="20"/>
              </w:rPr>
              <w:t>Блокада блуждающе го нерва</w:t>
            </w:r>
          </w:p>
        </w:tc>
        <w:tc>
          <w:tcPr>
            <w:tcW w:w="1095" w:type="dxa"/>
          </w:tcPr>
          <w:p w:rsidR="00645170" w:rsidRDefault="00645170">
            <w:pPr>
              <w:pStyle w:val="TableParagraph"/>
              <w:spacing w:line="360" w:lineRule="auto"/>
              <w:ind w:left="29" w:right="29"/>
              <w:rPr>
                <w:sz w:val="20"/>
              </w:rPr>
            </w:pPr>
            <w:r>
              <w:rPr>
                <w:sz w:val="20"/>
              </w:rPr>
              <w:t>Относитель ная мощность</w:t>
            </w:r>
          </w:p>
        </w:tc>
        <w:tc>
          <w:tcPr>
            <w:tcW w:w="1095" w:type="dxa"/>
          </w:tcPr>
          <w:p w:rsidR="00645170" w:rsidRDefault="00645170">
            <w:pPr>
              <w:pStyle w:val="TableParagraph"/>
              <w:spacing w:line="360" w:lineRule="auto"/>
              <w:ind w:left="29" w:right="29"/>
              <w:rPr>
                <w:sz w:val="20"/>
              </w:rPr>
            </w:pPr>
            <w:r>
              <w:rPr>
                <w:sz w:val="20"/>
              </w:rPr>
              <w:t>Относитель ная стоимость</w:t>
            </w:r>
          </w:p>
        </w:tc>
      </w:tr>
      <w:tr w:rsidR="00645170">
        <w:trPr>
          <w:trHeight w:val="690"/>
        </w:trPr>
        <w:tc>
          <w:tcPr>
            <w:tcW w:w="1383" w:type="dxa"/>
          </w:tcPr>
          <w:p w:rsidR="00645170" w:rsidRDefault="00645170">
            <w:pPr>
              <w:pStyle w:val="TableParagraph"/>
              <w:ind w:left="30"/>
              <w:rPr>
                <w:sz w:val="20"/>
              </w:rPr>
            </w:pPr>
            <w:r>
              <w:rPr>
                <w:sz w:val="20"/>
              </w:rPr>
              <w:t>Тубокурарин</w:t>
            </w:r>
          </w:p>
        </w:tc>
        <w:tc>
          <w:tcPr>
            <w:tcW w:w="807" w:type="dxa"/>
          </w:tcPr>
          <w:p w:rsidR="00645170" w:rsidRDefault="00645170">
            <w:pPr>
              <w:pStyle w:val="TableParagraph"/>
              <w:ind w:left="30"/>
              <w:rPr>
                <w:sz w:val="20"/>
              </w:rPr>
            </w:pPr>
            <w:r>
              <w:rPr>
                <w:sz w:val="20"/>
              </w:rPr>
              <w:t>Незначи</w:t>
            </w:r>
          </w:p>
          <w:p w:rsidR="00645170" w:rsidRDefault="00645170">
            <w:pPr>
              <w:pStyle w:val="TableParagraph"/>
              <w:spacing w:before="115" w:line="240" w:lineRule="auto"/>
              <w:ind w:left="30"/>
              <w:rPr>
                <w:sz w:val="20"/>
              </w:rPr>
            </w:pPr>
            <w:r>
              <w:rPr>
                <w:sz w:val="20"/>
              </w:rPr>
              <w:t>тельный</w:t>
            </w:r>
          </w:p>
        </w:tc>
        <w:tc>
          <w:tcPr>
            <w:tcW w:w="1095" w:type="dxa"/>
          </w:tcPr>
          <w:p w:rsidR="00645170" w:rsidRDefault="00645170">
            <w:pPr>
              <w:pStyle w:val="TableParagraph"/>
              <w:ind w:left="30"/>
              <w:rPr>
                <w:sz w:val="20"/>
              </w:rPr>
            </w:pPr>
            <w:r>
              <w:rPr>
                <w:sz w:val="20"/>
              </w:rPr>
              <w:t>Почки</w:t>
            </w:r>
          </w:p>
        </w:tc>
        <w:tc>
          <w:tcPr>
            <w:tcW w:w="1095" w:type="dxa"/>
          </w:tcPr>
          <w:p w:rsidR="00645170" w:rsidRDefault="00645170">
            <w:pPr>
              <w:pStyle w:val="TableParagraph"/>
              <w:ind w:left="35"/>
              <w:rPr>
                <w:sz w:val="20"/>
              </w:rPr>
            </w:pPr>
            <w:r>
              <w:rPr>
                <w:sz w:val="20"/>
              </w:rPr>
              <w:t>++</w:t>
            </w:r>
          </w:p>
        </w:tc>
        <w:tc>
          <w:tcPr>
            <w:tcW w:w="1100" w:type="dxa"/>
          </w:tcPr>
          <w:p w:rsidR="00645170" w:rsidRDefault="00645170">
            <w:pPr>
              <w:pStyle w:val="TableParagraph"/>
              <w:ind w:left="35"/>
              <w:rPr>
                <w:sz w:val="20"/>
              </w:rPr>
            </w:pPr>
            <w:r>
              <w:rPr>
                <w:sz w:val="20"/>
              </w:rPr>
              <w:t>+++</w:t>
            </w:r>
          </w:p>
        </w:tc>
        <w:tc>
          <w:tcPr>
            <w:tcW w:w="1095" w:type="dxa"/>
          </w:tcPr>
          <w:p w:rsidR="00645170" w:rsidRDefault="00645170">
            <w:pPr>
              <w:pStyle w:val="TableParagraph"/>
              <w:ind w:left="30"/>
              <w:rPr>
                <w:sz w:val="20"/>
              </w:rPr>
            </w:pPr>
            <w:r>
              <w:rPr>
                <w:sz w:val="20"/>
              </w:rPr>
              <w:t>+++</w:t>
            </w:r>
          </w:p>
        </w:tc>
        <w:tc>
          <w:tcPr>
            <w:tcW w:w="1095" w:type="dxa"/>
          </w:tcPr>
          <w:p w:rsidR="00645170" w:rsidRDefault="00645170">
            <w:pPr>
              <w:pStyle w:val="TableParagraph"/>
              <w:ind w:left="30"/>
              <w:rPr>
                <w:sz w:val="20"/>
              </w:rPr>
            </w:pPr>
            <w:r>
              <w:rPr>
                <w:sz w:val="20"/>
              </w:rPr>
              <w:t>0</w:t>
            </w:r>
          </w:p>
        </w:tc>
        <w:tc>
          <w:tcPr>
            <w:tcW w:w="1095" w:type="dxa"/>
          </w:tcPr>
          <w:p w:rsidR="00645170" w:rsidRDefault="00645170">
            <w:pPr>
              <w:pStyle w:val="TableParagraph"/>
              <w:ind w:left="29"/>
              <w:rPr>
                <w:sz w:val="20"/>
              </w:rPr>
            </w:pPr>
            <w:r>
              <w:rPr>
                <w:sz w:val="20"/>
              </w:rPr>
              <w:t>1</w:t>
            </w:r>
          </w:p>
        </w:tc>
        <w:tc>
          <w:tcPr>
            <w:tcW w:w="1095" w:type="dxa"/>
          </w:tcPr>
          <w:p w:rsidR="00645170" w:rsidRDefault="00645170">
            <w:pPr>
              <w:pStyle w:val="TableParagraph"/>
              <w:ind w:left="29"/>
              <w:rPr>
                <w:sz w:val="20"/>
              </w:rPr>
            </w:pPr>
            <w:r>
              <w:rPr>
                <w:sz w:val="20"/>
              </w:rPr>
              <w:t>Низкая</w:t>
            </w:r>
          </w:p>
        </w:tc>
      </w:tr>
      <w:tr w:rsidR="00645170">
        <w:trPr>
          <w:trHeight w:val="691"/>
        </w:trPr>
        <w:tc>
          <w:tcPr>
            <w:tcW w:w="1383" w:type="dxa"/>
          </w:tcPr>
          <w:p w:rsidR="00645170" w:rsidRDefault="00645170">
            <w:pPr>
              <w:pStyle w:val="TableParagraph"/>
              <w:ind w:left="30"/>
              <w:rPr>
                <w:sz w:val="20"/>
              </w:rPr>
            </w:pPr>
            <w:r>
              <w:rPr>
                <w:sz w:val="20"/>
              </w:rPr>
              <w:t>Метокурин</w:t>
            </w:r>
          </w:p>
        </w:tc>
        <w:tc>
          <w:tcPr>
            <w:tcW w:w="807" w:type="dxa"/>
          </w:tcPr>
          <w:p w:rsidR="00645170" w:rsidRDefault="00645170">
            <w:pPr>
              <w:pStyle w:val="TableParagraph"/>
              <w:ind w:left="30"/>
              <w:rPr>
                <w:sz w:val="20"/>
              </w:rPr>
            </w:pPr>
            <w:r>
              <w:rPr>
                <w:sz w:val="20"/>
              </w:rPr>
              <w:t>Незначи</w:t>
            </w:r>
          </w:p>
          <w:p w:rsidR="00645170" w:rsidRDefault="00645170">
            <w:pPr>
              <w:pStyle w:val="TableParagraph"/>
              <w:spacing w:before="115" w:line="240" w:lineRule="auto"/>
              <w:ind w:left="30"/>
              <w:rPr>
                <w:sz w:val="20"/>
              </w:rPr>
            </w:pPr>
            <w:r>
              <w:rPr>
                <w:sz w:val="20"/>
              </w:rPr>
              <w:t>тельный</w:t>
            </w:r>
          </w:p>
        </w:tc>
        <w:tc>
          <w:tcPr>
            <w:tcW w:w="1095" w:type="dxa"/>
          </w:tcPr>
          <w:p w:rsidR="00645170" w:rsidRDefault="00645170">
            <w:pPr>
              <w:pStyle w:val="TableParagraph"/>
              <w:ind w:left="30"/>
              <w:rPr>
                <w:sz w:val="20"/>
              </w:rPr>
            </w:pPr>
            <w:r>
              <w:rPr>
                <w:sz w:val="20"/>
              </w:rPr>
              <w:t>Почки</w:t>
            </w:r>
          </w:p>
        </w:tc>
        <w:tc>
          <w:tcPr>
            <w:tcW w:w="1095" w:type="dxa"/>
          </w:tcPr>
          <w:p w:rsidR="00645170" w:rsidRDefault="00645170">
            <w:pPr>
              <w:pStyle w:val="TableParagraph"/>
              <w:ind w:left="35"/>
              <w:rPr>
                <w:sz w:val="20"/>
              </w:rPr>
            </w:pPr>
            <w:r>
              <w:rPr>
                <w:sz w:val="20"/>
              </w:rPr>
              <w:t>++</w:t>
            </w:r>
          </w:p>
        </w:tc>
        <w:tc>
          <w:tcPr>
            <w:tcW w:w="1100" w:type="dxa"/>
          </w:tcPr>
          <w:p w:rsidR="00645170" w:rsidRDefault="00645170">
            <w:pPr>
              <w:pStyle w:val="TableParagraph"/>
              <w:ind w:left="35"/>
              <w:rPr>
                <w:sz w:val="20"/>
              </w:rPr>
            </w:pPr>
            <w:r>
              <w:rPr>
                <w:sz w:val="20"/>
              </w:rPr>
              <w:t>+++</w:t>
            </w:r>
          </w:p>
        </w:tc>
        <w:tc>
          <w:tcPr>
            <w:tcW w:w="1095" w:type="dxa"/>
          </w:tcPr>
          <w:p w:rsidR="00645170" w:rsidRDefault="00645170">
            <w:pPr>
              <w:pStyle w:val="TableParagraph"/>
              <w:ind w:left="30"/>
              <w:rPr>
                <w:sz w:val="20"/>
              </w:rPr>
            </w:pPr>
            <w:r>
              <w:rPr>
                <w:sz w:val="20"/>
              </w:rPr>
              <w:t>++</w:t>
            </w:r>
          </w:p>
        </w:tc>
        <w:tc>
          <w:tcPr>
            <w:tcW w:w="1095" w:type="dxa"/>
          </w:tcPr>
          <w:p w:rsidR="00645170" w:rsidRDefault="00645170">
            <w:pPr>
              <w:pStyle w:val="TableParagraph"/>
              <w:ind w:left="30"/>
              <w:rPr>
                <w:sz w:val="20"/>
              </w:rPr>
            </w:pPr>
            <w:r>
              <w:rPr>
                <w:sz w:val="20"/>
              </w:rPr>
              <w:t>0</w:t>
            </w:r>
          </w:p>
        </w:tc>
        <w:tc>
          <w:tcPr>
            <w:tcW w:w="1095" w:type="dxa"/>
          </w:tcPr>
          <w:p w:rsidR="00645170" w:rsidRDefault="00645170">
            <w:pPr>
              <w:pStyle w:val="TableParagraph"/>
              <w:ind w:left="29"/>
              <w:rPr>
                <w:sz w:val="20"/>
              </w:rPr>
            </w:pPr>
            <w:r>
              <w:rPr>
                <w:sz w:val="20"/>
              </w:rPr>
              <w:t>2</w:t>
            </w:r>
          </w:p>
        </w:tc>
        <w:tc>
          <w:tcPr>
            <w:tcW w:w="1095" w:type="dxa"/>
          </w:tcPr>
          <w:p w:rsidR="00645170" w:rsidRDefault="00645170">
            <w:pPr>
              <w:pStyle w:val="TableParagraph"/>
              <w:ind w:left="29"/>
              <w:rPr>
                <w:sz w:val="20"/>
              </w:rPr>
            </w:pPr>
            <w:r>
              <w:rPr>
                <w:sz w:val="20"/>
              </w:rPr>
              <w:t>Средняя</w:t>
            </w:r>
          </w:p>
        </w:tc>
      </w:tr>
      <w:tr w:rsidR="00645170">
        <w:trPr>
          <w:trHeight w:val="685"/>
        </w:trPr>
        <w:tc>
          <w:tcPr>
            <w:tcW w:w="1383" w:type="dxa"/>
          </w:tcPr>
          <w:p w:rsidR="00645170" w:rsidRDefault="00645170">
            <w:pPr>
              <w:pStyle w:val="TableParagraph"/>
              <w:ind w:left="30"/>
              <w:rPr>
                <w:sz w:val="20"/>
              </w:rPr>
            </w:pPr>
            <w:r>
              <w:rPr>
                <w:sz w:val="20"/>
              </w:rPr>
              <w:t>Атракурий</w:t>
            </w:r>
          </w:p>
        </w:tc>
        <w:tc>
          <w:tcPr>
            <w:tcW w:w="807" w:type="dxa"/>
          </w:tcPr>
          <w:p w:rsidR="00645170" w:rsidRDefault="00645170">
            <w:pPr>
              <w:pStyle w:val="TableParagraph"/>
              <w:ind w:left="30"/>
              <w:rPr>
                <w:sz w:val="20"/>
              </w:rPr>
            </w:pPr>
            <w:r>
              <w:rPr>
                <w:sz w:val="20"/>
              </w:rPr>
              <w:t>+++</w:t>
            </w:r>
          </w:p>
        </w:tc>
        <w:tc>
          <w:tcPr>
            <w:tcW w:w="1095" w:type="dxa"/>
          </w:tcPr>
          <w:p w:rsidR="00645170" w:rsidRDefault="00645170">
            <w:pPr>
              <w:pStyle w:val="TableParagraph"/>
              <w:ind w:left="30"/>
              <w:rPr>
                <w:sz w:val="20"/>
              </w:rPr>
            </w:pPr>
            <w:r>
              <w:rPr>
                <w:sz w:val="20"/>
              </w:rPr>
              <w:t>Незначител</w:t>
            </w:r>
          </w:p>
          <w:p w:rsidR="00645170" w:rsidRDefault="00645170">
            <w:pPr>
              <w:pStyle w:val="TableParagraph"/>
              <w:spacing w:before="115" w:line="240" w:lineRule="auto"/>
              <w:ind w:left="30"/>
              <w:rPr>
                <w:sz w:val="20"/>
              </w:rPr>
            </w:pPr>
            <w:r>
              <w:rPr>
                <w:sz w:val="20"/>
              </w:rPr>
              <w:t>ьный</w:t>
            </w:r>
          </w:p>
        </w:tc>
        <w:tc>
          <w:tcPr>
            <w:tcW w:w="1095" w:type="dxa"/>
          </w:tcPr>
          <w:p w:rsidR="00645170" w:rsidRDefault="00645170">
            <w:pPr>
              <w:pStyle w:val="TableParagraph"/>
              <w:ind w:left="35"/>
              <w:rPr>
                <w:sz w:val="20"/>
              </w:rPr>
            </w:pPr>
            <w:r>
              <w:rPr>
                <w:sz w:val="20"/>
              </w:rPr>
              <w:t>++</w:t>
            </w:r>
          </w:p>
        </w:tc>
        <w:tc>
          <w:tcPr>
            <w:tcW w:w="1100" w:type="dxa"/>
          </w:tcPr>
          <w:p w:rsidR="00645170" w:rsidRDefault="00645170">
            <w:pPr>
              <w:pStyle w:val="TableParagraph"/>
              <w:ind w:left="35"/>
              <w:rPr>
                <w:sz w:val="20"/>
              </w:rPr>
            </w:pPr>
            <w:r>
              <w:rPr>
                <w:sz w:val="20"/>
              </w:rPr>
              <w:t>++</w:t>
            </w:r>
          </w:p>
        </w:tc>
        <w:tc>
          <w:tcPr>
            <w:tcW w:w="1095" w:type="dxa"/>
          </w:tcPr>
          <w:p w:rsidR="00645170" w:rsidRDefault="00645170">
            <w:pPr>
              <w:pStyle w:val="TableParagraph"/>
              <w:ind w:left="30"/>
              <w:rPr>
                <w:sz w:val="20"/>
              </w:rPr>
            </w:pPr>
            <w:r>
              <w:rPr>
                <w:sz w:val="20"/>
              </w:rPr>
              <w:t>+</w:t>
            </w:r>
          </w:p>
        </w:tc>
        <w:tc>
          <w:tcPr>
            <w:tcW w:w="1095" w:type="dxa"/>
          </w:tcPr>
          <w:p w:rsidR="00645170" w:rsidRDefault="00645170">
            <w:pPr>
              <w:pStyle w:val="TableParagraph"/>
              <w:ind w:left="30"/>
              <w:rPr>
                <w:sz w:val="20"/>
              </w:rPr>
            </w:pPr>
            <w:r>
              <w:rPr>
                <w:sz w:val="20"/>
              </w:rPr>
              <w:t>0</w:t>
            </w:r>
          </w:p>
        </w:tc>
        <w:tc>
          <w:tcPr>
            <w:tcW w:w="1095" w:type="dxa"/>
          </w:tcPr>
          <w:p w:rsidR="00645170" w:rsidRDefault="00645170">
            <w:pPr>
              <w:pStyle w:val="TableParagraph"/>
              <w:ind w:left="29"/>
              <w:rPr>
                <w:sz w:val="20"/>
              </w:rPr>
            </w:pPr>
            <w:r>
              <w:rPr>
                <w:sz w:val="20"/>
              </w:rPr>
              <w:t>1</w:t>
            </w:r>
          </w:p>
        </w:tc>
        <w:tc>
          <w:tcPr>
            <w:tcW w:w="1095" w:type="dxa"/>
          </w:tcPr>
          <w:p w:rsidR="00645170" w:rsidRDefault="00645170">
            <w:pPr>
              <w:pStyle w:val="TableParagraph"/>
              <w:ind w:left="29"/>
              <w:rPr>
                <w:sz w:val="20"/>
              </w:rPr>
            </w:pPr>
            <w:r>
              <w:rPr>
                <w:sz w:val="20"/>
              </w:rPr>
              <w:t>Высокая</w:t>
            </w:r>
          </w:p>
        </w:tc>
      </w:tr>
      <w:tr w:rsidR="00645170">
        <w:trPr>
          <w:trHeight w:val="690"/>
        </w:trPr>
        <w:tc>
          <w:tcPr>
            <w:tcW w:w="1383" w:type="dxa"/>
          </w:tcPr>
          <w:p w:rsidR="00645170" w:rsidRDefault="00645170">
            <w:pPr>
              <w:pStyle w:val="TableParagraph"/>
              <w:spacing w:line="240" w:lineRule="auto"/>
              <w:ind w:left="30"/>
              <w:rPr>
                <w:sz w:val="20"/>
              </w:rPr>
            </w:pPr>
            <w:r>
              <w:rPr>
                <w:sz w:val="20"/>
              </w:rPr>
              <w:t>Мивакурий</w:t>
            </w:r>
          </w:p>
        </w:tc>
        <w:tc>
          <w:tcPr>
            <w:tcW w:w="807" w:type="dxa"/>
          </w:tcPr>
          <w:p w:rsidR="00645170" w:rsidRDefault="00645170">
            <w:pPr>
              <w:pStyle w:val="TableParagraph"/>
              <w:spacing w:line="240" w:lineRule="auto"/>
              <w:ind w:left="30"/>
              <w:rPr>
                <w:sz w:val="20"/>
              </w:rPr>
            </w:pPr>
            <w:r>
              <w:rPr>
                <w:sz w:val="20"/>
              </w:rPr>
              <w:t>+++</w:t>
            </w:r>
          </w:p>
        </w:tc>
        <w:tc>
          <w:tcPr>
            <w:tcW w:w="1095" w:type="dxa"/>
          </w:tcPr>
          <w:p w:rsidR="00645170" w:rsidRDefault="00645170">
            <w:pPr>
              <w:pStyle w:val="TableParagraph"/>
              <w:spacing w:line="240" w:lineRule="auto"/>
              <w:ind w:left="30"/>
              <w:rPr>
                <w:sz w:val="20"/>
              </w:rPr>
            </w:pPr>
            <w:r>
              <w:rPr>
                <w:sz w:val="20"/>
              </w:rPr>
              <w:t>Незначител</w:t>
            </w:r>
          </w:p>
          <w:p w:rsidR="00645170" w:rsidRDefault="00645170">
            <w:pPr>
              <w:pStyle w:val="TableParagraph"/>
              <w:spacing w:before="111" w:line="240" w:lineRule="auto"/>
              <w:ind w:left="30"/>
              <w:rPr>
                <w:sz w:val="20"/>
              </w:rPr>
            </w:pPr>
            <w:r>
              <w:rPr>
                <w:sz w:val="20"/>
              </w:rPr>
              <w:t>ьный</w:t>
            </w:r>
          </w:p>
        </w:tc>
        <w:tc>
          <w:tcPr>
            <w:tcW w:w="1095" w:type="dxa"/>
          </w:tcPr>
          <w:p w:rsidR="00645170" w:rsidRDefault="00645170">
            <w:pPr>
              <w:pStyle w:val="TableParagraph"/>
              <w:spacing w:line="240" w:lineRule="auto"/>
              <w:ind w:left="35"/>
              <w:rPr>
                <w:sz w:val="20"/>
              </w:rPr>
            </w:pPr>
            <w:r>
              <w:rPr>
                <w:sz w:val="20"/>
              </w:rPr>
              <w:t>++</w:t>
            </w:r>
          </w:p>
        </w:tc>
        <w:tc>
          <w:tcPr>
            <w:tcW w:w="1100" w:type="dxa"/>
          </w:tcPr>
          <w:p w:rsidR="00645170" w:rsidRDefault="00645170">
            <w:pPr>
              <w:pStyle w:val="TableParagraph"/>
              <w:spacing w:line="240" w:lineRule="auto"/>
              <w:ind w:left="35"/>
              <w:rPr>
                <w:sz w:val="20"/>
              </w:rPr>
            </w:pPr>
            <w:r>
              <w:rPr>
                <w:sz w:val="20"/>
              </w:rPr>
              <w:t>+</w:t>
            </w:r>
          </w:p>
        </w:tc>
        <w:tc>
          <w:tcPr>
            <w:tcW w:w="1095" w:type="dxa"/>
          </w:tcPr>
          <w:p w:rsidR="00645170" w:rsidRDefault="00645170">
            <w:pPr>
              <w:pStyle w:val="TableParagraph"/>
              <w:spacing w:line="240" w:lineRule="auto"/>
              <w:ind w:left="30"/>
              <w:rPr>
                <w:sz w:val="20"/>
              </w:rPr>
            </w:pPr>
            <w:r>
              <w:rPr>
                <w:sz w:val="20"/>
              </w:rPr>
              <w:t>+</w:t>
            </w:r>
          </w:p>
        </w:tc>
        <w:tc>
          <w:tcPr>
            <w:tcW w:w="1095" w:type="dxa"/>
          </w:tcPr>
          <w:p w:rsidR="00645170" w:rsidRDefault="00645170">
            <w:pPr>
              <w:pStyle w:val="TableParagraph"/>
              <w:spacing w:line="240" w:lineRule="auto"/>
              <w:ind w:left="30"/>
              <w:rPr>
                <w:sz w:val="20"/>
              </w:rPr>
            </w:pPr>
            <w:r>
              <w:rPr>
                <w:sz w:val="20"/>
              </w:rPr>
              <w:t>0</w:t>
            </w:r>
          </w:p>
        </w:tc>
        <w:tc>
          <w:tcPr>
            <w:tcW w:w="1095" w:type="dxa"/>
          </w:tcPr>
          <w:p w:rsidR="00645170" w:rsidRDefault="00645170">
            <w:pPr>
              <w:pStyle w:val="TableParagraph"/>
              <w:spacing w:line="240" w:lineRule="auto"/>
              <w:ind w:left="29"/>
              <w:rPr>
                <w:sz w:val="20"/>
              </w:rPr>
            </w:pPr>
            <w:r>
              <w:rPr>
                <w:sz w:val="20"/>
              </w:rPr>
              <w:t>2,5</w:t>
            </w:r>
          </w:p>
        </w:tc>
        <w:tc>
          <w:tcPr>
            <w:tcW w:w="1095" w:type="dxa"/>
          </w:tcPr>
          <w:p w:rsidR="00645170" w:rsidRDefault="00645170">
            <w:pPr>
              <w:pStyle w:val="TableParagraph"/>
              <w:spacing w:line="240" w:lineRule="auto"/>
              <w:ind w:left="29"/>
              <w:rPr>
                <w:sz w:val="20"/>
              </w:rPr>
            </w:pPr>
            <w:r>
              <w:rPr>
                <w:sz w:val="20"/>
              </w:rPr>
              <w:t>Средняя</w:t>
            </w:r>
          </w:p>
        </w:tc>
      </w:tr>
      <w:tr w:rsidR="00645170">
        <w:trPr>
          <w:trHeight w:val="691"/>
        </w:trPr>
        <w:tc>
          <w:tcPr>
            <w:tcW w:w="1383" w:type="dxa"/>
          </w:tcPr>
          <w:p w:rsidR="00645170" w:rsidRDefault="00645170">
            <w:pPr>
              <w:pStyle w:val="TableParagraph"/>
              <w:spacing w:line="226" w:lineRule="exact"/>
              <w:ind w:left="30"/>
              <w:rPr>
                <w:sz w:val="20"/>
              </w:rPr>
            </w:pPr>
            <w:r>
              <w:rPr>
                <w:sz w:val="20"/>
              </w:rPr>
              <w:t>Доксакурий</w:t>
            </w:r>
          </w:p>
        </w:tc>
        <w:tc>
          <w:tcPr>
            <w:tcW w:w="807" w:type="dxa"/>
          </w:tcPr>
          <w:p w:rsidR="00645170" w:rsidRDefault="00645170">
            <w:pPr>
              <w:pStyle w:val="TableParagraph"/>
              <w:spacing w:line="226" w:lineRule="exact"/>
              <w:ind w:left="30"/>
              <w:rPr>
                <w:sz w:val="20"/>
              </w:rPr>
            </w:pPr>
            <w:r>
              <w:rPr>
                <w:sz w:val="20"/>
              </w:rPr>
              <w:t>Незначи</w:t>
            </w:r>
          </w:p>
          <w:p w:rsidR="00645170" w:rsidRDefault="00645170">
            <w:pPr>
              <w:pStyle w:val="TableParagraph"/>
              <w:spacing w:before="115" w:line="240" w:lineRule="auto"/>
              <w:ind w:left="30"/>
              <w:rPr>
                <w:sz w:val="20"/>
              </w:rPr>
            </w:pPr>
            <w:r>
              <w:rPr>
                <w:sz w:val="20"/>
              </w:rPr>
              <w:t>тельный</w:t>
            </w:r>
          </w:p>
        </w:tc>
        <w:tc>
          <w:tcPr>
            <w:tcW w:w="1095" w:type="dxa"/>
          </w:tcPr>
          <w:p w:rsidR="00645170" w:rsidRDefault="00645170">
            <w:pPr>
              <w:pStyle w:val="TableParagraph"/>
              <w:spacing w:line="226" w:lineRule="exact"/>
              <w:ind w:left="30"/>
              <w:rPr>
                <w:sz w:val="20"/>
              </w:rPr>
            </w:pPr>
            <w:r>
              <w:rPr>
                <w:sz w:val="20"/>
              </w:rPr>
              <w:t>Почки</w:t>
            </w:r>
          </w:p>
        </w:tc>
        <w:tc>
          <w:tcPr>
            <w:tcW w:w="1095" w:type="dxa"/>
          </w:tcPr>
          <w:p w:rsidR="00645170" w:rsidRDefault="00645170">
            <w:pPr>
              <w:pStyle w:val="TableParagraph"/>
              <w:spacing w:line="226" w:lineRule="exact"/>
              <w:ind w:left="35"/>
              <w:rPr>
                <w:sz w:val="20"/>
              </w:rPr>
            </w:pPr>
            <w:r>
              <w:rPr>
                <w:sz w:val="20"/>
              </w:rPr>
              <w:t>+</w:t>
            </w:r>
          </w:p>
        </w:tc>
        <w:tc>
          <w:tcPr>
            <w:tcW w:w="1100" w:type="dxa"/>
          </w:tcPr>
          <w:p w:rsidR="00645170" w:rsidRDefault="00645170">
            <w:pPr>
              <w:pStyle w:val="TableParagraph"/>
              <w:spacing w:line="226" w:lineRule="exact"/>
              <w:ind w:left="35"/>
              <w:rPr>
                <w:sz w:val="20"/>
              </w:rPr>
            </w:pPr>
            <w:r>
              <w:rPr>
                <w:sz w:val="20"/>
              </w:rPr>
              <w:t>+++</w:t>
            </w:r>
          </w:p>
        </w:tc>
        <w:tc>
          <w:tcPr>
            <w:tcW w:w="1095" w:type="dxa"/>
          </w:tcPr>
          <w:p w:rsidR="00645170" w:rsidRDefault="00645170">
            <w:pPr>
              <w:pStyle w:val="TableParagraph"/>
              <w:spacing w:line="226" w:lineRule="exact"/>
              <w:ind w:left="30"/>
              <w:rPr>
                <w:sz w:val="20"/>
              </w:rPr>
            </w:pPr>
            <w:r>
              <w:rPr>
                <w:sz w:val="20"/>
              </w:rPr>
              <w:t>0</w:t>
            </w:r>
          </w:p>
        </w:tc>
        <w:tc>
          <w:tcPr>
            <w:tcW w:w="1095" w:type="dxa"/>
          </w:tcPr>
          <w:p w:rsidR="00645170" w:rsidRDefault="00645170">
            <w:pPr>
              <w:pStyle w:val="TableParagraph"/>
              <w:spacing w:line="226" w:lineRule="exact"/>
              <w:ind w:left="30"/>
              <w:rPr>
                <w:sz w:val="20"/>
              </w:rPr>
            </w:pPr>
            <w:r>
              <w:rPr>
                <w:sz w:val="20"/>
              </w:rPr>
              <w:t>0</w:t>
            </w:r>
          </w:p>
        </w:tc>
        <w:tc>
          <w:tcPr>
            <w:tcW w:w="1095" w:type="dxa"/>
          </w:tcPr>
          <w:p w:rsidR="00645170" w:rsidRDefault="00645170">
            <w:pPr>
              <w:pStyle w:val="TableParagraph"/>
              <w:spacing w:line="226" w:lineRule="exact"/>
              <w:ind w:left="29"/>
              <w:rPr>
                <w:sz w:val="20"/>
              </w:rPr>
            </w:pPr>
            <w:r>
              <w:rPr>
                <w:sz w:val="20"/>
              </w:rPr>
              <w:t>12</w:t>
            </w:r>
          </w:p>
        </w:tc>
        <w:tc>
          <w:tcPr>
            <w:tcW w:w="1095" w:type="dxa"/>
          </w:tcPr>
          <w:p w:rsidR="00645170" w:rsidRDefault="00645170">
            <w:pPr>
              <w:pStyle w:val="TableParagraph"/>
              <w:spacing w:line="226" w:lineRule="exact"/>
              <w:ind w:left="29"/>
              <w:rPr>
                <w:sz w:val="20"/>
              </w:rPr>
            </w:pPr>
            <w:r>
              <w:rPr>
                <w:sz w:val="20"/>
              </w:rPr>
              <w:t>Высокая</w:t>
            </w:r>
          </w:p>
        </w:tc>
      </w:tr>
      <w:tr w:rsidR="00645170">
        <w:trPr>
          <w:trHeight w:val="345"/>
        </w:trPr>
        <w:tc>
          <w:tcPr>
            <w:tcW w:w="1383" w:type="dxa"/>
          </w:tcPr>
          <w:p w:rsidR="00645170" w:rsidRDefault="00645170">
            <w:pPr>
              <w:pStyle w:val="TableParagraph"/>
              <w:ind w:left="30"/>
              <w:rPr>
                <w:sz w:val="20"/>
              </w:rPr>
            </w:pPr>
            <w:r>
              <w:rPr>
                <w:sz w:val="20"/>
              </w:rPr>
              <w:t>Панкуроний</w:t>
            </w:r>
          </w:p>
        </w:tc>
        <w:tc>
          <w:tcPr>
            <w:tcW w:w="807" w:type="dxa"/>
          </w:tcPr>
          <w:p w:rsidR="00645170" w:rsidRDefault="00645170">
            <w:pPr>
              <w:pStyle w:val="TableParagraph"/>
              <w:ind w:left="30"/>
              <w:rPr>
                <w:sz w:val="20"/>
              </w:rPr>
            </w:pPr>
            <w:r>
              <w:rPr>
                <w:sz w:val="20"/>
              </w:rPr>
              <w:t>+</w:t>
            </w:r>
          </w:p>
        </w:tc>
        <w:tc>
          <w:tcPr>
            <w:tcW w:w="1095" w:type="dxa"/>
          </w:tcPr>
          <w:p w:rsidR="00645170" w:rsidRDefault="00645170">
            <w:pPr>
              <w:pStyle w:val="TableParagraph"/>
              <w:ind w:left="30"/>
              <w:rPr>
                <w:sz w:val="20"/>
              </w:rPr>
            </w:pPr>
            <w:r>
              <w:rPr>
                <w:sz w:val="20"/>
              </w:rPr>
              <w:t>Почки</w:t>
            </w:r>
          </w:p>
        </w:tc>
        <w:tc>
          <w:tcPr>
            <w:tcW w:w="1095" w:type="dxa"/>
          </w:tcPr>
          <w:p w:rsidR="00645170" w:rsidRDefault="00645170">
            <w:pPr>
              <w:pStyle w:val="TableParagraph"/>
              <w:ind w:left="35"/>
              <w:rPr>
                <w:sz w:val="20"/>
              </w:rPr>
            </w:pPr>
            <w:r>
              <w:rPr>
                <w:sz w:val="20"/>
              </w:rPr>
              <w:t>++</w:t>
            </w:r>
          </w:p>
        </w:tc>
        <w:tc>
          <w:tcPr>
            <w:tcW w:w="1100" w:type="dxa"/>
          </w:tcPr>
          <w:p w:rsidR="00645170" w:rsidRDefault="00645170">
            <w:pPr>
              <w:pStyle w:val="TableParagraph"/>
              <w:ind w:left="35"/>
              <w:rPr>
                <w:sz w:val="20"/>
              </w:rPr>
            </w:pPr>
            <w:r>
              <w:rPr>
                <w:sz w:val="20"/>
              </w:rPr>
              <w:t>+++</w:t>
            </w:r>
          </w:p>
        </w:tc>
        <w:tc>
          <w:tcPr>
            <w:tcW w:w="1095" w:type="dxa"/>
          </w:tcPr>
          <w:p w:rsidR="00645170" w:rsidRDefault="00645170">
            <w:pPr>
              <w:pStyle w:val="TableParagraph"/>
              <w:ind w:left="30"/>
              <w:rPr>
                <w:sz w:val="20"/>
              </w:rPr>
            </w:pPr>
            <w:r>
              <w:rPr>
                <w:sz w:val="20"/>
              </w:rPr>
              <w:t>0</w:t>
            </w:r>
          </w:p>
        </w:tc>
        <w:tc>
          <w:tcPr>
            <w:tcW w:w="1095" w:type="dxa"/>
          </w:tcPr>
          <w:p w:rsidR="00645170" w:rsidRDefault="00645170">
            <w:pPr>
              <w:pStyle w:val="TableParagraph"/>
              <w:ind w:left="30"/>
              <w:rPr>
                <w:sz w:val="20"/>
              </w:rPr>
            </w:pPr>
            <w:r>
              <w:rPr>
                <w:sz w:val="20"/>
              </w:rPr>
              <w:t>++</w:t>
            </w:r>
          </w:p>
        </w:tc>
        <w:tc>
          <w:tcPr>
            <w:tcW w:w="1095" w:type="dxa"/>
          </w:tcPr>
          <w:p w:rsidR="00645170" w:rsidRDefault="00645170">
            <w:pPr>
              <w:pStyle w:val="TableParagraph"/>
              <w:ind w:left="29"/>
              <w:rPr>
                <w:sz w:val="20"/>
              </w:rPr>
            </w:pPr>
            <w:r>
              <w:rPr>
                <w:sz w:val="20"/>
              </w:rPr>
              <w:t>5</w:t>
            </w:r>
          </w:p>
        </w:tc>
        <w:tc>
          <w:tcPr>
            <w:tcW w:w="1095" w:type="dxa"/>
          </w:tcPr>
          <w:p w:rsidR="00645170" w:rsidRDefault="00645170">
            <w:pPr>
              <w:pStyle w:val="TableParagraph"/>
              <w:ind w:left="29"/>
              <w:rPr>
                <w:sz w:val="20"/>
              </w:rPr>
            </w:pPr>
            <w:r>
              <w:rPr>
                <w:sz w:val="20"/>
              </w:rPr>
              <w:t>Низкая</w:t>
            </w:r>
          </w:p>
        </w:tc>
      </w:tr>
      <w:tr w:rsidR="00645170">
        <w:trPr>
          <w:trHeight w:val="345"/>
        </w:trPr>
        <w:tc>
          <w:tcPr>
            <w:tcW w:w="1383" w:type="dxa"/>
          </w:tcPr>
          <w:p w:rsidR="00645170" w:rsidRDefault="00645170">
            <w:pPr>
              <w:pStyle w:val="TableParagraph"/>
              <w:ind w:left="30"/>
              <w:rPr>
                <w:sz w:val="20"/>
              </w:rPr>
            </w:pPr>
            <w:r>
              <w:rPr>
                <w:sz w:val="20"/>
              </w:rPr>
              <w:t>Пипекуроний</w:t>
            </w:r>
          </w:p>
        </w:tc>
        <w:tc>
          <w:tcPr>
            <w:tcW w:w="807" w:type="dxa"/>
          </w:tcPr>
          <w:p w:rsidR="00645170" w:rsidRDefault="00645170">
            <w:pPr>
              <w:pStyle w:val="TableParagraph"/>
              <w:ind w:left="30"/>
              <w:rPr>
                <w:sz w:val="20"/>
              </w:rPr>
            </w:pPr>
            <w:r>
              <w:rPr>
                <w:sz w:val="20"/>
              </w:rPr>
              <w:t>+</w:t>
            </w:r>
          </w:p>
        </w:tc>
        <w:tc>
          <w:tcPr>
            <w:tcW w:w="1095" w:type="dxa"/>
          </w:tcPr>
          <w:p w:rsidR="00645170" w:rsidRDefault="00645170">
            <w:pPr>
              <w:pStyle w:val="TableParagraph"/>
              <w:ind w:left="30"/>
              <w:rPr>
                <w:sz w:val="20"/>
              </w:rPr>
            </w:pPr>
            <w:r>
              <w:rPr>
                <w:sz w:val="20"/>
              </w:rPr>
              <w:t>Почки</w:t>
            </w:r>
          </w:p>
        </w:tc>
        <w:tc>
          <w:tcPr>
            <w:tcW w:w="1095" w:type="dxa"/>
          </w:tcPr>
          <w:p w:rsidR="00645170" w:rsidRDefault="00645170">
            <w:pPr>
              <w:pStyle w:val="TableParagraph"/>
              <w:ind w:left="35"/>
              <w:rPr>
                <w:sz w:val="20"/>
              </w:rPr>
            </w:pPr>
            <w:r>
              <w:rPr>
                <w:sz w:val="20"/>
              </w:rPr>
              <w:t>++</w:t>
            </w:r>
          </w:p>
        </w:tc>
        <w:tc>
          <w:tcPr>
            <w:tcW w:w="1100" w:type="dxa"/>
          </w:tcPr>
          <w:p w:rsidR="00645170" w:rsidRDefault="00645170">
            <w:pPr>
              <w:pStyle w:val="TableParagraph"/>
              <w:ind w:left="35"/>
              <w:rPr>
                <w:sz w:val="20"/>
              </w:rPr>
            </w:pPr>
            <w:r>
              <w:rPr>
                <w:sz w:val="20"/>
              </w:rPr>
              <w:t>+++</w:t>
            </w:r>
          </w:p>
        </w:tc>
        <w:tc>
          <w:tcPr>
            <w:tcW w:w="1095" w:type="dxa"/>
          </w:tcPr>
          <w:p w:rsidR="00645170" w:rsidRDefault="00645170">
            <w:pPr>
              <w:pStyle w:val="TableParagraph"/>
              <w:ind w:left="30"/>
              <w:rPr>
                <w:sz w:val="20"/>
              </w:rPr>
            </w:pPr>
            <w:r>
              <w:rPr>
                <w:sz w:val="20"/>
              </w:rPr>
              <w:t>0</w:t>
            </w:r>
          </w:p>
        </w:tc>
        <w:tc>
          <w:tcPr>
            <w:tcW w:w="1095" w:type="dxa"/>
          </w:tcPr>
          <w:p w:rsidR="00645170" w:rsidRDefault="00645170">
            <w:pPr>
              <w:pStyle w:val="TableParagraph"/>
              <w:ind w:left="30"/>
              <w:rPr>
                <w:sz w:val="20"/>
              </w:rPr>
            </w:pPr>
            <w:r>
              <w:rPr>
                <w:sz w:val="20"/>
              </w:rPr>
              <w:t>0</w:t>
            </w:r>
          </w:p>
        </w:tc>
        <w:tc>
          <w:tcPr>
            <w:tcW w:w="1095" w:type="dxa"/>
          </w:tcPr>
          <w:p w:rsidR="00645170" w:rsidRDefault="00645170">
            <w:pPr>
              <w:pStyle w:val="TableParagraph"/>
              <w:ind w:left="29"/>
              <w:rPr>
                <w:sz w:val="20"/>
              </w:rPr>
            </w:pPr>
            <w:r>
              <w:rPr>
                <w:sz w:val="20"/>
              </w:rPr>
              <w:t>6</w:t>
            </w:r>
          </w:p>
        </w:tc>
        <w:tc>
          <w:tcPr>
            <w:tcW w:w="1095" w:type="dxa"/>
          </w:tcPr>
          <w:p w:rsidR="00645170" w:rsidRDefault="00645170">
            <w:pPr>
              <w:pStyle w:val="TableParagraph"/>
              <w:ind w:left="29"/>
              <w:rPr>
                <w:sz w:val="20"/>
              </w:rPr>
            </w:pPr>
            <w:r>
              <w:rPr>
                <w:sz w:val="20"/>
              </w:rPr>
              <w:t>Высокая</w:t>
            </w:r>
          </w:p>
        </w:tc>
      </w:tr>
      <w:tr w:rsidR="00645170">
        <w:trPr>
          <w:trHeight w:val="345"/>
        </w:trPr>
        <w:tc>
          <w:tcPr>
            <w:tcW w:w="1383" w:type="dxa"/>
          </w:tcPr>
          <w:p w:rsidR="00645170" w:rsidRDefault="00645170">
            <w:pPr>
              <w:pStyle w:val="TableParagraph"/>
              <w:ind w:left="30"/>
              <w:rPr>
                <w:sz w:val="20"/>
              </w:rPr>
            </w:pPr>
            <w:r>
              <w:rPr>
                <w:sz w:val="20"/>
              </w:rPr>
              <w:t>Векуроний</w:t>
            </w:r>
          </w:p>
        </w:tc>
        <w:tc>
          <w:tcPr>
            <w:tcW w:w="807" w:type="dxa"/>
          </w:tcPr>
          <w:p w:rsidR="00645170" w:rsidRDefault="00645170">
            <w:pPr>
              <w:pStyle w:val="TableParagraph"/>
              <w:ind w:left="30"/>
              <w:rPr>
                <w:sz w:val="20"/>
              </w:rPr>
            </w:pPr>
            <w:r>
              <w:rPr>
                <w:sz w:val="20"/>
              </w:rPr>
              <w:t>+</w:t>
            </w:r>
          </w:p>
        </w:tc>
        <w:tc>
          <w:tcPr>
            <w:tcW w:w="1095" w:type="dxa"/>
          </w:tcPr>
          <w:p w:rsidR="00645170" w:rsidRDefault="00645170">
            <w:pPr>
              <w:pStyle w:val="TableParagraph"/>
              <w:ind w:left="30"/>
              <w:rPr>
                <w:sz w:val="20"/>
              </w:rPr>
            </w:pPr>
            <w:r>
              <w:rPr>
                <w:sz w:val="20"/>
              </w:rPr>
              <w:t>Желчь</w:t>
            </w:r>
          </w:p>
        </w:tc>
        <w:tc>
          <w:tcPr>
            <w:tcW w:w="1095" w:type="dxa"/>
          </w:tcPr>
          <w:p w:rsidR="00645170" w:rsidRDefault="00645170">
            <w:pPr>
              <w:pStyle w:val="TableParagraph"/>
              <w:ind w:left="35"/>
              <w:rPr>
                <w:sz w:val="20"/>
              </w:rPr>
            </w:pPr>
            <w:r>
              <w:rPr>
                <w:sz w:val="20"/>
              </w:rPr>
              <w:t>++</w:t>
            </w:r>
          </w:p>
        </w:tc>
        <w:tc>
          <w:tcPr>
            <w:tcW w:w="1100" w:type="dxa"/>
          </w:tcPr>
          <w:p w:rsidR="00645170" w:rsidRDefault="00645170">
            <w:pPr>
              <w:pStyle w:val="TableParagraph"/>
              <w:ind w:left="35"/>
              <w:rPr>
                <w:sz w:val="20"/>
              </w:rPr>
            </w:pPr>
            <w:r>
              <w:rPr>
                <w:sz w:val="20"/>
              </w:rPr>
              <w:t>++</w:t>
            </w:r>
          </w:p>
        </w:tc>
        <w:tc>
          <w:tcPr>
            <w:tcW w:w="1095" w:type="dxa"/>
          </w:tcPr>
          <w:p w:rsidR="00645170" w:rsidRDefault="00645170">
            <w:pPr>
              <w:pStyle w:val="TableParagraph"/>
              <w:ind w:left="30"/>
              <w:rPr>
                <w:sz w:val="20"/>
              </w:rPr>
            </w:pPr>
            <w:r>
              <w:rPr>
                <w:sz w:val="20"/>
              </w:rPr>
              <w:t>0</w:t>
            </w:r>
          </w:p>
        </w:tc>
        <w:tc>
          <w:tcPr>
            <w:tcW w:w="1095" w:type="dxa"/>
          </w:tcPr>
          <w:p w:rsidR="00645170" w:rsidRDefault="00645170">
            <w:pPr>
              <w:pStyle w:val="TableParagraph"/>
              <w:ind w:left="30"/>
              <w:rPr>
                <w:sz w:val="20"/>
              </w:rPr>
            </w:pPr>
            <w:r>
              <w:rPr>
                <w:sz w:val="20"/>
              </w:rPr>
              <w:t>0</w:t>
            </w:r>
          </w:p>
        </w:tc>
        <w:tc>
          <w:tcPr>
            <w:tcW w:w="1095" w:type="dxa"/>
          </w:tcPr>
          <w:p w:rsidR="00645170" w:rsidRDefault="00645170">
            <w:pPr>
              <w:pStyle w:val="TableParagraph"/>
              <w:ind w:left="29"/>
              <w:rPr>
                <w:sz w:val="20"/>
              </w:rPr>
            </w:pPr>
            <w:r>
              <w:rPr>
                <w:sz w:val="20"/>
              </w:rPr>
              <w:t>5</w:t>
            </w:r>
          </w:p>
        </w:tc>
        <w:tc>
          <w:tcPr>
            <w:tcW w:w="1095" w:type="dxa"/>
          </w:tcPr>
          <w:p w:rsidR="00645170" w:rsidRDefault="00645170">
            <w:pPr>
              <w:pStyle w:val="TableParagraph"/>
              <w:ind w:left="29"/>
              <w:rPr>
                <w:sz w:val="20"/>
              </w:rPr>
            </w:pPr>
            <w:r>
              <w:rPr>
                <w:sz w:val="20"/>
              </w:rPr>
              <w:t>Высокая</w:t>
            </w:r>
          </w:p>
        </w:tc>
      </w:tr>
      <w:tr w:rsidR="00645170">
        <w:trPr>
          <w:trHeight w:val="691"/>
        </w:trPr>
        <w:tc>
          <w:tcPr>
            <w:tcW w:w="1383" w:type="dxa"/>
          </w:tcPr>
          <w:p w:rsidR="00645170" w:rsidRDefault="00645170">
            <w:pPr>
              <w:pStyle w:val="TableParagraph"/>
              <w:spacing w:line="226" w:lineRule="exact"/>
              <w:ind w:left="30"/>
              <w:rPr>
                <w:sz w:val="20"/>
              </w:rPr>
            </w:pPr>
            <w:r>
              <w:rPr>
                <w:sz w:val="20"/>
              </w:rPr>
              <w:t>Рокуроний</w:t>
            </w:r>
          </w:p>
        </w:tc>
        <w:tc>
          <w:tcPr>
            <w:tcW w:w="807" w:type="dxa"/>
          </w:tcPr>
          <w:p w:rsidR="00645170" w:rsidRDefault="00645170">
            <w:pPr>
              <w:pStyle w:val="TableParagraph"/>
              <w:spacing w:line="226" w:lineRule="exact"/>
              <w:ind w:left="30"/>
              <w:rPr>
                <w:sz w:val="20"/>
              </w:rPr>
            </w:pPr>
            <w:r>
              <w:rPr>
                <w:sz w:val="20"/>
              </w:rPr>
              <w:t>Незначи</w:t>
            </w:r>
          </w:p>
          <w:p w:rsidR="00645170" w:rsidRDefault="00645170">
            <w:pPr>
              <w:pStyle w:val="TableParagraph"/>
              <w:spacing w:before="115" w:line="240" w:lineRule="auto"/>
              <w:ind w:left="30"/>
              <w:rPr>
                <w:sz w:val="20"/>
              </w:rPr>
            </w:pPr>
            <w:r>
              <w:rPr>
                <w:sz w:val="20"/>
              </w:rPr>
              <w:t>тельный</w:t>
            </w:r>
          </w:p>
        </w:tc>
        <w:tc>
          <w:tcPr>
            <w:tcW w:w="1095" w:type="dxa"/>
          </w:tcPr>
          <w:p w:rsidR="00645170" w:rsidRDefault="00645170">
            <w:pPr>
              <w:pStyle w:val="TableParagraph"/>
              <w:spacing w:line="226" w:lineRule="exact"/>
              <w:ind w:left="30"/>
              <w:rPr>
                <w:sz w:val="20"/>
              </w:rPr>
            </w:pPr>
            <w:r>
              <w:rPr>
                <w:sz w:val="20"/>
              </w:rPr>
              <w:t>Желчь</w:t>
            </w:r>
          </w:p>
        </w:tc>
        <w:tc>
          <w:tcPr>
            <w:tcW w:w="1095" w:type="dxa"/>
          </w:tcPr>
          <w:p w:rsidR="00645170" w:rsidRDefault="00645170">
            <w:pPr>
              <w:pStyle w:val="TableParagraph"/>
              <w:spacing w:line="226" w:lineRule="exact"/>
              <w:ind w:left="35"/>
              <w:rPr>
                <w:sz w:val="20"/>
              </w:rPr>
            </w:pPr>
            <w:r>
              <w:rPr>
                <w:sz w:val="20"/>
              </w:rPr>
              <w:t>+++</w:t>
            </w:r>
          </w:p>
        </w:tc>
        <w:tc>
          <w:tcPr>
            <w:tcW w:w="1100" w:type="dxa"/>
          </w:tcPr>
          <w:p w:rsidR="00645170" w:rsidRDefault="00645170">
            <w:pPr>
              <w:pStyle w:val="TableParagraph"/>
              <w:spacing w:line="226" w:lineRule="exact"/>
              <w:ind w:left="35"/>
              <w:rPr>
                <w:sz w:val="20"/>
              </w:rPr>
            </w:pPr>
            <w:r>
              <w:rPr>
                <w:sz w:val="20"/>
              </w:rPr>
              <w:t>++</w:t>
            </w:r>
          </w:p>
        </w:tc>
        <w:tc>
          <w:tcPr>
            <w:tcW w:w="1095" w:type="dxa"/>
          </w:tcPr>
          <w:p w:rsidR="00645170" w:rsidRDefault="00645170">
            <w:pPr>
              <w:pStyle w:val="TableParagraph"/>
              <w:spacing w:line="226" w:lineRule="exact"/>
              <w:ind w:left="30"/>
              <w:rPr>
                <w:sz w:val="20"/>
              </w:rPr>
            </w:pPr>
            <w:r>
              <w:rPr>
                <w:sz w:val="20"/>
              </w:rPr>
              <w:t>0</w:t>
            </w:r>
          </w:p>
        </w:tc>
        <w:tc>
          <w:tcPr>
            <w:tcW w:w="1095" w:type="dxa"/>
          </w:tcPr>
          <w:p w:rsidR="00645170" w:rsidRDefault="00645170">
            <w:pPr>
              <w:pStyle w:val="TableParagraph"/>
              <w:spacing w:line="226" w:lineRule="exact"/>
              <w:ind w:left="30"/>
              <w:rPr>
                <w:sz w:val="20"/>
              </w:rPr>
            </w:pPr>
            <w:r>
              <w:rPr>
                <w:sz w:val="20"/>
              </w:rPr>
              <w:t>+</w:t>
            </w:r>
          </w:p>
        </w:tc>
        <w:tc>
          <w:tcPr>
            <w:tcW w:w="1095" w:type="dxa"/>
          </w:tcPr>
          <w:p w:rsidR="00645170" w:rsidRDefault="00645170">
            <w:pPr>
              <w:pStyle w:val="TableParagraph"/>
              <w:spacing w:line="226" w:lineRule="exact"/>
              <w:ind w:left="29"/>
              <w:rPr>
                <w:sz w:val="20"/>
              </w:rPr>
            </w:pPr>
            <w:r>
              <w:rPr>
                <w:sz w:val="20"/>
              </w:rPr>
              <w:t>1</w:t>
            </w:r>
          </w:p>
        </w:tc>
        <w:tc>
          <w:tcPr>
            <w:tcW w:w="1095" w:type="dxa"/>
          </w:tcPr>
          <w:p w:rsidR="00645170" w:rsidRDefault="00645170">
            <w:pPr>
              <w:pStyle w:val="TableParagraph"/>
              <w:spacing w:line="226" w:lineRule="exact"/>
              <w:ind w:left="29"/>
              <w:rPr>
                <w:sz w:val="20"/>
              </w:rPr>
            </w:pPr>
            <w:r>
              <w:rPr>
                <w:sz w:val="20"/>
              </w:rPr>
              <w:t>Высокая</w:t>
            </w:r>
          </w:p>
        </w:tc>
      </w:tr>
    </w:tbl>
    <w:p w:rsidR="00645170" w:rsidRDefault="00645170">
      <w:pPr>
        <w:spacing w:line="226" w:lineRule="exact"/>
        <w:rPr>
          <w:sz w:val="20"/>
        </w:rPr>
        <w:sectPr w:rsidR="00645170">
          <w:headerReference w:type="default" r:id="rId32"/>
          <w:footerReference w:type="default" r:id="rId33"/>
          <w:pgSz w:w="11910" w:h="16840"/>
          <w:pgMar w:top="1040" w:right="340" w:bottom="1140" w:left="1340" w:header="714" w:footer="959" w:gutter="0"/>
          <w:pgNumType w:start="14"/>
          <w:cols w:space="720"/>
        </w:sectPr>
      </w:pPr>
    </w:p>
    <w:p w:rsidR="00645170" w:rsidRDefault="00645170">
      <w:pPr>
        <w:pStyle w:val="BodyText"/>
        <w:tabs>
          <w:tab w:val="left" w:pos="3170"/>
          <w:tab w:val="left" w:pos="4888"/>
          <w:tab w:val="left" w:pos="8179"/>
        </w:tabs>
        <w:spacing w:before="106" w:line="360" w:lineRule="auto"/>
        <w:ind w:right="514" w:firstLine="710"/>
        <w:jc w:val="both"/>
      </w:pPr>
      <w:r>
        <w:rPr>
          <w:spacing w:val="-3"/>
        </w:rPr>
        <w:t xml:space="preserve">По </w:t>
      </w:r>
      <w:r>
        <w:t>данным литературы, наиболее используемыми недеполяризующими миорелаксантами в мире на сегодняшний день являются атракурий и цисатракурий, доксакурий, мивакурий, векуроний, и быстро набирающий популярность рокуроний. В нашей стране по-прежнему широко используются панкуроний (павулон) и пипекуроний (ардуан). В связи с этим более подробно остановимся на основных и побочных эффектах именно этих представителей</w:t>
      </w:r>
      <w:r>
        <w:tab/>
        <w:t>класса</w:t>
      </w:r>
      <w:r>
        <w:tab/>
        <w:t>недеполяризующих</w:t>
      </w:r>
      <w:r>
        <w:tab/>
        <w:t>релаксантов.</w:t>
      </w:r>
    </w:p>
    <w:p w:rsidR="00645170" w:rsidRDefault="00645170">
      <w:pPr>
        <w:spacing w:line="360" w:lineRule="auto"/>
        <w:jc w:val="both"/>
        <w:sectPr w:rsidR="00645170">
          <w:headerReference w:type="default" r:id="rId34"/>
          <w:footerReference w:type="default" r:id="rId35"/>
          <w:pgSz w:w="11910" w:h="16840"/>
          <w:pgMar w:top="1040" w:right="340" w:bottom="1140" w:left="1340" w:header="714" w:footer="959" w:gutter="0"/>
          <w:pgNumType w:start="15"/>
          <w:cols w:space="720"/>
        </w:sectPr>
      </w:pPr>
    </w:p>
    <w:p w:rsidR="00645170" w:rsidRDefault="00645170">
      <w:pPr>
        <w:pStyle w:val="Heading1"/>
        <w:spacing w:before="111"/>
        <w:ind w:left="721" w:right="1809"/>
        <w:jc w:val="center"/>
      </w:pPr>
      <w:r>
        <w:t>Атракурий</w:t>
      </w:r>
    </w:p>
    <w:p w:rsidR="00645170" w:rsidRDefault="00645170">
      <w:pPr>
        <w:pStyle w:val="BodyText"/>
        <w:ind w:left="0"/>
        <w:rPr>
          <w:b/>
          <w:sz w:val="30"/>
        </w:rPr>
      </w:pPr>
    </w:p>
    <w:p w:rsidR="00645170" w:rsidRDefault="00645170">
      <w:pPr>
        <w:pStyle w:val="BodyText"/>
        <w:spacing w:before="5"/>
        <w:ind w:left="0"/>
        <w:rPr>
          <w:b/>
          <w:sz w:val="25"/>
        </w:rPr>
      </w:pPr>
    </w:p>
    <w:p w:rsidR="00645170" w:rsidRDefault="00645170">
      <w:pPr>
        <w:pStyle w:val="BodyText"/>
        <w:spacing w:line="360" w:lineRule="auto"/>
        <w:ind w:right="511" w:firstLine="710"/>
        <w:jc w:val="both"/>
      </w:pPr>
      <w:r>
        <w:t>Несомненным достоинством препарата является его способность подвергаться спонтанному разрушению в организме за счет двух процессов – гидролиза эфирной связи (катализируется неспецифическими эстеразами без участия ацетилхолин- и псевдохолинэстеразы), и элиминации Хоффмана (спонтанное неферментативное разрушение при физиологических значениях рН и температуры тела). С мочой и желчью выводится не более 10% препарата.</w:t>
      </w:r>
    </w:p>
    <w:p w:rsidR="00645170" w:rsidRDefault="00645170">
      <w:pPr>
        <w:pStyle w:val="BodyText"/>
        <w:spacing w:line="360" w:lineRule="auto"/>
        <w:ind w:right="510" w:firstLine="710"/>
        <w:jc w:val="both"/>
      </w:pPr>
      <w:r>
        <w:t xml:space="preserve">Для интубации трахеи необходима доза 0,5 мг/кг. Эффективный блок развивается через 2,3±1,1 мин (Mellinghoff et al., 1996) или даже через 1,2  мин (Debaene B. et al., 1995). Продолжительность блока при этом составляет 20-30 мин (Sharpe M.D., 1992). Нагрузочная доза для интраоперационной миорелаксации – 0,25 мг/кг, поддерживающая – 0,1 мг/кг каждые 10-20 мин, может применяться инфузия </w:t>
      </w:r>
      <w:r>
        <w:rPr>
          <w:spacing w:val="2"/>
        </w:rPr>
        <w:t xml:space="preserve">5-9 </w:t>
      </w:r>
      <w:r>
        <w:t>мкг/кг/мин. Beattie W.S. с соавт. (1992) сообщает об эффективности инфузионной дозы 7,6±1,1</w:t>
      </w:r>
      <w:r>
        <w:rPr>
          <w:spacing w:val="-2"/>
        </w:rPr>
        <w:t xml:space="preserve"> </w:t>
      </w:r>
      <w:r>
        <w:t>мкг/кг/мин.</w:t>
      </w:r>
    </w:p>
    <w:p w:rsidR="00645170" w:rsidRDefault="00645170">
      <w:pPr>
        <w:pStyle w:val="BodyText"/>
        <w:spacing w:line="360" w:lineRule="auto"/>
        <w:ind w:right="515" w:firstLine="710"/>
        <w:jc w:val="both"/>
      </w:pPr>
      <w:r>
        <w:t>Причем даже после длительной инфузии препарата при проведении интенсивной терапии отмечается быстрое спонтанное восстановление нейромышечной проводимости. Sharpe M.D. (1992) приводит результаты исследования, в котором после 90-часовой инфузии препарата прекращение блока наступало в среднем через 39 мин, что связано с отсутствием кумуляции на фоне разрушения атракуриума за счет элиминации Хоффмана.</w:t>
      </w:r>
    </w:p>
    <w:p w:rsidR="00645170" w:rsidRDefault="00645170">
      <w:pPr>
        <w:pStyle w:val="BodyText"/>
        <w:spacing w:before="2" w:line="362" w:lineRule="auto"/>
        <w:ind w:right="507" w:firstLine="710"/>
        <w:jc w:val="both"/>
      </w:pPr>
      <w:r>
        <w:t>Побочные эффекты препарата (Sharpe M.D., 1992; Morgan G.E., Mikhail M.S., 1996):</w:t>
      </w:r>
    </w:p>
    <w:p w:rsidR="00645170" w:rsidRDefault="00645170">
      <w:pPr>
        <w:pStyle w:val="ListParagraph"/>
        <w:numPr>
          <w:ilvl w:val="0"/>
          <w:numId w:val="4"/>
        </w:numPr>
        <w:tabs>
          <w:tab w:val="left" w:pos="1431"/>
        </w:tabs>
        <w:spacing w:before="0" w:line="360" w:lineRule="auto"/>
        <w:ind w:right="512" w:firstLine="710"/>
        <w:jc w:val="both"/>
        <w:rPr>
          <w:sz w:val="28"/>
        </w:rPr>
      </w:pPr>
      <w:r>
        <w:rPr>
          <w:sz w:val="28"/>
        </w:rPr>
        <w:t>артериальная гипотензия и тахикардия, связанные с высвобождением гистамина, возникают редко, особенно при медленном введении и исключении передозировки. Наблюдаются преимущественно у пожилых пациентов и больных с</w:t>
      </w:r>
      <w:r>
        <w:rPr>
          <w:spacing w:val="-2"/>
          <w:sz w:val="28"/>
        </w:rPr>
        <w:t xml:space="preserve"> </w:t>
      </w:r>
      <w:r>
        <w:rPr>
          <w:sz w:val="28"/>
        </w:rPr>
        <w:t>гиповолемией;</w:t>
      </w:r>
    </w:p>
    <w:p w:rsidR="00645170" w:rsidRDefault="00645170">
      <w:pPr>
        <w:pStyle w:val="ListParagraph"/>
        <w:numPr>
          <w:ilvl w:val="0"/>
          <w:numId w:val="4"/>
        </w:numPr>
        <w:tabs>
          <w:tab w:val="left" w:pos="1431"/>
        </w:tabs>
        <w:spacing w:before="0" w:line="357" w:lineRule="auto"/>
        <w:ind w:right="513" w:firstLine="710"/>
        <w:jc w:val="both"/>
        <w:rPr>
          <w:sz w:val="28"/>
        </w:rPr>
      </w:pPr>
      <w:r>
        <w:rPr>
          <w:sz w:val="28"/>
        </w:rPr>
        <w:t>бронхоспазм может возникать даже без имеющейся в анамнезе бронхиальной астмы;</w:t>
      </w:r>
    </w:p>
    <w:p w:rsidR="00645170" w:rsidRDefault="00645170">
      <w:pPr>
        <w:spacing w:line="357" w:lineRule="auto"/>
        <w:jc w:val="both"/>
        <w:rPr>
          <w:sz w:val="28"/>
        </w:rPr>
        <w:sectPr w:rsidR="00645170">
          <w:headerReference w:type="default" r:id="rId36"/>
          <w:footerReference w:type="default" r:id="rId37"/>
          <w:pgSz w:w="11910" w:h="16840"/>
          <w:pgMar w:top="1040" w:right="340" w:bottom="1140" w:left="1340" w:header="714" w:footer="959" w:gutter="0"/>
          <w:pgNumType w:start="16"/>
          <w:cols w:space="720"/>
        </w:sectPr>
      </w:pPr>
    </w:p>
    <w:p w:rsidR="00645170" w:rsidRDefault="00645170">
      <w:pPr>
        <w:pStyle w:val="ListParagraph"/>
        <w:numPr>
          <w:ilvl w:val="0"/>
          <w:numId w:val="4"/>
        </w:numPr>
        <w:tabs>
          <w:tab w:val="left" w:pos="1431"/>
        </w:tabs>
        <w:spacing w:before="106" w:line="360" w:lineRule="auto"/>
        <w:ind w:right="521" w:firstLine="710"/>
        <w:jc w:val="both"/>
        <w:rPr>
          <w:sz w:val="28"/>
        </w:rPr>
      </w:pPr>
      <w:r>
        <w:rPr>
          <w:sz w:val="28"/>
        </w:rPr>
        <w:t>возбуждение ЦНС и судороги, связанные с действием метаболита атракуриума – лауданозина, могут наблюдаться при абсолютной или относительной (печеночная недостаточность) передозировке</w:t>
      </w:r>
      <w:r>
        <w:rPr>
          <w:spacing w:val="-4"/>
          <w:sz w:val="28"/>
        </w:rPr>
        <w:t xml:space="preserve"> </w:t>
      </w:r>
      <w:r>
        <w:rPr>
          <w:sz w:val="28"/>
        </w:rPr>
        <w:t>препарата.</w:t>
      </w:r>
    </w:p>
    <w:p w:rsidR="00645170" w:rsidRDefault="00645170">
      <w:pPr>
        <w:pStyle w:val="BodyText"/>
        <w:spacing w:line="362" w:lineRule="auto"/>
        <w:ind w:right="515" w:firstLine="710"/>
        <w:jc w:val="both"/>
      </w:pPr>
      <w:r w:rsidRPr="007870B2">
        <w:rPr>
          <w:lang w:val="en-US"/>
        </w:rPr>
        <w:t xml:space="preserve">Kumar </w:t>
      </w:r>
      <w:r w:rsidRPr="007870B2">
        <w:rPr>
          <w:spacing w:val="-3"/>
          <w:lang w:val="en-US"/>
        </w:rPr>
        <w:t xml:space="preserve">A. A. </w:t>
      </w:r>
      <w:r w:rsidRPr="007870B2">
        <w:rPr>
          <w:lang w:val="en-US"/>
        </w:rPr>
        <w:t xml:space="preserve">et al. </w:t>
      </w:r>
      <w:r>
        <w:t>(1993) описали тяжелый анафилактический шок  после введения атракурия, потребовавший больших доз адреналина и длительной сердечно-легочной</w:t>
      </w:r>
      <w:r>
        <w:rPr>
          <w:spacing w:val="1"/>
        </w:rPr>
        <w:t xml:space="preserve"> </w:t>
      </w:r>
      <w:r>
        <w:t>реанимации.</w:t>
      </w:r>
    </w:p>
    <w:p w:rsidR="00645170" w:rsidRDefault="00645170">
      <w:pPr>
        <w:pStyle w:val="BodyText"/>
        <w:spacing w:line="362" w:lineRule="auto"/>
        <w:ind w:right="514" w:firstLine="710"/>
        <w:jc w:val="both"/>
      </w:pPr>
      <w:r>
        <w:t>Необходимо помнить, что гипотермия и ацидоз, затрудняя элиминацию Хоффмана, удлиняют действие препарата (Morgan G.E., Mikhail M.S., 1996).</w:t>
      </w:r>
    </w:p>
    <w:p w:rsidR="00645170" w:rsidRDefault="00645170">
      <w:pPr>
        <w:pStyle w:val="BodyText"/>
        <w:spacing w:before="10"/>
        <w:ind w:left="0"/>
        <w:rPr>
          <w:sz w:val="40"/>
        </w:rPr>
      </w:pPr>
    </w:p>
    <w:p w:rsidR="00645170" w:rsidRDefault="00645170">
      <w:pPr>
        <w:pStyle w:val="Heading1"/>
        <w:ind w:right="1117"/>
        <w:jc w:val="center"/>
      </w:pPr>
      <w:r>
        <w:t>Цисатракурий</w:t>
      </w:r>
    </w:p>
    <w:p w:rsidR="00645170" w:rsidRDefault="00645170">
      <w:pPr>
        <w:pStyle w:val="BodyText"/>
        <w:ind w:left="0"/>
        <w:rPr>
          <w:b/>
          <w:sz w:val="30"/>
        </w:rPr>
      </w:pPr>
    </w:p>
    <w:p w:rsidR="00645170" w:rsidRDefault="00645170">
      <w:pPr>
        <w:pStyle w:val="BodyText"/>
        <w:spacing w:before="6"/>
        <w:ind w:left="0"/>
        <w:rPr>
          <w:b/>
          <w:sz w:val="25"/>
        </w:rPr>
      </w:pPr>
    </w:p>
    <w:p w:rsidR="00645170" w:rsidRDefault="00645170">
      <w:pPr>
        <w:pStyle w:val="BodyText"/>
        <w:spacing w:line="360" w:lineRule="auto"/>
        <w:ind w:right="515" w:firstLine="710"/>
        <w:jc w:val="both"/>
      </w:pPr>
      <w:r>
        <w:t>Этот препарат является изомером атракурия. Он также подвергается элиминации Хоффмана, однако, в отличие от атракурия, не разрушается неспецифическими эстеразами. Печеночная и почечная недостаточность не влияют на метаболизм цисатракурия (Prielipp R.C. et al., 1995; De Wolf A.M. et al., 1996; Morgan G.E., Mikhail M.S.,</w:t>
      </w:r>
      <w:r>
        <w:rPr>
          <w:spacing w:val="5"/>
        </w:rPr>
        <w:t xml:space="preserve"> </w:t>
      </w:r>
      <w:r>
        <w:t>1996).</w:t>
      </w:r>
    </w:p>
    <w:p w:rsidR="00645170" w:rsidRDefault="00645170">
      <w:pPr>
        <w:pStyle w:val="BodyText"/>
        <w:spacing w:line="362" w:lineRule="auto"/>
        <w:ind w:right="518" w:firstLine="710"/>
        <w:jc w:val="both"/>
      </w:pPr>
      <w:r>
        <w:t>Доза для интубации составляет 0,1 – 0,15 мг/кг. Причем при введении соответственно 0,1; 0,15 и 0,2 мг/кг эффективный блок развивается через</w:t>
      </w:r>
      <w:r>
        <w:rPr>
          <w:spacing w:val="57"/>
        </w:rPr>
        <w:t xml:space="preserve"> </w:t>
      </w:r>
      <w:r>
        <w:t>4,6;</w:t>
      </w:r>
    </w:p>
    <w:p w:rsidR="00645170" w:rsidRDefault="00645170">
      <w:pPr>
        <w:pStyle w:val="BodyText"/>
        <w:spacing w:line="360" w:lineRule="auto"/>
        <w:ind w:right="514"/>
        <w:jc w:val="both"/>
      </w:pPr>
      <w:r>
        <w:t>3,4 и 2,8 мин, а продолжительность его составляет 45; 55 и 61 мин. Интубировать можно соответственно через 2 мин после введения 0,1 мг/кг и через 1,5 мин при введении большей дозы (Bluestein L.S. et al., 1996). По данным Бунянята А.А. с соавт. (1999) и Мизикова В.М. с соавт. (1999) после введения 0,15 мг/кг препарата хорошие условия для интубации трахеи возникают через 3 мин.</w:t>
      </w:r>
    </w:p>
    <w:p w:rsidR="00645170" w:rsidRDefault="00645170">
      <w:pPr>
        <w:pStyle w:val="BodyText"/>
        <w:spacing w:line="360" w:lineRule="auto"/>
        <w:ind w:right="511" w:firstLine="710"/>
        <w:jc w:val="both"/>
      </w:pPr>
      <w:r>
        <w:t xml:space="preserve">Для поддержания релаксации используется инфузия со скоростью </w:t>
      </w:r>
      <w:r>
        <w:rPr>
          <w:spacing w:val="2"/>
        </w:rPr>
        <w:t xml:space="preserve">1-2 </w:t>
      </w:r>
      <w:r>
        <w:t>мкг/кг/мин (Morgan G.E., Mikhail M.S., 1996) или повторные болюсные дозы 0,03 мг/кг (Бунятян А.А. с соавт., 1999; Мизиков В.М. с соавт., 1999). Повторные болюсные дозы обеспечивают клинически эффективную миоплегию в течение 18-26 мин, а продолжительность 95%-го блока</w:t>
      </w:r>
      <w:r>
        <w:rPr>
          <w:spacing w:val="68"/>
        </w:rPr>
        <w:t xml:space="preserve"> </w:t>
      </w:r>
      <w:r>
        <w:t>после</w:t>
      </w:r>
    </w:p>
    <w:p w:rsidR="00645170" w:rsidRDefault="00645170">
      <w:pPr>
        <w:spacing w:line="360" w:lineRule="auto"/>
        <w:jc w:val="both"/>
        <w:sectPr w:rsidR="00645170">
          <w:headerReference w:type="default" r:id="rId38"/>
          <w:footerReference w:type="default" r:id="rId39"/>
          <w:pgSz w:w="11910" w:h="16840"/>
          <w:pgMar w:top="1040" w:right="340" w:bottom="1140" w:left="1340" w:header="714" w:footer="959" w:gutter="0"/>
          <w:pgNumType w:start="17"/>
          <w:cols w:space="720"/>
        </w:sectPr>
      </w:pPr>
    </w:p>
    <w:p w:rsidR="00645170" w:rsidRDefault="00645170">
      <w:pPr>
        <w:pStyle w:val="BodyText"/>
        <w:spacing w:before="105" w:line="360" w:lineRule="auto"/>
        <w:ind w:right="514"/>
        <w:jc w:val="both"/>
      </w:pPr>
      <w:r>
        <w:t>первоначальной дозы 0,15 мг/кг составила, в среднем, 54</w:t>
      </w:r>
      <w:r>
        <w:rPr>
          <w:rFonts w:ascii="Symbol" w:hAnsi="Symbol"/>
        </w:rPr>
        <w:t></w:t>
      </w:r>
      <w:r>
        <w:t>10 мин (Бунятян А.А. с соавт., 1999).</w:t>
      </w:r>
    </w:p>
    <w:p w:rsidR="00645170" w:rsidRDefault="00645170">
      <w:pPr>
        <w:pStyle w:val="BodyText"/>
        <w:spacing w:line="360" w:lineRule="auto"/>
        <w:ind w:right="509" w:firstLine="710"/>
        <w:jc w:val="both"/>
      </w:pPr>
      <w:r>
        <w:t>Mellinghoff H. et al. (1996) в качестве первоначальной дозы использовали 0,1 мг/кг цисатракуриума. Эффект развивался через 3,1±1,0 мин. Для поддержания 95%-ного блока требовалась инфузия препарата со скоростью 1,5±0,4 мкг/кг/мин. После прекращения инфузии спонтанное время восстановления от 25% до 75% TOF составило 18±11 мин, при проведении декураризации - 5±2</w:t>
      </w:r>
      <w:r>
        <w:rPr>
          <w:spacing w:val="7"/>
        </w:rPr>
        <w:t xml:space="preserve"> </w:t>
      </w:r>
      <w:r>
        <w:t>мин.</w:t>
      </w:r>
    </w:p>
    <w:p w:rsidR="00645170" w:rsidRDefault="00645170">
      <w:pPr>
        <w:pStyle w:val="BodyText"/>
        <w:spacing w:line="360" w:lineRule="auto"/>
        <w:ind w:right="510" w:firstLine="710"/>
        <w:jc w:val="both"/>
      </w:pPr>
      <w:r>
        <w:t>В отличие от атракурия препарат не вызывает повышения уровня гистамина в плазме и, соответственно, не влияет на ЧСС, АД и вегетативную нервную систему. Не отмечено также кожных аллергических реакций и бронхоспазма (Lepage J.-Y. et al., 1996; Бунятян А.А. с соавт., 1999; Мизиков В.М. с соавт., 1999).</w:t>
      </w:r>
    </w:p>
    <w:p w:rsidR="00645170" w:rsidRDefault="00645170">
      <w:pPr>
        <w:pStyle w:val="BodyText"/>
        <w:spacing w:line="360" w:lineRule="auto"/>
        <w:ind w:right="523" w:firstLine="710"/>
        <w:jc w:val="both"/>
      </w:pPr>
      <w:r>
        <w:t>Токсичность лауданозина, образующегося при элиминации Хоффмана, и чувствительность к температуре и рН аналогичны таковым у атракуриума (De Wolf A.M. et al., 1996; Morgan G.E., Mikhail M.S., 1996).</w:t>
      </w:r>
    </w:p>
    <w:p w:rsidR="00645170" w:rsidRDefault="00645170">
      <w:pPr>
        <w:pStyle w:val="BodyText"/>
        <w:spacing w:before="1" w:line="360" w:lineRule="auto"/>
        <w:ind w:right="509" w:firstLine="710"/>
        <w:jc w:val="both"/>
      </w:pPr>
      <w:r>
        <w:t xml:space="preserve">К преимуществу цисатракурия по сревнению с векуронием и рокуронием является его дозонезависимая скорость прекращение блока. Преимущество по сравнению с атракурием сводится практически только к явно меньшей либерации гистамина и трехкратному преимуществу по </w:t>
      </w:r>
      <w:r>
        <w:rPr>
          <w:spacing w:val="2"/>
        </w:rPr>
        <w:t xml:space="preserve">силе </w:t>
      </w:r>
      <w:r>
        <w:t>действия (Prielipp R.C. et al., 1995; Bluestein L.S. et al., 1996; De Wolf A.M. et al., 1996). Восстановление после длительной инфузии цисатракурия происходит быстрее, нежели после аналогичного введения векурония (Prielipp R.C. et al.,</w:t>
      </w:r>
      <w:r>
        <w:rPr>
          <w:spacing w:val="10"/>
        </w:rPr>
        <w:t xml:space="preserve"> </w:t>
      </w:r>
      <w:r>
        <w:t>1995).</w:t>
      </w:r>
    </w:p>
    <w:p w:rsidR="00645170" w:rsidRDefault="00645170">
      <w:pPr>
        <w:pStyle w:val="BodyText"/>
        <w:spacing w:before="1" w:line="360" w:lineRule="auto"/>
        <w:ind w:right="511" w:firstLine="710"/>
        <w:jc w:val="both"/>
      </w:pPr>
      <w:r>
        <w:t>Таким образом, как отмечает большинство исследователей, цисатракурий является сильным недеполяризующим миорелаксантом средней продолжительности действия, характеризующийся отсутствием влияния на кровообращение и не вызывающий высвобождения гистамина, что позволяет использовать его у пациентов с высоким операционно- анестезиологическим</w:t>
      </w:r>
      <w:r>
        <w:rPr>
          <w:spacing w:val="1"/>
        </w:rPr>
        <w:t xml:space="preserve"> </w:t>
      </w:r>
      <w:r>
        <w:t>риском.</w:t>
      </w:r>
    </w:p>
    <w:p w:rsidR="00645170" w:rsidRDefault="00645170">
      <w:pPr>
        <w:spacing w:line="360" w:lineRule="auto"/>
        <w:jc w:val="both"/>
        <w:sectPr w:rsidR="00645170">
          <w:headerReference w:type="default" r:id="rId40"/>
          <w:footerReference w:type="default" r:id="rId41"/>
          <w:pgSz w:w="11910" w:h="16840"/>
          <w:pgMar w:top="1040" w:right="340" w:bottom="1140" w:left="1340" w:header="714" w:footer="959" w:gutter="0"/>
          <w:pgNumType w:start="18"/>
          <w:cols w:space="720"/>
        </w:sectPr>
      </w:pPr>
    </w:p>
    <w:p w:rsidR="00645170" w:rsidRDefault="00645170">
      <w:pPr>
        <w:pStyle w:val="Heading1"/>
        <w:spacing w:before="111"/>
        <w:ind w:right="1121"/>
        <w:jc w:val="center"/>
      </w:pPr>
      <w:r>
        <w:t>Мивакурий</w:t>
      </w:r>
    </w:p>
    <w:p w:rsidR="00645170" w:rsidRDefault="00645170">
      <w:pPr>
        <w:pStyle w:val="BodyText"/>
        <w:ind w:left="0"/>
        <w:rPr>
          <w:b/>
          <w:sz w:val="30"/>
        </w:rPr>
      </w:pPr>
    </w:p>
    <w:p w:rsidR="00645170" w:rsidRDefault="00645170">
      <w:pPr>
        <w:pStyle w:val="BodyText"/>
        <w:spacing w:before="5"/>
        <w:ind w:left="0"/>
        <w:rPr>
          <w:b/>
          <w:sz w:val="25"/>
        </w:rPr>
      </w:pPr>
    </w:p>
    <w:p w:rsidR="00645170" w:rsidRDefault="00645170">
      <w:pPr>
        <w:pStyle w:val="BodyText"/>
        <w:spacing w:line="360" w:lineRule="auto"/>
        <w:ind w:right="520" w:firstLine="710"/>
        <w:jc w:val="both"/>
      </w:pPr>
      <w:r>
        <w:t>Отличительной особенностью данного препарата является его гидролиз, подобно сукцинилхолину, с помощью псевдохолинэстеразы. Хотя при наличии даже минимально восстановленного мышечного тонуса эффективны в плане декураризации антихолинэстеразные препараты. При печеночной и почечной (?) недостаточности снижается концентрация холинэстеразы, увеличивая тем самым продолжительность действия мивакрона.</w:t>
      </w:r>
    </w:p>
    <w:p w:rsidR="00645170" w:rsidRDefault="00645170">
      <w:pPr>
        <w:pStyle w:val="BodyText"/>
        <w:spacing w:line="360" w:lineRule="auto"/>
        <w:ind w:right="506" w:firstLine="710"/>
        <w:jc w:val="both"/>
      </w:pPr>
      <w:r>
        <w:t xml:space="preserve">Для проведения интубации трахеи необходима доза 0,15-0,2 мг/кг. В дальнейшем рекомендуется поддерживать миорелаксацию инфузией со скоростью 4-10 мкг/кг/мин или дробным введением по 0,1-0,15 мг/кг. Полный мышечный блок после введения интубационной дозы развивается через 1,5-2,2 мин, продолжительность блока при этом составляет </w:t>
      </w:r>
      <w:r>
        <w:rPr>
          <w:spacing w:val="2"/>
        </w:rPr>
        <w:t xml:space="preserve">10-12 </w:t>
      </w:r>
      <w:r>
        <w:t xml:space="preserve">мин (Башев Н.Н. с соавт., 1998). </w:t>
      </w:r>
      <w:r>
        <w:rPr>
          <w:spacing w:val="-3"/>
        </w:rPr>
        <w:t xml:space="preserve">По </w:t>
      </w:r>
      <w:r>
        <w:t>другим данным, начало действия препарата – 2-3 мин, а продолжительность блока составляет около 20 мин (Sharpe M.D., 1992; Morgan G.E., Mikhail M.S., 1996; Гриненко, Т.Ф. с соавт.,</w:t>
      </w:r>
      <w:r>
        <w:rPr>
          <w:spacing w:val="2"/>
        </w:rPr>
        <w:t xml:space="preserve"> </w:t>
      </w:r>
      <w:r>
        <w:t>1998).</w:t>
      </w:r>
    </w:p>
    <w:p w:rsidR="00645170" w:rsidRDefault="00645170">
      <w:pPr>
        <w:pStyle w:val="BodyText"/>
        <w:spacing w:before="1" w:line="360" w:lineRule="auto"/>
        <w:ind w:right="515" w:firstLine="710"/>
        <w:jc w:val="both"/>
      </w:pPr>
      <w:r>
        <w:t>Мивакурий способен вызывать либерацию гистамина, что может проявляться артериальной гипотензией и тахикардией. Поэтому рекомендуют в премедикацию включать антигистаминные препараты (Башев Н.Н. с соавт., 1998). Хотя по данным Ровиной А.К. с соавт. (1998), выраженные изменения гемодинамики, гистаминогенные осложнения при применении мивакурия отсутствовали. Sharpe M.D. (1992) указывает, что гипотензия развивается чаще при введении дозы, выше, чем 0,15 мг/кг, или при быстром болюсном введении препарата (быстрее, чем за 60</w:t>
      </w:r>
      <w:r>
        <w:rPr>
          <w:spacing w:val="7"/>
        </w:rPr>
        <w:t xml:space="preserve"> </w:t>
      </w:r>
      <w:r>
        <w:t>с).</w:t>
      </w:r>
    </w:p>
    <w:p w:rsidR="00645170" w:rsidRDefault="00645170">
      <w:pPr>
        <w:pStyle w:val="BodyText"/>
        <w:spacing w:before="2" w:line="362" w:lineRule="auto"/>
        <w:ind w:right="525" w:firstLine="710"/>
        <w:jc w:val="both"/>
      </w:pPr>
      <w:r>
        <w:t>Мивакурий снижает внутриглазное давление, поэтому рекомендуется для внутриглазных операций (Малоярославцев В.Д. с соавт., 1998).</w:t>
      </w:r>
    </w:p>
    <w:p w:rsidR="00645170" w:rsidRDefault="00645170">
      <w:pPr>
        <w:pStyle w:val="BodyText"/>
        <w:spacing w:line="362" w:lineRule="auto"/>
        <w:ind w:right="520" w:firstLine="710"/>
        <w:jc w:val="both"/>
      </w:pPr>
      <w:r>
        <w:t>В целом, мивакрон считается препаратом выбора при коротких операциях, особенно в стационаре одного дня (Гриненко Т.Ф. с соавт., 1998).</w:t>
      </w:r>
    </w:p>
    <w:p w:rsidR="00645170" w:rsidRDefault="00645170">
      <w:pPr>
        <w:spacing w:line="362" w:lineRule="auto"/>
        <w:jc w:val="both"/>
        <w:sectPr w:rsidR="00645170">
          <w:headerReference w:type="default" r:id="rId42"/>
          <w:footerReference w:type="default" r:id="rId43"/>
          <w:pgSz w:w="11910" w:h="16840"/>
          <w:pgMar w:top="1040" w:right="340" w:bottom="1140" w:left="1340" w:header="714" w:footer="959" w:gutter="0"/>
          <w:pgNumType w:start="19"/>
          <w:cols w:space="720"/>
        </w:sectPr>
      </w:pPr>
    </w:p>
    <w:p w:rsidR="00645170" w:rsidRDefault="00645170">
      <w:pPr>
        <w:pStyle w:val="Heading1"/>
        <w:spacing w:before="111"/>
        <w:ind w:right="1121"/>
        <w:jc w:val="center"/>
      </w:pPr>
      <w:r>
        <w:t>Доксакурий</w:t>
      </w:r>
    </w:p>
    <w:p w:rsidR="00645170" w:rsidRDefault="00645170">
      <w:pPr>
        <w:pStyle w:val="BodyText"/>
        <w:ind w:left="0"/>
        <w:rPr>
          <w:b/>
          <w:sz w:val="30"/>
        </w:rPr>
      </w:pPr>
    </w:p>
    <w:p w:rsidR="00645170" w:rsidRDefault="00645170">
      <w:pPr>
        <w:pStyle w:val="BodyText"/>
        <w:spacing w:before="5"/>
        <w:ind w:left="0"/>
        <w:rPr>
          <w:b/>
          <w:sz w:val="25"/>
        </w:rPr>
      </w:pPr>
    </w:p>
    <w:p w:rsidR="00645170" w:rsidRDefault="00645170">
      <w:pPr>
        <w:pStyle w:val="BodyText"/>
        <w:spacing w:line="360" w:lineRule="auto"/>
        <w:ind w:right="508" w:firstLine="710"/>
        <w:jc w:val="both"/>
      </w:pPr>
      <w:r>
        <w:t>Частично гидролизуется псевдохолинэстеразой. Основной же путь элиминации – выделение почками (до 40%) и с желчью (Sharpe M.D., 1992; Morgan G.E., Mikhail M.S., 1996). Поэтому его эффект продлевается при печеночной и/или почечной недостаточности.</w:t>
      </w:r>
    </w:p>
    <w:p w:rsidR="00645170" w:rsidRDefault="00645170">
      <w:pPr>
        <w:pStyle w:val="BodyText"/>
        <w:spacing w:line="360" w:lineRule="auto"/>
        <w:ind w:right="508" w:firstLine="710"/>
        <w:jc w:val="both"/>
      </w:pPr>
      <w:r>
        <w:t>Для проведения интубации необходима доза 0,05 мг/кг. При этом приемлемые условия создаются через 5 (Morgan G.E., Mikhail M.S., 1996) или 6 мин (Sharpe M.D., 1992), при этом средняя продолжительность блока – 83 мин (60-90 мин) – наибольшая среди всех миорелаксантов. Нагрузочная доза для интраоперационной миорелаксации 0,02 мг/кг, для поддержания достаточно вводить препарат дробно по 0,005 мг/кг.</w:t>
      </w:r>
    </w:p>
    <w:p w:rsidR="00645170" w:rsidRDefault="00645170">
      <w:pPr>
        <w:pStyle w:val="BodyText"/>
        <w:spacing w:before="1" w:line="362" w:lineRule="auto"/>
        <w:ind w:right="514" w:firstLine="710"/>
        <w:jc w:val="both"/>
      </w:pPr>
      <w:r>
        <w:t>Доксакурий не высвобождает гистамин и поэтому не влияет на кровообращение.</w:t>
      </w:r>
    </w:p>
    <w:p w:rsidR="00645170" w:rsidRDefault="00645170">
      <w:pPr>
        <w:pStyle w:val="BodyText"/>
        <w:spacing w:line="360" w:lineRule="auto"/>
        <w:ind w:right="517" w:firstLine="710"/>
        <w:jc w:val="both"/>
      </w:pPr>
      <w:r>
        <w:t>В связи с невыраженными побочными эффектами и большой продолжительностью действия считается наиболее удобным для длительной релаксации при проведении интенсивной терапии (Sharpe M.D., 1992).</w:t>
      </w:r>
    </w:p>
    <w:p w:rsidR="00645170" w:rsidRDefault="00645170">
      <w:pPr>
        <w:pStyle w:val="BodyText"/>
        <w:spacing w:before="1"/>
        <w:ind w:left="0"/>
        <w:rPr>
          <w:sz w:val="42"/>
        </w:rPr>
      </w:pPr>
    </w:p>
    <w:p w:rsidR="00645170" w:rsidRDefault="00645170">
      <w:pPr>
        <w:pStyle w:val="Heading1"/>
        <w:ind w:right="1124"/>
        <w:jc w:val="center"/>
      </w:pPr>
      <w:r>
        <w:t>Панкуроний (павулон)</w:t>
      </w:r>
    </w:p>
    <w:p w:rsidR="00645170" w:rsidRDefault="00645170">
      <w:pPr>
        <w:pStyle w:val="BodyText"/>
        <w:ind w:left="0"/>
        <w:rPr>
          <w:b/>
          <w:sz w:val="30"/>
        </w:rPr>
      </w:pPr>
    </w:p>
    <w:p w:rsidR="00645170" w:rsidRDefault="00645170">
      <w:pPr>
        <w:pStyle w:val="BodyText"/>
        <w:spacing w:before="6"/>
        <w:ind w:left="0"/>
        <w:rPr>
          <w:b/>
          <w:sz w:val="25"/>
        </w:rPr>
      </w:pPr>
    </w:p>
    <w:p w:rsidR="00645170" w:rsidRDefault="00645170">
      <w:pPr>
        <w:pStyle w:val="BodyText"/>
        <w:spacing w:line="360" w:lineRule="auto"/>
        <w:ind w:right="518" w:firstLine="710"/>
        <w:jc w:val="both"/>
      </w:pPr>
      <w:r>
        <w:t>В определенной степени подвергается деацетилированию в печени, кроме того, основная часть препарата выводится почками. Поэтому печеночная и почечная недостаточность влияют на фармакокинетику препарата.</w:t>
      </w:r>
    </w:p>
    <w:p w:rsidR="00645170" w:rsidRDefault="00645170">
      <w:pPr>
        <w:pStyle w:val="BodyText"/>
        <w:spacing w:line="360" w:lineRule="auto"/>
        <w:ind w:right="507" w:firstLine="710"/>
        <w:jc w:val="both"/>
      </w:pPr>
      <w:r>
        <w:t>Для интубации трахеи требуется доза 0,08-0,12 мг/кг. Удовлетворительные условия для интубации возникают через 2-3 мин. Нагрузочная доза для миорелаксации – 0,04 мг/кг, поддерживающая доза 0,01 мг/кг каждые 20-40 мин (Morgan G.E., Mikhail M.S., 1996). По Sharpe M.D. (1992), после введения 0,1 мг/кг препарата удовлетворительные условия для интубации трахеи возникают через 90-120 с. При этом блок длится до 60 мин.</w:t>
      </w:r>
    </w:p>
    <w:p w:rsidR="00645170" w:rsidRDefault="00645170">
      <w:pPr>
        <w:spacing w:line="360" w:lineRule="auto"/>
        <w:jc w:val="both"/>
        <w:sectPr w:rsidR="00645170">
          <w:headerReference w:type="default" r:id="rId44"/>
          <w:footerReference w:type="default" r:id="rId45"/>
          <w:pgSz w:w="11910" w:h="16840"/>
          <w:pgMar w:top="1040" w:right="340" w:bottom="1140" w:left="1340" w:header="714" w:footer="959" w:gutter="0"/>
          <w:pgNumType w:start="20"/>
          <w:cols w:space="720"/>
        </w:sectPr>
      </w:pPr>
    </w:p>
    <w:p w:rsidR="00645170" w:rsidRDefault="00645170">
      <w:pPr>
        <w:pStyle w:val="BodyText"/>
        <w:spacing w:before="106" w:line="357" w:lineRule="auto"/>
        <w:ind w:right="523"/>
        <w:jc w:val="both"/>
      </w:pPr>
      <w:r>
        <w:t>Для проведения продленной миоплегии рекомендуется использовать инфузию 0,02-0,04 мг/кг/ч.</w:t>
      </w:r>
    </w:p>
    <w:p w:rsidR="00645170" w:rsidRDefault="00645170">
      <w:pPr>
        <w:pStyle w:val="BodyText"/>
        <w:spacing w:before="5" w:line="360" w:lineRule="auto"/>
        <w:ind w:right="505" w:firstLine="710"/>
        <w:jc w:val="both"/>
      </w:pPr>
      <w:r>
        <w:t>Почечная, печеночная недостаточность, цирроз печени, нарушение оттока желчи удлиняют действие препарата (вплоть до двухкратного). Поэтому следует осторожно применять его в интенсивной терапии, где возможно существенная пролонгация нейромышечного блока (Sharpe M.D., 1992). Для продленной миоплегии в интенсивной терапии Khuenl-Brady K.S. с соавт. (1994) рекомендует среднюю дозу 3</w:t>
      </w:r>
      <w:r>
        <w:rPr>
          <w:spacing w:val="-1"/>
        </w:rPr>
        <w:t xml:space="preserve"> </w:t>
      </w:r>
      <w:r>
        <w:t>мг/ч.</w:t>
      </w:r>
    </w:p>
    <w:p w:rsidR="00645170" w:rsidRDefault="00645170">
      <w:pPr>
        <w:pStyle w:val="BodyText"/>
        <w:spacing w:line="360" w:lineRule="auto"/>
        <w:ind w:right="519" w:firstLine="710"/>
        <w:jc w:val="both"/>
      </w:pPr>
      <w:r>
        <w:t>Отличительной особенностью препарата является его способность блокировать влияние вагуса и высвобождать катехоламины из адренергических нервных окончаний, а также ингибировать реаптейк норадреналина. В связи с этим побочными эффектами препарата являются тахикардия, умеренная гипертензия, аритмии, повышение потребности миокарда в кислороде (Sharpe M.D., 1992; Morgan G.E., Mikhail M.S., 1996).</w:t>
      </w:r>
    </w:p>
    <w:p w:rsidR="00645170" w:rsidRDefault="00645170">
      <w:pPr>
        <w:pStyle w:val="BodyText"/>
        <w:spacing w:line="360" w:lineRule="auto"/>
        <w:ind w:right="522" w:firstLine="710"/>
        <w:jc w:val="both"/>
      </w:pPr>
      <w:r>
        <w:t>В целом, препарат имеет достаточно неприятные побочные эффекты, при печеночно-почечной недостаточности действие его может существенно удлиняться, но среди всех недеполяризующих релаксантов среднего и длительного действия – это самый дешевый препарат.</w:t>
      </w:r>
    </w:p>
    <w:p w:rsidR="00645170" w:rsidRDefault="00645170">
      <w:pPr>
        <w:pStyle w:val="BodyText"/>
        <w:spacing w:before="5"/>
        <w:ind w:left="0"/>
        <w:rPr>
          <w:sz w:val="42"/>
        </w:rPr>
      </w:pPr>
    </w:p>
    <w:p w:rsidR="00645170" w:rsidRDefault="00645170">
      <w:pPr>
        <w:pStyle w:val="Heading1"/>
        <w:ind w:right="1121"/>
        <w:jc w:val="center"/>
      </w:pPr>
      <w:r>
        <w:t>Векуроний</w:t>
      </w:r>
    </w:p>
    <w:p w:rsidR="00645170" w:rsidRDefault="00645170">
      <w:pPr>
        <w:pStyle w:val="BodyText"/>
        <w:ind w:left="0"/>
        <w:rPr>
          <w:b/>
          <w:sz w:val="30"/>
        </w:rPr>
      </w:pPr>
    </w:p>
    <w:p w:rsidR="00645170" w:rsidRDefault="00645170">
      <w:pPr>
        <w:pStyle w:val="BodyText"/>
        <w:spacing w:before="6"/>
        <w:ind w:left="0"/>
        <w:rPr>
          <w:b/>
          <w:sz w:val="25"/>
        </w:rPr>
      </w:pPr>
    </w:p>
    <w:p w:rsidR="00645170" w:rsidRDefault="00645170">
      <w:pPr>
        <w:pStyle w:val="BodyText"/>
        <w:spacing w:line="362" w:lineRule="auto"/>
        <w:ind w:right="516" w:firstLine="710"/>
        <w:jc w:val="both"/>
      </w:pPr>
      <w:r>
        <w:t>Очень близок по химической структуре к панкуронию, в связи с чем значительно менее выражены побочные эффекты.</w:t>
      </w:r>
    </w:p>
    <w:p w:rsidR="00645170" w:rsidRDefault="00645170">
      <w:pPr>
        <w:pStyle w:val="BodyText"/>
        <w:tabs>
          <w:tab w:val="left" w:pos="829"/>
          <w:tab w:val="left" w:pos="2239"/>
          <w:tab w:val="left" w:pos="3870"/>
          <w:tab w:val="left" w:pos="6297"/>
          <w:tab w:val="left" w:pos="8177"/>
          <w:tab w:val="left" w:pos="9572"/>
        </w:tabs>
        <w:spacing w:line="360" w:lineRule="auto"/>
        <w:ind w:right="512" w:firstLine="710"/>
        <w:jc w:val="right"/>
      </w:pPr>
      <w:r>
        <w:t>В небольшой степени метаболизируется в печени, выделяется</w:t>
      </w:r>
      <w:r>
        <w:rPr>
          <w:spacing w:val="-30"/>
        </w:rPr>
        <w:t xml:space="preserve"> </w:t>
      </w:r>
      <w:r>
        <w:t>с</w:t>
      </w:r>
      <w:r>
        <w:rPr>
          <w:spacing w:val="-5"/>
        </w:rPr>
        <w:t xml:space="preserve"> </w:t>
      </w:r>
      <w:r>
        <w:t>желчью</w:t>
      </w:r>
      <w:r>
        <w:rPr>
          <w:w w:val="99"/>
        </w:rPr>
        <w:t xml:space="preserve"> </w:t>
      </w:r>
      <w:r>
        <w:t>и</w:t>
      </w:r>
      <w:r>
        <w:tab/>
        <w:t>почками.</w:t>
      </w:r>
      <w:r>
        <w:tab/>
        <w:t>Векуроний</w:t>
      </w:r>
      <w:r>
        <w:tab/>
        <w:t>равноэффективен</w:t>
      </w:r>
      <w:r>
        <w:tab/>
        <w:t>панкуронию,</w:t>
      </w:r>
      <w:r>
        <w:tab/>
        <w:t>вводится</w:t>
      </w:r>
      <w:r>
        <w:tab/>
      </w:r>
      <w:r>
        <w:rPr>
          <w:w w:val="95"/>
        </w:rPr>
        <w:t xml:space="preserve">в </w:t>
      </w:r>
      <w:r>
        <w:t>аналогичных дозах. При введении 0,1 мг/кг через</w:t>
      </w:r>
      <w:r>
        <w:rPr>
          <w:spacing w:val="48"/>
        </w:rPr>
        <w:t xml:space="preserve"> </w:t>
      </w:r>
      <w:r>
        <w:t>90-120 с</w:t>
      </w:r>
      <w:r>
        <w:rPr>
          <w:spacing w:val="25"/>
        </w:rPr>
        <w:t xml:space="preserve"> </w:t>
      </w:r>
      <w:r>
        <w:t>создавались</w:t>
      </w:r>
      <w:r>
        <w:rPr>
          <w:w w:val="99"/>
        </w:rPr>
        <w:t xml:space="preserve"> </w:t>
      </w:r>
      <w:r>
        <w:t>идеальные условия для интубации. Длительность действия препарат</w:t>
      </w:r>
      <w:r>
        <w:rPr>
          <w:spacing w:val="-46"/>
        </w:rPr>
        <w:t xml:space="preserve"> </w:t>
      </w:r>
      <w:r>
        <w:t>при</w:t>
      </w:r>
      <w:r>
        <w:rPr>
          <w:spacing w:val="-7"/>
        </w:rPr>
        <w:t xml:space="preserve"> </w:t>
      </w:r>
      <w:r>
        <w:t>этом</w:t>
      </w:r>
      <w:r>
        <w:rPr>
          <w:w w:val="99"/>
        </w:rPr>
        <w:t xml:space="preserve"> </w:t>
      </w:r>
      <w:r>
        <w:t>составляла от 20-25 мин (Налапко Ю.И., 1998) до 45 мин (Sharpe</w:t>
      </w:r>
      <w:r>
        <w:rPr>
          <w:spacing w:val="-22"/>
        </w:rPr>
        <w:t xml:space="preserve"> </w:t>
      </w:r>
      <w:r>
        <w:t>M.D., 1992).</w:t>
      </w:r>
      <w:r>
        <w:rPr>
          <w:w w:val="99"/>
        </w:rPr>
        <w:t xml:space="preserve"> </w:t>
      </w:r>
      <w:r>
        <w:t>Применение его в начальной дозе 0,4 мг/кг сокращало</w:t>
      </w:r>
      <w:r>
        <w:rPr>
          <w:spacing w:val="29"/>
        </w:rPr>
        <w:t xml:space="preserve"> </w:t>
      </w:r>
      <w:r>
        <w:t>время</w:t>
      </w:r>
      <w:r>
        <w:rPr>
          <w:spacing w:val="39"/>
        </w:rPr>
        <w:t xml:space="preserve"> </w:t>
      </w:r>
      <w:r>
        <w:t>до</w:t>
      </w:r>
      <w:r>
        <w:rPr>
          <w:w w:val="99"/>
        </w:rPr>
        <w:t xml:space="preserve"> </w:t>
      </w:r>
      <w:r>
        <w:t>развития блока до 78 с без проявления каких-либо</w:t>
      </w:r>
      <w:r>
        <w:rPr>
          <w:spacing w:val="50"/>
        </w:rPr>
        <w:t xml:space="preserve"> </w:t>
      </w:r>
      <w:r>
        <w:t>гемодинамических</w:t>
      </w:r>
    </w:p>
    <w:p w:rsidR="00645170" w:rsidRDefault="00645170">
      <w:pPr>
        <w:spacing w:line="360" w:lineRule="auto"/>
        <w:jc w:val="right"/>
        <w:sectPr w:rsidR="00645170">
          <w:headerReference w:type="default" r:id="rId46"/>
          <w:footerReference w:type="default" r:id="rId47"/>
          <w:pgSz w:w="11910" w:h="16840"/>
          <w:pgMar w:top="1040" w:right="340" w:bottom="1140" w:left="1340" w:header="714" w:footer="959" w:gutter="0"/>
          <w:pgNumType w:start="21"/>
          <w:cols w:space="720"/>
        </w:sectPr>
      </w:pPr>
    </w:p>
    <w:p w:rsidR="00645170" w:rsidRDefault="00645170">
      <w:pPr>
        <w:pStyle w:val="BodyText"/>
        <w:spacing w:before="106" w:line="360" w:lineRule="auto"/>
        <w:ind w:right="511"/>
        <w:jc w:val="both"/>
      </w:pPr>
      <w:r>
        <w:t>эффектов. Применение дозы 0,5 мг/кг вызывало развитие блока, сходное по быстроте с сукцинилхолином. Поэтому Sharpe M.D. (1992) заключает, что у больных, которым противопоказан сукцинилхолин, векуроний в дозе 0,4-0,5 мг/кг является альтернативой для проведения интубации трахеи. Однако при этом средняя продолжительность блока составляет 115 мин.</w:t>
      </w:r>
    </w:p>
    <w:p w:rsidR="00645170" w:rsidRDefault="00645170">
      <w:pPr>
        <w:pStyle w:val="BodyText"/>
        <w:spacing w:line="360" w:lineRule="auto"/>
        <w:ind w:right="512" w:firstLine="710"/>
        <w:jc w:val="both"/>
      </w:pPr>
      <w:r>
        <w:t>Huemer G. с соавт. (1995) рекомендует для ускорения развития блока вводить сначала 0,01 мг/кг, затем через 4 мин 0,05 мг/кг. При этом спустя 1-2 мин после введения второй дозы возникают хорошие условия для интубации трахеи. Продолжительность блока при этом небольшая, что важно для амбулаторной анестезиологии.</w:t>
      </w:r>
    </w:p>
    <w:p w:rsidR="00645170" w:rsidRDefault="00645170">
      <w:pPr>
        <w:pStyle w:val="BodyText"/>
        <w:spacing w:before="1" w:line="360" w:lineRule="auto"/>
        <w:ind w:right="508" w:firstLine="710"/>
        <w:jc w:val="both"/>
      </w:pPr>
      <w:r>
        <w:t xml:space="preserve">Приращиваемая болюсная доза 0,03 мг/кг, продолжительность ее действия 25-30 мин (Бабаева Н.П., 1998). Возможна инфузия в дозе </w:t>
      </w:r>
      <w:r>
        <w:rPr>
          <w:spacing w:val="2"/>
        </w:rPr>
        <w:t xml:space="preserve">1-2 </w:t>
      </w:r>
      <w:r>
        <w:t>мкг/кг/мин (Morgan G.E., Mikhail M.S., 1996) или 0,1-0,2 мг/кг/ч (Sharpe M.D., 1992). Однако последнее относится преимущественно к операциям, поскольку при проведении интенсивной терапии либо могут потребоваться большие дозы, либо (при наличии почечной или печеночной недостаточности, холестаза) блок может быть значительно пролонгирован (Sharpe M.D., 1992). Во всяком случае, в литературе нет единого мнения по поводу целесообразности применения векурония для миоплегии в интенсивной терапии, хотя в этом смысле привлекает практически полное отсутствие у него побочных эффектов.</w:t>
      </w:r>
    </w:p>
    <w:p w:rsidR="00645170" w:rsidRDefault="00645170">
      <w:pPr>
        <w:pStyle w:val="BodyText"/>
        <w:spacing w:line="360" w:lineRule="auto"/>
        <w:ind w:right="508" w:firstLine="710"/>
        <w:jc w:val="both"/>
      </w:pPr>
      <w:r>
        <w:t>Beattie W.S. с соавт. (1992) отмечает, что при необходимой продолжительности блока до 30 мин, следует инфузировать препарат со скоростью 1,01</w:t>
      </w:r>
      <w:r>
        <w:rPr>
          <w:rFonts w:ascii="Symbol" w:hAnsi="Symbol"/>
        </w:rPr>
        <w:t></w:t>
      </w:r>
      <w:r>
        <w:t>0,16 мкг/кг/мин, при блоке до 60 мин – 0,89</w:t>
      </w:r>
      <w:r>
        <w:rPr>
          <w:rFonts w:ascii="Symbol" w:hAnsi="Symbol"/>
        </w:rPr>
        <w:t></w:t>
      </w:r>
      <w:r>
        <w:t>0,12 мкг/кг/мин, а при блоке 90 и более мин – 0,85</w:t>
      </w:r>
      <w:r>
        <w:rPr>
          <w:rFonts w:ascii="Symbol" w:hAnsi="Symbol"/>
        </w:rPr>
        <w:t></w:t>
      </w:r>
      <w:r>
        <w:t>0,17 мкг/кг/мин (в среднем, 0,94</w:t>
      </w:r>
      <w:r>
        <w:rPr>
          <w:rFonts w:ascii="Symbol" w:hAnsi="Symbol"/>
        </w:rPr>
        <w:t></w:t>
      </w:r>
      <w:r>
        <w:t>0,23 мкг/кг/мин). Подобное уменьшение скорости инфузии для поддержания достаточной релаксации (что свидетельствует о кумуляции) отметил и Martineau R.J. с соавт. (1992). В его исследовании скорость инфузии оказалось возможным уменьшить до 0,47</w:t>
      </w:r>
      <w:r>
        <w:rPr>
          <w:rFonts w:ascii="Symbol" w:hAnsi="Symbol"/>
        </w:rPr>
        <w:t></w:t>
      </w:r>
      <w:r>
        <w:t>0,13</w:t>
      </w:r>
      <w:r>
        <w:rPr>
          <w:spacing w:val="3"/>
        </w:rPr>
        <w:t xml:space="preserve"> </w:t>
      </w:r>
      <w:r>
        <w:t>мкг/кг/мин.</w:t>
      </w:r>
    </w:p>
    <w:p w:rsidR="00645170" w:rsidRDefault="00645170">
      <w:pPr>
        <w:spacing w:line="360" w:lineRule="auto"/>
        <w:jc w:val="both"/>
        <w:sectPr w:rsidR="00645170">
          <w:headerReference w:type="default" r:id="rId48"/>
          <w:footerReference w:type="default" r:id="rId49"/>
          <w:pgSz w:w="11910" w:h="16840"/>
          <w:pgMar w:top="1040" w:right="340" w:bottom="1140" w:left="1340" w:header="714" w:footer="959" w:gutter="0"/>
          <w:pgNumType w:start="22"/>
          <w:cols w:space="720"/>
        </w:sectPr>
      </w:pPr>
    </w:p>
    <w:p w:rsidR="00645170" w:rsidRDefault="00645170">
      <w:pPr>
        <w:pStyle w:val="BodyText"/>
        <w:spacing w:before="106" w:line="360" w:lineRule="auto"/>
        <w:ind w:right="510" w:firstLine="710"/>
        <w:jc w:val="both"/>
      </w:pPr>
      <w:r>
        <w:t>Длительность действия препарата в целом несколько короче, чем у панкурония, за счет более быстрой элиминации. Влияния на кровообращение не оказывает, поскольку не имеет ганглиоблокирующего эффекта, не высвобождает гистамин. Поэтому рекомендуется для применения у больных с высоким анестезиологическим риском (Бабаева Н.П., 1998), а также в военно-полевой анестезиологии и медицине катастроф (Бакеев Р.Ф., 1998). В последнем случае особую важность приобретают небольшая продолжительность действия, быстрое восстановление мышечного тонуса и спонтанного дыхания, отсутствие кумуляции при повторном введении, что позволяет увеличить пропускную способность этапа медицинской эвакуации, обеспечить, при необходимости, немедленную эвакуацию</w:t>
      </w:r>
      <w:r>
        <w:rPr>
          <w:spacing w:val="-7"/>
        </w:rPr>
        <w:t xml:space="preserve"> </w:t>
      </w:r>
      <w:r>
        <w:t>раненых.</w:t>
      </w:r>
    </w:p>
    <w:p w:rsidR="00645170" w:rsidRDefault="00645170">
      <w:pPr>
        <w:pStyle w:val="BodyText"/>
        <w:spacing w:line="360" w:lineRule="auto"/>
        <w:ind w:right="519" w:firstLine="710"/>
        <w:jc w:val="both"/>
      </w:pPr>
      <w:r>
        <w:t>В связи с быстрым восстановлением мышечного тонуса, не требующим применения антихолинэстеразных средств, рекомендуется для применения при торакальных операциях (Кузнецова О.Ю. с соавт., 1998), при лапароскопических холецистэктомиях (Налапко Ю.И., 1998).</w:t>
      </w:r>
    </w:p>
    <w:p w:rsidR="00645170" w:rsidRDefault="00645170">
      <w:pPr>
        <w:pStyle w:val="BodyText"/>
        <w:spacing w:before="1" w:line="360" w:lineRule="auto"/>
        <w:ind w:right="512" w:firstLine="710"/>
        <w:jc w:val="both"/>
      </w:pPr>
      <w:r>
        <w:t>Препарат считают оптимальным с позиций критерия стоимость/эффективность при средней продолжительности и длительных операциях (Гриненко Т.Ф. с соавт., 1998).</w:t>
      </w:r>
    </w:p>
    <w:p w:rsidR="00645170" w:rsidRDefault="00645170">
      <w:pPr>
        <w:pStyle w:val="BodyText"/>
        <w:spacing w:before="2"/>
        <w:ind w:left="0"/>
        <w:rPr>
          <w:sz w:val="42"/>
        </w:rPr>
      </w:pPr>
    </w:p>
    <w:p w:rsidR="00645170" w:rsidRDefault="00645170">
      <w:pPr>
        <w:pStyle w:val="Heading1"/>
        <w:spacing w:before="1"/>
        <w:ind w:right="1124"/>
        <w:jc w:val="center"/>
      </w:pPr>
      <w:r>
        <w:t>Пипекуроний</w:t>
      </w:r>
      <w:r>
        <w:rPr>
          <w:spacing w:val="-13"/>
        </w:rPr>
        <w:t xml:space="preserve"> </w:t>
      </w:r>
      <w:r>
        <w:t>(ардуан)</w:t>
      </w:r>
    </w:p>
    <w:p w:rsidR="00645170" w:rsidRDefault="00645170">
      <w:pPr>
        <w:pStyle w:val="BodyText"/>
        <w:ind w:left="0"/>
        <w:rPr>
          <w:b/>
          <w:sz w:val="30"/>
        </w:rPr>
      </w:pPr>
    </w:p>
    <w:p w:rsidR="00645170" w:rsidRDefault="00645170">
      <w:pPr>
        <w:pStyle w:val="BodyText"/>
        <w:spacing w:before="6"/>
        <w:ind w:left="0"/>
        <w:rPr>
          <w:b/>
          <w:sz w:val="25"/>
        </w:rPr>
      </w:pPr>
    </w:p>
    <w:p w:rsidR="00645170" w:rsidRDefault="00645170">
      <w:pPr>
        <w:pStyle w:val="BodyText"/>
        <w:spacing w:line="360" w:lineRule="auto"/>
        <w:ind w:right="512" w:firstLine="710"/>
        <w:jc w:val="both"/>
      </w:pPr>
      <w:r>
        <w:t>Также очень похож по структуре на панкуроний. Метаболизм незначителен. Элиминация определяется экскрецией через почки (70%) и с желчью (20%). Препарат немного мощнее панкурония. Доза для интубации 0,06-0,1 мг/кг. Дозы для поддержания на 20% меньше, чем у панкурония. Препарат не вызывает высвобождение гистамина и не влияет на кровообращение (Morgan G.E., Mikhail M.S., 1996). При введении 0,07 мг/кг оптимальные условия для интубации возникают через 3 мин, а клинически эффективный блок длится 70 мин (Sharpe M.D.,</w:t>
      </w:r>
      <w:r>
        <w:rPr>
          <w:spacing w:val="9"/>
        </w:rPr>
        <w:t xml:space="preserve"> </w:t>
      </w:r>
      <w:r>
        <w:t>1992).</w:t>
      </w:r>
    </w:p>
    <w:p w:rsidR="00645170" w:rsidRDefault="00645170">
      <w:pPr>
        <w:spacing w:line="360" w:lineRule="auto"/>
        <w:jc w:val="both"/>
        <w:sectPr w:rsidR="00645170">
          <w:headerReference w:type="default" r:id="rId50"/>
          <w:footerReference w:type="default" r:id="rId51"/>
          <w:pgSz w:w="11910" w:h="16840"/>
          <w:pgMar w:top="1040" w:right="340" w:bottom="1140" w:left="1340" w:header="714" w:footer="959" w:gutter="0"/>
          <w:pgNumType w:start="23"/>
          <w:cols w:space="720"/>
        </w:sectPr>
      </w:pPr>
    </w:p>
    <w:p w:rsidR="00645170" w:rsidRDefault="00645170">
      <w:pPr>
        <w:pStyle w:val="BodyText"/>
        <w:spacing w:before="106" w:line="360" w:lineRule="auto"/>
        <w:ind w:right="509" w:firstLine="710"/>
        <w:jc w:val="both"/>
      </w:pPr>
      <w:r>
        <w:t>Так же, как и для панкурония, для продленной миоплегии в интенсивной терапии рекомендуется средняя доза 3 мг/ч (Khuenl-Brady K.S. et al.,</w:t>
      </w:r>
      <w:r>
        <w:rPr>
          <w:spacing w:val="4"/>
        </w:rPr>
        <w:t xml:space="preserve"> </w:t>
      </w:r>
      <w:r>
        <w:t>1994).</w:t>
      </w:r>
    </w:p>
    <w:p w:rsidR="00645170" w:rsidRDefault="00645170">
      <w:pPr>
        <w:pStyle w:val="BodyText"/>
        <w:spacing w:before="3"/>
        <w:ind w:left="0"/>
        <w:rPr>
          <w:sz w:val="42"/>
        </w:rPr>
      </w:pPr>
    </w:p>
    <w:p w:rsidR="00645170" w:rsidRDefault="00645170">
      <w:pPr>
        <w:pStyle w:val="Heading1"/>
        <w:ind w:right="1121"/>
        <w:jc w:val="center"/>
      </w:pPr>
      <w:r>
        <w:t>Рокуроний</w:t>
      </w:r>
    </w:p>
    <w:p w:rsidR="00645170" w:rsidRDefault="00645170">
      <w:pPr>
        <w:pStyle w:val="BodyText"/>
        <w:ind w:left="0"/>
        <w:rPr>
          <w:b/>
          <w:sz w:val="30"/>
        </w:rPr>
      </w:pPr>
    </w:p>
    <w:p w:rsidR="00645170" w:rsidRDefault="00645170">
      <w:pPr>
        <w:pStyle w:val="BodyText"/>
        <w:spacing w:before="6"/>
        <w:ind w:left="0"/>
        <w:rPr>
          <w:b/>
          <w:sz w:val="25"/>
        </w:rPr>
      </w:pPr>
    </w:p>
    <w:p w:rsidR="00645170" w:rsidRDefault="00645170">
      <w:pPr>
        <w:pStyle w:val="BodyText"/>
        <w:spacing w:line="360" w:lineRule="auto"/>
        <w:ind w:right="505" w:firstLine="710"/>
        <w:jc w:val="both"/>
      </w:pPr>
      <w:r>
        <w:t>Не подвергается метаболизму и элиминируется в основном с желчью, меньше через почки. Причем, по данным Суслова В.В. с соавт (1998), фармакодинамические характеристики препарата не зависят от степени почечной недостаточности. Мощность препарата значительно ниже, чем у других релаксантов, в частности, соотношение его силы по сравнению с атракуриумом и векурониумом выглядит как 1 : 1,2 : 8,5 (Bartkowski R.R. et al., 1993). Для проведения интубации необходимо ввести 0,45-0,6 мг/кг препарата. После введения 0,6 мг/кг через 90 с создаются хорошие или отличные условия для интубации (Marenovic T., Markovich M., 1998). А Puuhringer F.K. с соавт. (1992) отмечал приемлемые условия для интубации трахеи уже через 60 с после применения указанной дозы препарата. Для поддержания рокуроний вводят по 0,15 мг/кг.</w:t>
      </w:r>
    </w:p>
    <w:p w:rsidR="00645170" w:rsidRDefault="00645170">
      <w:pPr>
        <w:pStyle w:val="BodyText"/>
        <w:spacing w:before="4" w:line="360" w:lineRule="auto"/>
        <w:ind w:right="513" w:firstLine="710"/>
        <w:jc w:val="both"/>
      </w:pPr>
      <w:r>
        <w:t>Рокуроний в дозе 0,9-1,2 мг/кг начинает действовать практически так же быстро, как сукцинилхолин. Поэтому он удобен для интубации трахеи. Длительность действия и время восстановления после интубационной дозы сходна с таковой у векурония и атракурия, кумуляции не наблюдалось на протяжении 7 последовательных введений, не влияет на гемодинамику и не высвобождает гистамин, дает достаточно выраженный ваголитический эффект. Поэтому препарат приближается к "идеальному" релаксанту (Marenovic T., Markovich M., 1998; Суслов В.В. с соавт, 1998), и его считают наиболее предпочтительным при операциях у больных пожилого и старческого возраста (Суслов В.В. с соавт, 1998), пациентов c высоким анестезиологическим риском (McCoy E.P. et al., 1993).</w:t>
      </w:r>
    </w:p>
    <w:p w:rsidR="00645170" w:rsidRDefault="00645170">
      <w:pPr>
        <w:spacing w:line="360" w:lineRule="auto"/>
        <w:jc w:val="both"/>
        <w:sectPr w:rsidR="00645170">
          <w:headerReference w:type="default" r:id="rId52"/>
          <w:footerReference w:type="default" r:id="rId53"/>
          <w:pgSz w:w="11910" w:h="16840"/>
          <w:pgMar w:top="1040" w:right="340" w:bottom="1140" w:left="1340" w:header="714" w:footer="959" w:gutter="0"/>
          <w:pgNumType w:start="24"/>
          <w:cols w:space="720"/>
        </w:sectPr>
      </w:pPr>
    </w:p>
    <w:p w:rsidR="00645170" w:rsidRDefault="00645170">
      <w:pPr>
        <w:pStyle w:val="Heading1"/>
        <w:spacing w:before="111"/>
        <w:ind w:right="1119"/>
        <w:jc w:val="center"/>
      </w:pPr>
      <w:r>
        <w:t>Сравнительная оценка препаратов</w:t>
      </w:r>
    </w:p>
    <w:p w:rsidR="00645170" w:rsidRDefault="00645170">
      <w:pPr>
        <w:pStyle w:val="BodyText"/>
        <w:ind w:left="0"/>
        <w:rPr>
          <w:b/>
          <w:sz w:val="30"/>
        </w:rPr>
      </w:pPr>
    </w:p>
    <w:p w:rsidR="00645170" w:rsidRDefault="00645170">
      <w:pPr>
        <w:pStyle w:val="BodyText"/>
        <w:spacing w:before="5"/>
        <w:ind w:left="0"/>
        <w:rPr>
          <w:b/>
          <w:sz w:val="25"/>
        </w:rPr>
      </w:pPr>
    </w:p>
    <w:p w:rsidR="00645170" w:rsidRDefault="00645170">
      <w:pPr>
        <w:pStyle w:val="BodyText"/>
        <w:spacing w:line="360" w:lineRule="auto"/>
        <w:ind w:right="514" w:firstLine="710"/>
        <w:jc w:val="both"/>
      </w:pPr>
      <w:r>
        <w:t>J. Viby-Mogensen (1998) считает, что экономически более выгодно применять более дорогие релаксанты средней и  короткой продолжительности действия (векуроний, атракурий) по сравнению с дешевыми но длительно действующими препаратами (панкуроний, тубокурарин), поскольку это значительно (в 4 раза) уменьшает частоту остаточной кураризации и послеоперационных легочных осложнений.</w:t>
      </w:r>
    </w:p>
    <w:p w:rsidR="00645170" w:rsidRDefault="00645170">
      <w:pPr>
        <w:pStyle w:val="BodyText"/>
        <w:spacing w:line="360" w:lineRule="auto"/>
        <w:ind w:right="511" w:firstLine="710"/>
        <w:jc w:val="both"/>
      </w:pPr>
      <w:r>
        <w:t xml:space="preserve">Beattie W.S. с соавт. (1992), сравнивая атракурий и векуроний, отмечают, что на прогнозирование времени окончания блока в первом случае влияет только возраст, в случае же векурония, кроме возраста следует учитывать и продолжительность поддерживающей инфузии. В этой же работе указывается, что 19% анестезиологической смертности приходится на острую дыхательную недостаточность в постнаркозном периоде, вызванную остаточным действием релаксантов. </w:t>
      </w:r>
      <w:r>
        <w:rPr>
          <w:spacing w:val="3"/>
        </w:rPr>
        <w:t xml:space="preserve">До </w:t>
      </w:r>
      <w:r>
        <w:t>42% больных поступают в палату пробуждения с признаками неполного восстановления нейромышечной проводимости. Применение же таких препаратов, как атракурий и векуроний (в отличие от, например, панкурония), позволяет снизить частоту осложнений, поскольку время восстановления нейромышечной проводимости до 85%-ного уровня (на фоне декураризации неостигмином) при их использовании в виде инфузии составляет у большинства больных менее 20</w:t>
      </w:r>
      <w:r>
        <w:rPr>
          <w:spacing w:val="2"/>
        </w:rPr>
        <w:t xml:space="preserve"> </w:t>
      </w:r>
      <w:r>
        <w:t>мин.</w:t>
      </w:r>
    </w:p>
    <w:p w:rsidR="00645170" w:rsidRDefault="00645170">
      <w:pPr>
        <w:pStyle w:val="BodyText"/>
        <w:spacing w:before="2" w:line="360" w:lineRule="auto"/>
        <w:ind w:right="512" w:firstLine="710"/>
        <w:jc w:val="both"/>
      </w:pPr>
      <w:r>
        <w:t>Влияние некоторых параметров гомеостаза на фармакологию миорелаксантов. Гипотермия удлиняет блок за счет угнетения метаболизма и замедления экскреции. Потенцируют действие недеполяризующих миорелаксантов респираторный ацидоз, гипокальциемия, гипокалиемия, гипермагниемия. Печеночная и почечная недостаточность увеличивают объем внеклеточной жидкости и соответственно объем распределения и, тем самым, уменьшают концентрацию препаратов в плазме. В то же время, за счет замедленной элиминации препаратов их продолжительность</w:t>
      </w:r>
      <w:r>
        <w:rPr>
          <w:spacing w:val="14"/>
        </w:rPr>
        <w:t xml:space="preserve"> </w:t>
      </w:r>
      <w:r>
        <w:t>действия</w:t>
      </w:r>
    </w:p>
    <w:p w:rsidR="00645170" w:rsidRDefault="00645170">
      <w:pPr>
        <w:spacing w:line="360" w:lineRule="auto"/>
        <w:jc w:val="both"/>
        <w:sectPr w:rsidR="00645170">
          <w:headerReference w:type="default" r:id="rId54"/>
          <w:footerReference w:type="default" r:id="rId55"/>
          <w:pgSz w:w="11910" w:h="16840"/>
          <w:pgMar w:top="1040" w:right="340" w:bottom="1140" w:left="1340" w:header="714" w:footer="959" w:gutter="0"/>
          <w:pgNumType w:start="25"/>
          <w:cols w:space="720"/>
        </w:sectPr>
      </w:pPr>
    </w:p>
    <w:p w:rsidR="00645170" w:rsidRDefault="00645170">
      <w:pPr>
        <w:pStyle w:val="BodyText"/>
        <w:spacing w:before="106" w:line="357" w:lineRule="auto"/>
        <w:ind w:right="513"/>
      </w:pPr>
      <w:r>
        <w:t>увеличивается. Поэтому рекомендуется использовать большую нагрузочную, но меньшие поддерживающие дозы.</w:t>
      </w:r>
    </w:p>
    <w:p w:rsidR="00645170" w:rsidRDefault="00645170">
      <w:pPr>
        <w:pStyle w:val="BodyText"/>
        <w:spacing w:before="3"/>
        <w:ind w:left="0"/>
        <w:rPr>
          <w:sz w:val="42"/>
        </w:rPr>
      </w:pPr>
    </w:p>
    <w:p w:rsidR="00645170" w:rsidRDefault="00645170">
      <w:pPr>
        <w:pStyle w:val="BodyText"/>
        <w:spacing w:line="362" w:lineRule="auto"/>
        <w:ind w:left="1070" w:right="7928"/>
      </w:pPr>
      <w:r>
        <w:t>Таблица 6 (слайд)</w:t>
      </w:r>
    </w:p>
    <w:p w:rsidR="00645170" w:rsidRDefault="00645170">
      <w:pPr>
        <w:pStyle w:val="BodyText"/>
        <w:spacing w:after="10" w:line="357" w:lineRule="auto"/>
        <w:ind w:right="524" w:firstLine="710"/>
        <w:jc w:val="both"/>
      </w:pPr>
      <w:r>
        <w:t>Взаимодействие миорелаксантов с другими лекарственными средствами (потенцирование "+" и угнетение "–" нейромышечного блока)</w:t>
      </w: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08"/>
        <w:gridCol w:w="3174"/>
        <w:gridCol w:w="3193"/>
      </w:tblGrid>
      <w:tr w:rsidR="00645170">
        <w:trPr>
          <w:trHeight w:val="345"/>
        </w:trPr>
        <w:tc>
          <w:tcPr>
            <w:tcW w:w="3208" w:type="dxa"/>
          </w:tcPr>
          <w:p w:rsidR="00645170" w:rsidRDefault="00645170">
            <w:pPr>
              <w:pStyle w:val="TableParagraph"/>
              <w:rPr>
                <w:sz w:val="20"/>
              </w:rPr>
            </w:pPr>
            <w:r>
              <w:rPr>
                <w:sz w:val="20"/>
              </w:rPr>
              <w:t>Лекарственные средства</w:t>
            </w:r>
          </w:p>
        </w:tc>
        <w:tc>
          <w:tcPr>
            <w:tcW w:w="3174" w:type="dxa"/>
          </w:tcPr>
          <w:p w:rsidR="00645170" w:rsidRDefault="00645170">
            <w:pPr>
              <w:pStyle w:val="TableParagraph"/>
              <w:rPr>
                <w:sz w:val="20"/>
              </w:rPr>
            </w:pPr>
            <w:r>
              <w:rPr>
                <w:sz w:val="20"/>
              </w:rPr>
              <w:t>Деполяризующий блок</w:t>
            </w:r>
          </w:p>
        </w:tc>
        <w:tc>
          <w:tcPr>
            <w:tcW w:w="3193" w:type="dxa"/>
          </w:tcPr>
          <w:p w:rsidR="00645170" w:rsidRDefault="00645170">
            <w:pPr>
              <w:pStyle w:val="TableParagraph"/>
              <w:rPr>
                <w:sz w:val="20"/>
              </w:rPr>
            </w:pPr>
            <w:r>
              <w:rPr>
                <w:sz w:val="20"/>
              </w:rPr>
              <w:t>Недеполяризующий блок</w:t>
            </w:r>
          </w:p>
        </w:tc>
      </w:tr>
      <w:tr w:rsidR="00645170">
        <w:trPr>
          <w:trHeight w:val="1377"/>
        </w:trPr>
        <w:tc>
          <w:tcPr>
            <w:tcW w:w="3208" w:type="dxa"/>
          </w:tcPr>
          <w:p w:rsidR="00645170" w:rsidRDefault="00645170">
            <w:pPr>
              <w:pStyle w:val="TableParagraph"/>
              <w:tabs>
                <w:tab w:val="left" w:pos="1834"/>
                <w:tab w:val="left" w:pos="1967"/>
              </w:tabs>
              <w:spacing w:line="360" w:lineRule="auto"/>
              <w:ind w:right="101"/>
              <w:rPr>
                <w:sz w:val="20"/>
              </w:rPr>
            </w:pPr>
            <w:r>
              <w:rPr>
                <w:sz w:val="20"/>
              </w:rPr>
              <w:t>Антибиотики:</w:t>
            </w:r>
            <w:r>
              <w:rPr>
                <w:sz w:val="20"/>
              </w:rPr>
              <w:tab/>
            </w:r>
            <w:r>
              <w:rPr>
                <w:spacing w:val="-3"/>
                <w:sz w:val="20"/>
              </w:rPr>
              <w:t xml:space="preserve">стрептомицин, </w:t>
            </w:r>
            <w:r>
              <w:rPr>
                <w:sz w:val="20"/>
              </w:rPr>
              <w:t>полимиксин,</w:t>
            </w:r>
            <w:r>
              <w:rPr>
                <w:sz w:val="20"/>
              </w:rPr>
              <w:tab/>
            </w:r>
            <w:r>
              <w:rPr>
                <w:sz w:val="20"/>
              </w:rPr>
              <w:tab/>
            </w:r>
            <w:r>
              <w:rPr>
                <w:spacing w:val="-3"/>
                <w:sz w:val="20"/>
              </w:rPr>
              <w:t>тетрациклин,</w:t>
            </w:r>
          </w:p>
          <w:p w:rsidR="00645170" w:rsidRDefault="00645170">
            <w:pPr>
              <w:pStyle w:val="TableParagraph"/>
              <w:tabs>
                <w:tab w:val="left" w:pos="1890"/>
              </w:tabs>
              <w:spacing w:line="240" w:lineRule="auto"/>
              <w:rPr>
                <w:sz w:val="20"/>
              </w:rPr>
            </w:pPr>
            <w:r>
              <w:rPr>
                <w:sz w:val="20"/>
              </w:rPr>
              <w:t>линкомицин,</w:t>
            </w:r>
            <w:r>
              <w:rPr>
                <w:sz w:val="20"/>
              </w:rPr>
              <w:tab/>
              <w:t>клиндамицин,</w:t>
            </w:r>
          </w:p>
          <w:p w:rsidR="00645170" w:rsidRDefault="00645170">
            <w:pPr>
              <w:pStyle w:val="TableParagraph"/>
              <w:spacing w:before="108" w:line="240" w:lineRule="auto"/>
              <w:rPr>
                <w:sz w:val="20"/>
              </w:rPr>
            </w:pPr>
            <w:r>
              <w:rPr>
                <w:sz w:val="20"/>
              </w:rPr>
              <w:t>бацитрацин</w:t>
            </w:r>
          </w:p>
        </w:tc>
        <w:tc>
          <w:tcPr>
            <w:tcW w:w="3174" w:type="dxa"/>
          </w:tcPr>
          <w:p w:rsidR="00645170" w:rsidRDefault="00645170">
            <w:pPr>
              <w:pStyle w:val="TableParagraph"/>
              <w:spacing w:before="7" w:line="240" w:lineRule="auto"/>
              <w:ind w:left="0"/>
              <w:rPr>
                <w:sz w:val="29"/>
              </w:rPr>
            </w:pPr>
          </w:p>
          <w:p w:rsidR="00645170" w:rsidRDefault="00645170">
            <w:pPr>
              <w:pStyle w:val="TableParagraph"/>
              <w:spacing w:line="240" w:lineRule="auto"/>
              <w:rPr>
                <w:sz w:val="20"/>
              </w:rPr>
            </w:pPr>
            <w:r>
              <w:rPr>
                <w:sz w:val="20"/>
              </w:rPr>
              <w:t>+</w:t>
            </w:r>
          </w:p>
        </w:tc>
        <w:tc>
          <w:tcPr>
            <w:tcW w:w="3193" w:type="dxa"/>
          </w:tcPr>
          <w:p w:rsidR="00645170" w:rsidRDefault="00645170">
            <w:pPr>
              <w:pStyle w:val="TableParagraph"/>
              <w:spacing w:before="7" w:line="240" w:lineRule="auto"/>
              <w:ind w:left="0"/>
              <w:rPr>
                <w:sz w:val="29"/>
              </w:rPr>
            </w:pPr>
          </w:p>
          <w:p w:rsidR="00645170" w:rsidRDefault="00645170">
            <w:pPr>
              <w:pStyle w:val="TableParagraph"/>
              <w:spacing w:line="240" w:lineRule="auto"/>
              <w:rPr>
                <w:sz w:val="20"/>
              </w:rPr>
            </w:pPr>
            <w:r>
              <w:rPr>
                <w:sz w:val="20"/>
              </w:rPr>
              <w:t>+</w:t>
            </w:r>
          </w:p>
        </w:tc>
      </w:tr>
      <w:tr w:rsidR="00645170">
        <w:trPr>
          <w:trHeight w:val="690"/>
        </w:trPr>
        <w:tc>
          <w:tcPr>
            <w:tcW w:w="3208" w:type="dxa"/>
          </w:tcPr>
          <w:p w:rsidR="00645170" w:rsidRDefault="00645170">
            <w:pPr>
              <w:pStyle w:val="TableParagraph"/>
              <w:tabs>
                <w:tab w:val="left" w:pos="2213"/>
              </w:tabs>
              <w:rPr>
                <w:sz w:val="20"/>
              </w:rPr>
            </w:pPr>
            <w:r>
              <w:rPr>
                <w:sz w:val="20"/>
              </w:rPr>
              <w:t>Противосудорожные:</w:t>
            </w:r>
            <w:r>
              <w:rPr>
                <w:sz w:val="20"/>
              </w:rPr>
              <w:tab/>
              <w:t>фенитоин,</w:t>
            </w:r>
          </w:p>
          <w:p w:rsidR="00645170" w:rsidRDefault="00645170">
            <w:pPr>
              <w:pStyle w:val="TableParagraph"/>
              <w:spacing w:before="115" w:line="240" w:lineRule="auto"/>
              <w:rPr>
                <w:sz w:val="20"/>
              </w:rPr>
            </w:pPr>
            <w:r>
              <w:rPr>
                <w:sz w:val="20"/>
              </w:rPr>
              <w:t>карбамазепин</w:t>
            </w:r>
          </w:p>
        </w:tc>
        <w:tc>
          <w:tcPr>
            <w:tcW w:w="3174" w:type="dxa"/>
          </w:tcPr>
          <w:p w:rsidR="00645170" w:rsidRDefault="00645170">
            <w:pPr>
              <w:pStyle w:val="TableParagraph"/>
              <w:spacing w:before="7" w:line="240" w:lineRule="auto"/>
              <w:ind w:left="0"/>
              <w:rPr>
                <w:sz w:val="29"/>
              </w:rPr>
            </w:pPr>
          </w:p>
          <w:p w:rsidR="00645170" w:rsidRDefault="00645170">
            <w:pPr>
              <w:pStyle w:val="TableParagraph"/>
              <w:spacing w:line="240" w:lineRule="auto"/>
              <w:rPr>
                <w:sz w:val="20"/>
              </w:rPr>
            </w:pPr>
            <w:r>
              <w:rPr>
                <w:sz w:val="20"/>
              </w:rPr>
              <w:t>?</w:t>
            </w:r>
          </w:p>
        </w:tc>
        <w:tc>
          <w:tcPr>
            <w:tcW w:w="3193" w:type="dxa"/>
          </w:tcPr>
          <w:p w:rsidR="00645170" w:rsidRDefault="00645170">
            <w:pPr>
              <w:pStyle w:val="TableParagraph"/>
              <w:spacing w:before="7" w:line="240" w:lineRule="auto"/>
              <w:ind w:left="0"/>
              <w:rPr>
                <w:sz w:val="29"/>
              </w:rPr>
            </w:pPr>
          </w:p>
          <w:p w:rsidR="00645170" w:rsidRDefault="00645170">
            <w:pPr>
              <w:pStyle w:val="TableParagraph"/>
              <w:spacing w:line="240" w:lineRule="auto"/>
              <w:rPr>
                <w:sz w:val="20"/>
              </w:rPr>
            </w:pPr>
            <w:r>
              <w:rPr>
                <w:sz w:val="20"/>
              </w:rPr>
              <w:t>-</w:t>
            </w:r>
          </w:p>
        </w:tc>
      </w:tr>
      <w:tr w:rsidR="00645170">
        <w:trPr>
          <w:trHeight w:val="1382"/>
        </w:trPr>
        <w:tc>
          <w:tcPr>
            <w:tcW w:w="3208" w:type="dxa"/>
          </w:tcPr>
          <w:p w:rsidR="00645170" w:rsidRDefault="00645170">
            <w:pPr>
              <w:pStyle w:val="TableParagraph"/>
              <w:spacing w:line="360" w:lineRule="auto"/>
              <w:ind w:right="100"/>
              <w:jc w:val="both"/>
              <w:rPr>
                <w:sz w:val="20"/>
              </w:rPr>
            </w:pPr>
            <w:r>
              <w:rPr>
                <w:sz w:val="20"/>
              </w:rPr>
              <w:t>Антиаритмические (в т.ч. местные анестетики): хинидин, лидокаин, блокаторы кальциевых каналов,</w:t>
            </w:r>
          </w:p>
          <w:p w:rsidR="00645170" w:rsidRDefault="00645170">
            <w:pPr>
              <w:pStyle w:val="TableParagraph"/>
              <w:spacing w:line="240" w:lineRule="auto"/>
              <w:rPr>
                <w:sz w:val="20"/>
              </w:rPr>
            </w:pPr>
            <w:r>
              <w:rPr>
                <w:sz w:val="20"/>
              </w:rPr>
              <w:t>прокаинамид</w:t>
            </w:r>
          </w:p>
        </w:tc>
        <w:tc>
          <w:tcPr>
            <w:tcW w:w="3174" w:type="dxa"/>
          </w:tcPr>
          <w:p w:rsidR="00645170" w:rsidRDefault="00645170">
            <w:pPr>
              <w:pStyle w:val="TableParagraph"/>
              <w:spacing w:before="8" w:line="240" w:lineRule="auto"/>
              <w:ind w:left="0"/>
              <w:rPr>
                <w:sz w:val="29"/>
              </w:rPr>
            </w:pPr>
          </w:p>
          <w:p w:rsidR="00645170" w:rsidRDefault="00645170">
            <w:pPr>
              <w:pStyle w:val="TableParagraph"/>
              <w:spacing w:line="240" w:lineRule="auto"/>
              <w:rPr>
                <w:sz w:val="20"/>
              </w:rPr>
            </w:pPr>
            <w:r>
              <w:rPr>
                <w:sz w:val="20"/>
              </w:rPr>
              <w:t>+</w:t>
            </w:r>
          </w:p>
        </w:tc>
        <w:tc>
          <w:tcPr>
            <w:tcW w:w="3193" w:type="dxa"/>
          </w:tcPr>
          <w:p w:rsidR="00645170" w:rsidRDefault="00645170">
            <w:pPr>
              <w:pStyle w:val="TableParagraph"/>
              <w:spacing w:before="8" w:line="240" w:lineRule="auto"/>
              <w:ind w:left="0"/>
              <w:rPr>
                <w:sz w:val="29"/>
              </w:rPr>
            </w:pPr>
          </w:p>
          <w:p w:rsidR="00645170" w:rsidRDefault="00645170">
            <w:pPr>
              <w:pStyle w:val="TableParagraph"/>
              <w:spacing w:line="240" w:lineRule="auto"/>
              <w:rPr>
                <w:sz w:val="20"/>
              </w:rPr>
            </w:pPr>
            <w:r>
              <w:rPr>
                <w:sz w:val="20"/>
              </w:rPr>
              <w:t>+</w:t>
            </w:r>
          </w:p>
        </w:tc>
      </w:tr>
      <w:tr w:rsidR="00645170">
        <w:trPr>
          <w:trHeight w:val="345"/>
        </w:trPr>
        <w:tc>
          <w:tcPr>
            <w:tcW w:w="3208" w:type="dxa"/>
          </w:tcPr>
          <w:p w:rsidR="00645170" w:rsidRDefault="00645170">
            <w:pPr>
              <w:pStyle w:val="TableParagraph"/>
              <w:rPr>
                <w:sz w:val="20"/>
              </w:rPr>
            </w:pPr>
            <w:r>
              <w:rPr>
                <w:sz w:val="20"/>
              </w:rPr>
              <w:t>Ингибиторы ацетилхолинэстеразы</w:t>
            </w:r>
          </w:p>
        </w:tc>
        <w:tc>
          <w:tcPr>
            <w:tcW w:w="3174" w:type="dxa"/>
          </w:tcPr>
          <w:p w:rsidR="00645170" w:rsidRDefault="00645170">
            <w:pPr>
              <w:pStyle w:val="TableParagraph"/>
              <w:rPr>
                <w:sz w:val="20"/>
              </w:rPr>
            </w:pPr>
            <w:r>
              <w:rPr>
                <w:sz w:val="20"/>
              </w:rPr>
              <w:t>+</w:t>
            </w:r>
          </w:p>
        </w:tc>
        <w:tc>
          <w:tcPr>
            <w:tcW w:w="3193" w:type="dxa"/>
          </w:tcPr>
          <w:p w:rsidR="00645170" w:rsidRDefault="00645170">
            <w:pPr>
              <w:pStyle w:val="TableParagraph"/>
              <w:rPr>
                <w:sz w:val="20"/>
              </w:rPr>
            </w:pPr>
            <w:r>
              <w:rPr>
                <w:sz w:val="20"/>
              </w:rPr>
              <w:t>-</w:t>
            </w:r>
          </w:p>
        </w:tc>
      </w:tr>
      <w:tr w:rsidR="00645170">
        <w:trPr>
          <w:trHeight w:val="1031"/>
        </w:trPr>
        <w:tc>
          <w:tcPr>
            <w:tcW w:w="3208" w:type="dxa"/>
          </w:tcPr>
          <w:p w:rsidR="00645170" w:rsidRDefault="00645170">
            <w:pPr>
              <w:pStyle w:val="TableParagraph"/>
              <w:rPr>
                <w:sz w:val="20"/>
              </w:rPr>
            </w:pPr>
            <w:r>
              <w:rPr>
                <w:sz w:val="20"/>
              </w:rPr>
              <w:t>Фуросемид:</w:t>
            </w:r>
          </w:p>
          <w:p w:rsidR="00645170" w:rsidRDefault="00645170">
            <w:pPr>
              <w:pStyle w:val="TableParagraph"/>
              <w:numPr>
                <w:ilvl w:val="0"/>
                <w:numId w:val="3"/>
              </w:numPr>
              <w:tabs>
                <w:tab w:val="left" w:pos="471"/>
              </w:tabs>
              <w:spacing w:before="116" w:line="240" w:lineRule="auto"/>
              <w:rPr>
                <w:sz w:val="20"/>
              </w:rPr>
            </w:pPr>
            <w:r>
              <w:rPr>
                <w:sz w:val="20"/>
              </w:rPr>
              <w:t>более 10 мг/кг;</w:t>
            </w:r>
          </w:p>
          <w:p w:rsidR="00645170" w:rsidRDefault="00645170">
            <w:pPr>
              <w:pStyle w:val="TableParagraph"/>
              <w:numPr>
                <w:ilvl w:val="0"/>
                <w:numId w:val="3"/>
              </w:numPr>
              <w:tabs>
                <w:tab w:val="left" w:pos="471"/>
              </w:tabs>
              <w:spacing w:before="115" w:line="240" w:lineRule="auto"/>
              <w:rPr>
                <w:sz w:val="20"/>
              </w:rPr>
            </w:pPr>
            <w:r>
              <w:rPr>
                <w:sz w:val="20"/>
              </w:rPr>
              <w:t>1-4</w:t>
            </w:r>
            <w:r>
              <w:rPr>
                <w:spacing w:val="-3"/>
                <w:sz w:val="20"/>
              </w:rPr>
              <w:t xml:space="preserve"> </w:t>
            </w:r>
            <w:r>
              <w:rPr>
                <w:sz w:val="20"/>
              </w:rPr>
              <w:t>мг/кг</w:t>
            </w:r>
          </w:p>
        </w:tc>
        <w:tc>
          <w:tcPr>
            <w:tcW w:w="3174" w:type="dxa"/>
          </w:tcPr>
          <w:p w:rsidR="00645170" w:rsidRDefault="00645170">
            <w:pPr>
              <w:pStyle w:val="TableParagraph"/>
              <w:spacing w:before="8" w:line="240" w:lineRule="auto"/>
              <w:ind w:left="0"/>
              <w:rPr>
                <w:sz w:val="29"/>
              </w:rPr>
            </w:pPr>
          </w:p>
          <w:p w:rsidR="00645170" w:rsidRDefault="00645170">
            <w:pPr>
              <w:pStyle w:val="TableParagraph"/>
              <w:spacing w:line="240" w:lineRule="auto"/>
              <w:rPr>
                <w:sz w:val="20"/>
              </w:rPr>
            </w:pPr>
            <w:r>
              <w:rPr>
                <w:sz w:val="20"/>
              </w:rPr>
              <w:t>+</w:t>
            </w:r>
          </w:p>
          <w:p w:rsidR="00645170" w:rsidRDefault="00645170">
            <w:pPr>
              <w:pStyle w:val="TableParagraph"/>
              <w:spacing w:before="115" w:line="240" w:lineRule="auto"/>
              <w:rPr>
                <w:sz w:val="20"/>
              </w:rPr>
            </w:pPr>
            <w:r>
              <w:rPr>
                <w:sz w:val="20"/>
              </w:rPr>
              <w:t>-</w:t>
            </w:r>
          </w:p>
        </w:tc>
        <w:tc>
          <w:tcPr>
            <w:tcW w:w="3193" w:type="dxa"/>
          </w:tcPr>
          <w:p w:rsidR="00645170" w:rsidRDefault="00645170">
            <w:pPr>
              <w:pStyle w:val="TableParagraph"/>
              <w:spacing w:before="8" w:line="240" w:lineRule="auto"/>
              <w:ind w:left="0"/>
              <w:rPr>
                <w:sz w:val="29"/>
              </w:rPr>
            </w:pPr>
          </w:p>
          <w:p w:rsidR="00645170" w:rsidRDefault="00645170">
            <w:pPr>
              <w:pStyle w:val="TableParagraph"/>
              <w:spacing w:line="240" w:lineRule="auto"/>
              <w:rPr>
                <w:sz w:val="20"/>
              </w:rPr>
            </w:pPr>
            <w:r>
              <w:rPr>
                <w:sz w:val="20"/>
              </w:rPr>
              <w:t>+</w:t>
            </w:r>
          </w:p>
          <w:p w:rsidR="00645170" w:rsidRDefault="00645170">
            <w:pPr>
              <w:pStyle w:val="TableParagraph"/>
              <w:spacing w:before="115" w:line="240" w:lineRule="auto"/>
              <w:rPr>
                <w:sz w:val="20"/>
              </w:rPr>
            </w:pPr>
            <w:r>
              <w:rPr>
                <w:sz w:val="20"/>
              </w:rPr>
              <w:t>-</w:t>
            </w:r>
          </w:p>
        </w:tc>
      </w:tr>
      <w:tr w:rsidR="00645170">
        <w:trPr>
          <w:trHeight w:val="1036"/>
        </w:trPr>
        <w:tc>
          <w:tcPr>
            <w:tcW w:w="3208" w:type="dxa"/>
          </w:tcPr>
          <w:p w:rsidR="00645170" w:rsidRDefault="00645170">
            <w:pPr>
              <w:pStyle w:val="TableParagraph"/>
              <w:tabs>
                <w:tab w:val="left" w:pos="2145"/>
              </w:tabs>
              <w:spacing w:line="360" w:lineRule="auto"/>
              <w:ind w:right="97"/>
              <w:rPr>
                <w:sz w:val="20"/>
              </w:rPr>
            </w:pPr>
            <w:r>
              <w:rPr>
                <w:sz w:val="20"/>
              </w:rPr>
              <w:t>Ингаляционные</w:t>
            </w:r>
            <w:r>
              <w:rPr>
                <w:sz w:val="20"/>
              </w:rPr>
              <w:tab/>
            </w:r>
            <w:r>
              <w:rPr>
                <w:spacing w:val="-1"/>
                <w:sz w:val="20"/>
              </w:rPr>
              <w:t xml:space="preserve">анестетики </w:t>
            </w:r>
            <w:r>
              <w:rPr>
                <w:sz w:val="20"/>
              </w:rPr>
              <w:t>(изофлюран, энфлюран &gt;</w:t>
            </w:r>
            <w:r>
              <w:rPr>
                <w:spacing w:val="18"/>
                <w:sz w:val="20"/>
              </w:rPr>
              <w:t xml:space="preserve"> </w:t>
            </w:r>
            <w:r>
              <w:rPr>
                <w:sz w:val="20"/>
              </w:rPr>
              <w:t>галотан</w:t>
            </w:r>
          </w:p>
          <w:p w:rsidR="00645170" w:rsidRDefault="00645170">
            <w:pPr>
              <w:pStyle w:val="TableParagraph"/>
              <w:spacing w:line="240" w:lineRule="auto"/>
              <w:rPr>
                <w:sz w:val="20"/>
              </w:rPr>
            </w:pPr>
            <w:r>
              <w:rPr>
                <w:position w:val="2"/>
                <w:sz w:val="20"/>
              </w:rPr>
              <w:t>&gt; N</w:t>
            </w:r>
            <w:r>
              <w:rPr>
                <w:sz w:val="13"/>
              </w:rPr>
              <w:t>2</w:t>
            </w:r>
            <w:r>
              <w:rPr>
                <w:position w:val="2"/>
                <w:sz w:val="20"/>
              </w:rPr>
              <w:t>O)</w:t>
            </w:r>
          </w:p>
        </w:tc>
        <w:tc>
          <w:tcPr>
            <w:tcW w:w="3174" w:type="dxa"/>
          </w:tcPr>
          <w:p w:rsidR="00645170" w:rsidRDefault="00645170">
            <w:pPr>
              <w:pStyle w:val="TableParagraph"/>
              <w:rPr>
                <w:sz w:val="20"/>
              </w:rPr>
            </w:pPr>
            <w:r>
              <w:rPr>
                <w:sz w:val="20"/>
              </w:rPr>
              <w:t>+</w:t>
            </w:r>
          </w:p>
        </w:tc>
        <w:tc>
          <w:tcPr>
            <w:tcW w:w="3193" w:type="dxa"/>
          </w:tcPr>
          <w:p w:rsidR="00645170" w:rsidRDefault="00645170">
            <w:pPr>
              <w:pStyle w:val="TableParagraph"/>
              <w:rPr>
                <w:sz w:val="20"/>
              </w:rPr>
            </w:pPr>
            <w:r>
              <w:rPr>
                <w:sz w:val="20"/>
              </w:rPr>
              <w:t>+</w:t>
            </w:r>
          </w:p>
        </w:tc>
      </w:tr>
      <w:tr w:rsidR="00645170">
        <w:trPr>
          <w:trHeight w:val="345"/>
        </w:trPr>
        <w:tc>
          <w:tcPr>
            <w:tcW w:w="3208" w:type="dxa"/>
          </w:tcPr>
          <w:p w:rsidR="00645170" w:rsidRDefault="00645170">
            <w:pPr>
              <w:pStyle w:val="TableParagraph"/>
              <w:spacing w:line="226" w:lineRule="exact"/>
              <w:rPr>
                <w:sz w:val="20"/>
              </w:rPr>
            </w:pPr>
            <w:r>
              <w:rPr>
                <w:sz w:val="20"/>
              </w:rPr>
              <w:t>Кетамин</w:t>
            </w:r>
          </w:p>
        </w:tc>
        <w:tc>
          <w:tcPr>
            <w:tcW w:w="3174" w:type="dxa"/>
          </w:tcPr>
          <w:p w:rsidR="00645170" w:rsidRDefault="00645170">
            <w:pPr>
              <w:pStyle w:val="TableParagraph"/>
              <w:spacing w:line="226" w:lineRule="exact"/>
              <w:rPr>
                <w:sz w:val="20"/>
              </w:rPr>
            </w:pPr>
            <w:r>
              <w:rPr>
                <w:sz w:val="20"/>
              </w:rPr>
              <w:t>?</w:t>
            </w:r>
          </w:p>
        </w:tc>
        <w:tc>
          <w:tcPr>
            <w:tcW w:w="3193" w:type="dxa"/>
          </w:tcPr>
          <w:p w:rsidR="00645170" w:rsidRDefault="00645170">
            <w:pPr>
              <w:pStyle w:val="TableParagraph"/>
              <w:spacing w:line="226" w:lineRule="exact"/>
              <w:rPr>
                <w:sz w:val="20"/>
              </w:rPr>
            </w:pPr>
            <w:r>
              <w:rPr>
                <w:sz w:val="20"/>
              </w:rPr>
              <w:t>+</w:t>
            </w:r>
          </w:p>
        </w:tc>
      </w:tr>
      <w:tr w:rsidR="00645170">
        <w:trPr>
          <w:trHeight w:val="345"/>
        </w:trPr>
        <w:tc>
          <w:tcPr>
            <w:tcW w:w="3208" w:type="dxa"/>
          </w:tcPr>
          <w:p w:rsidR="00645170" w:rsidRDefault="00645170">
            <w:pPr>
              <w:pStyle w:val="TableParagraph"/>
              <w:rPr>
                <w:sz w:val="20"/>
              </w:rPr>
            </w:pPr>
            <w:r>
              <w:rPr>
                <w:sz w:val="20"/>
              </w:rPr>
              <w:t>Магния сульфат</w:t>
            </w:r>
          </w:p>
        </w:tc>
        <w:tc>
          <w:tcPr>
            <w:tcW w:w="3174" w:type="dxa"/>
          </w:tcPr>
          <w:p w:rsidR="00645170" w:rsidRDefault="00645170">
            <w:pPr>
              <w:pStyle w:val="TableParagraph"/>
              <w:rPr>
                <w:sz w:val="20"/>
              </w:rPr>
            </w:pPr>
            <w:r>
              <w:rPr>
                <w:sz w:val="20"/>
              </w:rPr>
              <w:t>+</w:t>
            </w:r>
          </w:p>
        </w:tc>
        <w:tc>
          <w:tcPr>
            <w:tcW w:w="3193" w:type="dxa"/>
          </w:tcPr>
          <w:p w:rsidR="00645170" w:rsidRDefault="00645170">
            <w:pPr>
              <w:pStyle w:val="TableParagraph"/>
              <w:rPr>
                <w:sz w:val="20"/>
              </w:rPr>
            </w:pPr>
            <w:r>
              <w:rPr>
                <w:sz w:val="20"/>
              </w:rPr>
              <w:t>+</w:t>
            </w:r>
          </w:p>
        </w:tc>
      </w:tr>
    </w:tbl>
    <w:p w:rsidR="00645170" w:rsidRDefault="00645170">
      <w:pPr>
        <w:pStyle w:val="BodyText"/>
        <w:spacing w:before="11"/>
        <w:ind w:left="0"/>
        <w:rPr>
          <w:sz w:val="41"/>
        </w:rPr>
      </w:pPr>
    </w:p>
    <w:p w:rsidR="00645170" w:rsidRDefault="00645170">
      <w:pPr>
        <w:pStyle w:val="Heading1"/>
        <w:numPr>
          <w:ilvl w:val="0"/>
          <w:numId w:val="5"/>
        </w:numPr>
        <w:tabs>
          <w:tab w:val="left" w:pos="2612"/>
        </w:tabs>
        <w:ind w:left="2611" w:hanging="284"/>
      </w:pPr>
      <w:bookmarkStart w:id="21" w:name="7._Контроль_за_нейромышечной_проводимост"/>
      <w:bookmarkEnd w:id="21"/>
      <w:r>
        <w:t>Контроль за нейромышечной</w:t>
      </w:r>
      <w:r>
        <w:rPr>
          <w:spacing w:val="-1"/>
        </w:rPr>
        <w:t xml:space="preserve"> </w:t>
      </w:r>
      <w:r>
        <w:t>проводимостью</w:t>
      </w:r>
    </w:p>
    <w:p w:rsidR="00645170" w:rsidRDefault="00645170">
      <w:pPr>
        <w:pStyle w:val="BodyText"/>
        <w:ind w:left="0"/>
        <w:rPr>
          <w:b/>
          <w:sz w:val="30"/>
        </w:rPr>
      </w:pPr>
    </w:p>
    <w:p w:rsidR="00645170" w:rsidRDefault="00645170">
      <w:pPr>
        <w:pStyle w:val="BodyText"/>
        <w:spacing w:before="6"/>
        <w:ind w:left="0"/>
        <w:rPr>
          <w:b/>
          <w:sz w:val="25"/>
        </w:rPr>
      </w:pPr>
    </w:p>
    <w:p w:rsidR="00645170" w:rsidRDefault="00645170">
      <w:pPr>
        <w:pStyle w:val="BodyText"/>
        <w:spacing w:line="362" w:lineRule="auto"/>
        <w:ind w:right="520" w:firstLine="710"/>
        <w:jc w:val="both"/>
      </w:pPr>
      <w:r>
        <w:t>Для наиболее успешного применения миорелаксантов целесообразно использовать мониторинг нейромышечной проводимости.</w:t>
      </w:r>
    </w:p>
    <w:p w:rsidR="00645170" w:rsidRDefault="00645170">
      <w:pPr>
        <w:pStyle w:val="BodyText"/>
        <w:spacing w:line="360" w:lineRule="auto"/>
        <w:ind w:right="519" w:firstLine="710"/>
        <w:jc w:val="both"/>
      </w:pPr>
      <w:r>
        <w:t>Он может быть в варианте механомиографии, электромиографии (наиболее приемлема для научных целей), акцелеромиографии (наиболее удобен в клинической практике).</w:t>
      </w:r>
    </w:p>
    <w:p w:rsidR="00645170" w:rsidRDefault="00645170">
      <w:pPr>
        <w:spacing w:line="360" w:lineRule="auto"/>
        <w:jc w:val="both"/>
        <w:sectPr w:rsidR="00645170">
          <w:headerReference w:type="default" r:id="rId56"/>
          <w:footerReference w:type="default" r:id="rId57"/>
          <w:pgSz w:w="11910" w:h="16840"/>
          <w:pgMar w:top="1040" w:right="340" w:bottom="1140" w:left="1340" w:header="714" w:footer="959" w:gutter="0"/>
          <w:pgNumType w:start="26"/>
          <w:cols w:space="720"/>
        </w:sectPr>
      </w:pPr>
    </w:p>
    <w:p w:rsidR="00645170" w:rsidRDefault="00645170">
      <w:pPr>
        <w:pStyle w:val="BodyText"/>
        <w:spacing w:before="106"/>
        <w:ind w:left="1070"/>
      </w:pPr>
      <w:r>
        <w:t>При этом возможны следующие паттерны стимуляции (слайд):</w:t>
      </w:r>
    </w:p>
    <w:p w:rsidR="00645170" w:rsidRDefault="00645170">
      <w:pPr>
        <w:pStyle w:val="ListParagraph"/>
        <w:numPr>
          <w:ilvl w:val="0"/>
          <w:numId w:val="4"/>
        </w:numPr>
        <w:tabs>
          <w:tab w:val="left" w:pos="1431"/>
        </w:tabs>
        <w:spacing w:before="158"/>
        <w:ind w:left="1430" w:hanging="361"/>
        <w:rPr>
          <w:sz w:val="28"/>
        </w:rPr>
      </w:pPr>
      <w:r>
        <w:rPr>
          <w:sz w:val="28"/>
        </w:rPr>
        <w:t>стимуляция одним импульсом (0,1-1</w:t>
      </w:r>
      <w:r>
        <w:rPr>
          <w:spacing w:val="5"/>
          <w:sz w:val="28"/>
        </w:rPr>
        <w:t xml:space="preserve"> </w:t>
      </w:r>
      <w:r>
        <w:rPr>
          <w:sz w:val="28"/>
        </w:rPr>
        <w:t>Гц);</w:t>
      </w:r>
    </w:p>
    <w:p w:rsidR="00645170" w:rsidRDefault="00645170">
      <w:pPr>
        <w:pStyle w:val="ListParagraph"/>
        <w:numPr>
          <w:ilvl w:val="0"/>
          <w:numId w:val="4"/>
        </w:numPr>
        <w:tabs>
          <w:tab w:val="left" w:pos="1431"/>
        </w:tabs>
        <w:ind w:left="1430" w:hanging="361"/>
        <w:rPr>
          <w:sz w:val="28"/>
        </w:rPr>
      </w:pPr>
      <w:r>
        <w:rPr>
          <w:sz w:val="28"/>
        </w:rPr>
        <w:t xml:space="preserve">стимуляция серией из </w:t>
      </w:r>
      <w:r>
        <w:rPr>
          <w:spacing w:val="2"/>
          <w:sz w:val="28"/>
        </w:rPr>
        <w:t xml:space="preserve">4-х </w:t>
      </w:r>
      <w:r>
        <w:rPr>
          <w:sz w:val="28"/>
        </w:rPr>
        <w:t>импульсов (2 Гц с интервалом 15</w:t>
      </w:r>
      <w:r>
        <w:rPr>
          <w:spacing w:val="-6"/>
          <w:sz w:val="28"/>
        </w:rPr>
        <w:t xml:space="preserve"> </w:t>
      </w:r>
      <w:r>
        <w:rPr>
          <w:sz w:val="28"/>
        </w:rPr>
        <w:t>с);</w:t>
      </w:r>
    </w:p>
    <w:p w:rsidR="00645170" w:rsidRDefault="00645170">
      <w:pPr>
        <w:pStyle w:val="ListParagraph"/>
        <w:numPr>
          <w:ilvl w:val="0"/>
          <w:numId w:val="4"/>
        </w:numPr>
        <w:tabs>
          <w:tab w:val="left" w:pos="1431"/>
        </w:tabs>
        <w:spacing w:before="158"/>
        <w:ind w:left="1430" w:hanging="361"/>
        <w:rPr>
          <w:sz w:val="28"/>
        </w:rPr>
      </w:pPr>
      <w:r>
        <w:rPr>
          <w:sz w:val="28"/>
        </w:rPr>
        <w:t>тетаническая стимуляция (30,50 или</w:t>
      </w:r>
      <w:r>
        <w:rPr>
          <w:spacing w:val="10"/>
          <w:sz w:val="28"/>
        </w:rPr>
        <w:t xml:space="preserve"> </w:t>
      </w:r>
      <w:r>
        <w:rPr>
          <w:sz w:val="28"/>
        </w:rPr>
        <w:t>100Гц);</w:t>
      </w:r>
    </w:p>
    <w:p w:rsidR="00645170" w:rsidRDefault="00645170">
      <w:pPr>
        <w:pStyle w:val="ListParagraph"/>
        <w:numPr>
          <w:ilvl w:val="0"/>
          <w:numId w:val="4"/>
        </w:numPr>
        <w:tabs>
          <w:tab w:val="left" w:pos="1431"/>
        </w:tabs>
        <w:spacing w:line="362" w:lineRule="auto"/>
        <w:ind w:right="522" w:firstLine="710"/>
        <w:rPr>
          <w:sz w:val="28"/>
        </w:rPr>
      </w:pPr>
      <w:r>
        <w:rPr>
          <w:sz w:val="28"/>
        </w:rPr>
        <w:t>посттетаническая стимуляция (50 Гц в течение 5 с, пауза 3 с, затем импульсы с частотой 1 Гц с подсчетом ответов</w:t>
      </w:r>
      <w:r>
        <w:rPr>
          <w:spacing w:val="1"/>
          <w:sz w:val="28"/>
        </w:rPr>
        <w:t xml:space="preserve"> </w:t>
      </w:r>
      <w:r>
        <w:rPr>
          <w:sz w:val="28"/>
        </w:rPr>
        <w:t>мышцы);</w:t>
      </w:r>
    </w:p>
    <w:p w:rsidR="00645170" w:rsidRDefault="00645170">
      <w:pPr>
        <w:pStyle w:val="ListParagraph"/>
        <w:numPr>
          <w:ilvl w:val="0"/>
          <w:numId w:val="4"/>
        </w:numPr>
        <w:tabs>
          <w:tab w:val="left" w:pos="1431"/>
        </w:tabs>
        <w:spacing w:before="0" w:line="315" w:lineRule="exact"/>
        <w:ind w:left="1430" w:hanging="361"/>
        <w:rPr>
          <w:sz w:val="28"/>
        </w:rPr>
      </w:pPr>
      <w:r>
        <w:rPr>
          <w:sz w:val="28"/>
        </w:rPr>
        <w:t>стимуляция "2 вспышки" (2 "вспышки" тетанической стимуляции</w:t>
      </w:r>
      <w:r>
        <w:rPr>
          <w:spacing w:val="26"/>
          <w:sz w:val="28"/>
        </w:rPr>
        <w:t xml:space="preserve"> </w:t>
      </w:r>
      <w:r>
        <w:rPr>
          <w:sz w:val="28"/>
        </w:rPr>
        <w:t>50</w:t>
      </w:r>
    </w:p>
    <w:p w:rsidR="00645170" w:rsidRDefault="00645170">
      <w:pPr>
        <w:pStyle w:val="BodyText"/>
        <w:spacing w:before="163"/>
      </w:pPr>
      <w:r>
        <w:t>Гц).</w:t>
      </w:r>
    </w:p>
    <w:p w:rsidR="00645170" w:rsidRDefault="00645170">
      <w:pPr>
        <w:pStyle w:val="BodyText"/>
        <w:spacing w:before="158"/>
        <w:ind w:left="1070"/>
      </w:pPr>
      <w:r>
        <w:t>Для стимуляции используются наиболее часто локтевой нерв (мышца,</w:t>
      </w:r>
    </w:p>
    <w:p w:rsidR="00645170" w:rsidRDefault="00645170">
      <w:pPr>
        <w:pStyle w:val="BodyText"/>
        <w:spacing w:before="163"/>
        <w:jc w:val="both"/>
      </w:pPr>
      <w:r>
        <w:t>отводящая большой палец) или лицевой нерв (круговая мышца глаза).</w:t>
      </w:r>
    </w:p>
    <w:p w:rsidR="00645170" w:rsidRDefault="00645170">
      <w:pPr>
        <w:pStyle w:val="BodyText"/>
        <w:spacing w:before="163" w:line="360" w:lineRule="auto"/>
        <w:ind w:right="517" w:firstLine="710"/>
        <w:jc w:val="both"/>
      </w:pPr>
      <w:r>
        <w:t>Нейромышечный мониторинг позволяет оценивать время интубации трахеи (ориентировочно), развитие максимального блока, контролировать его глубину по ходу анестезии (при проведении интенсивной терапии), определять возможность экстубации (наряду с клиническими признаками).</w:t>
      </w:r>
    </w:p>
    <w:p w:rsidR="00645170" w:rsidRDefault="00645170">
      <w:pPr>
        <w:pStyle w:val="BodyText"/>
        <w:spacing w:before="5"/>
        <w:ind w:left="0"/>
        <w:rPr>
          <w:sz w:val="42"/>
        </w:rPr>
      </w:pPr>
    </w:p>
    <w:p w:rsidR="00645170" w:rsidRDefault="00645170">
      <w:pPr>
        <w:pStyle w:val="Heading1"/>
        <w:numPr>
          <w:ilvl w:val="0"/>
          <w:numId w:val="5"/>
        </w:numPr>
        <w:tabs>
          <w:tab w:val="left" w:pos="2218"/>
        </w:tabs>
        <w:ind w:left="2217"/>
      </w:pPr>
      <w:bookmarkStart w:id="22" w:name="8._Сущность_декураризации_и_методика_ее_"/>
      <w:bookmarkEnd w:id="22"/>
      <w:r>
        <w:t>Сущность декураризации и методика ее</w:t>
      </w:r>
      <w:r>
        <w:rPr>
          <w:spacing w:val="-8"/>
        </w:rPr>
        <w:t xml:space="preserve"> </w:t>
      </w:r>
      <w:r>
        <w:t>проведения</w:t>
      </w:r>
    </w:p>
    <w:p w:rsidR="00645170" w:rsidRDefault="00645170">
      <w:pPr>
        <w:pStyle w:val="BodyText"/>
        <w:ind w:left="0"/>
        <w:rPr>
          <w:b/>
          <w:sz w:val="30"/>
        </w:rPr>
      </w:pPr>
    </w:p>
    <w:p w:rsidR="00645170" w:rsidRDefault="00645170">
      <w:pPr>
        <w:pStyle w:val="BodyText"/>
        <w:spacing w:before="6"/>
        <w:ind w:left="0"/>
        <w:rPr>
          <w:b/>
          <w:sz w:val="25"/>
        </w:rPr>
      </w:pPr>
    </w:p>
    <w:p w:rsidR="00645170" w:rsidRDefault="00645170">
      <w:pPr>
        <w:pStyle w:val="BodyText"/>
        <w:spacing w:line="360" w:lineRule="auto"/>
        <w:ind w:right="523" w:firstLine="710"/>
        <w:jc w:val="both"/>
      </w:pPr>
      <w:r>
        <w:t>Зачастую возникает необходимость ускорить восстановление нейромышечной проводимости по окончании общей анестезии. Искусственное прекращение действия недеполяризующих миорелаксантов называется декураризацией.</w:t>
      </w:r>
    </w:p>
    <w:p w:rsidR="00645170" w:rsidRDefault="00645170">
      <w:pPr>
        <w:pStyle w:val="BodyText"/>
        <w:spacing w:line="360" w:lineRule="auto"/>
        <w:ind w:right="516" w:firstLine="710"/>
        <w:jc w:val="both"/>
      </w:pPr>
      <w:r>
        <w:t>Ее рекомендуется проводить при наличии хотя бы минимально восстановленного мышечного тонуса. При наличии монитора нейромышечной проводимости это соответствует 10% и более от ее исходного уровня. В противном случае риск рекураризации (то есть возобновления действия миорелаксанта высок) чрезвычайно высок.</w:t>
      </w:r>
    </w:p>
    <w:p w:rsidR="00645170" w:rsidRDefault="00645170">
      <w:pPr>
        <w:pStyle w:val="BodyText"/>
        <w:spacing w:before="3" w:line="360" w:lineRule="auto"/>
        <w:ind w:right="511" w:firstLine="710"/>
        <w:jc w:val="both"/>
      </w:pPr>
      <w:r>
        <w:t>Для декураризации используются ингибиторы ацетилхолинэстеразы, приводящие к накоплению в синапсе ацетилхолина, его конкуренции с недеполяризующим релаксантом и облегчению нейромышечной</w:t>
      </w:r>
    </w:p>
    <w:p w:rsidR="00645170" w:rsidRDefault="00645170">
      <w:pPr>
        <w:spacing w:line="360" w:lineRule="auto"/>
        <w:jc w:val="both"/>
        <w:sectPr w:rsidR="00645170">
          <w:headerReference w:type="default" r:id="rId58"/>
          <w:footerReference w:type="default" r:id="rId59"/>
          <w:pgSz w:w="11910" w:h="16840"/>
          <w:pgMar w:top="1040" w:right="340" w:bottom="1140" w:left="1340" w:header="714" w:footer="959" w:gutter="0"/>
          <w:pgNumType w:start="27"/>
          <w:cols w:space="720"/>
        </w:sectPr>
      </w:pPr>
    </w:p>
    <w:p w:rsidR="00645170" w:rsidRDefault="00645170">
      <w:pPr>
        <w:pStyle w:val="BodyText"/>
        <w:spacing w:before="106" w:line="357" w:lineRule="auto"/>
        <w:ind w:right="524"/>
        <w:jc w:val="both"/>
      </w:pPr>
      <w:r>
        <w:t>проводимости. Кроме того, неостигмин и его аналоги способствуют облегчению высвобождения ацетилхолина нервными окончаниями.</w:t>
      </w:r>
    </w:p>
    <w:p w:rsidR="00645170" w:rsidRDefault="00645170">
      <w:pPr>
        <w:pStyle w:val="BodyText"/>
        <w:spacing w:before="5" w:line="360" w:lineRule="auto"/>
        <w:ind w:right="515" w:firstLine="710"/>
        <w:jc w:val="both"/>
      </w:pPr>
      <w:r>
        <w:t>Механизм действия ингибиторов ацетилхолинэстеразы сводится к следующему. Препарат связывается с активным центром фермента, блокирует его, не давая возможность реагировать с ацетилхолином. Причем сам антихолинэстеразный препарат при этом подвергается гидролизу, аналогичному происходящему с ацетилхолином. Только если при взаимодействии с ферментом самого ацетилхолина гидролиз завершается за период около 150 мкс, то реакция с эдрофониумом продолжается от 2 до 10 мин, а неостигмин и аналоги (за счет двухэтапности процесса) находятся в ковалентной связи с ферментом от 30 мин до 6</w:t>
      </w:r>
      <w:r>
        <w:rPr>
          <w:spacing w:val="13"/>
        </w:rPr>
        <w:t xml:space="preserve"> </w:t>
      </w:r>
      <w:r>
        <w:t>ч.</w:t>
      </w:r>
    </w:p>
    <w:p w:rsidR="00645170" w:rsidRDefault="00645170">
      <w:pPr>
        <w:pStyle w:val="BodyText"/>
        <w:spacing w:line="360" w:lineRule="auto"/>
        <w:ind w:right="518" w:firstLine="710"/>
        <w:jc w:val="both"/>
      </w:pPr>
      <w:r>
        <w:t>Учитывая развивающийся при введении антихолинэстеразных препаратов выраженный м-холиномиметический эффект (брадикардия, саливация, бронхорея, ларингоспазм), необходимо предварять их введение инъекцией атропина (порядка 0,01 мг/кг).</w:t>
      </w:r>
    </w:p>
    <w:p w:rsidR="00645170" w:rsidRDefault="00645170">
      <w:pPr>
        <w:pStyle w:val="BodyText"/>
        <w:spacing w:before="2" w:line="360" w:lineRule="auto"/>
        <w:ind w:right="514" w:firstLine="710"/>
        <w:jc w:val="both"/>
      </w:pPr>
      <w:r>
        <w:t>Неостигмин и его аналоги (прозерин) вводится в дозе 40-80 мкг/кг (но не более 5 мг) под контролем частоты сердечных сокращений. При необходимости повторяют инъекцию атропина. При недостаточном эффекте допускается повторное введение анихолинэстеразных препаратов (суммарная доза неостигмина, тем не менее, не должна превышать 5 мг, т.е. 10мл. 0,05% р-ра). Эффект развивается через 5-10 мин после инъекции.</w:t>
      </w:r>
    </w:p>
    <w:p w:rsidR="00645170" w:rsidRDefault="00645170">
      <w:pPr>
        <w:pStyle w:val="BodyText"/>
        <w:spacing w:line="362" w:lineRule="auto"/>
        <w:ind w:right="513" w:firstLine="710"/>
        <w:jc w:val="both"/>
      </w:pPr>
      <w:r>
        <w:t>Эдрофоний вводится в дозе 0,5-1 мг/кг. При этом его эффект развивается быстрее – спустя 1-2 мин, но и продолжается значительно меньше, чем у неостигмина.</w:t>
      </w:r>
    </w:p>
    <w:p w:rsidR="00645170" w:rsidRDefault="00645170">
      <w:pPr>
        <w:pStyle w:val="BodyText"/>
        <w:spacing w:before="7"/>
        <w:ind w:left="0"/>
        <w:rPr>
          <w:sz w:val="41"/>
        </w:rPr>
      </w:pPr>
    </w:p>
    <w:p w:rsidR="00645170" w:rsidRDefault="00645170">
      <w:pPr>
        <w:pStyle w:val="Heading1"/>
        <w:numPr>
          <w:ilvl w:val="0"/>
          <w:numId w:val="5"/>
        </w:numPr>
        <w:tabs>
          <w:tab w:val="left" w:pos="1378"/>
        </w:tabs>
        <w:spacing w:line="362" w:lineRule="auto"/>
        <w:ind w:left="3260" w:right="546" w:hanging="2166"/>
      </w:pPr>
      <w:bookmarkStart w:id="23" w:name="9._Осложнения,_связанные_с_применением_м"/>
      <w:bookmarkEnd w:id="23"/>
      <w:r>
        <w:t>Осложнения, связанные с применением мышечных</w:t>
      </w:r>
      <w:r>
        <w:rPr>
          <w:spacing w:val="-34"/>
        </w:rPr>
        <w:t xml:space="preserve"> </w:t>
      </w:r>
      <w:r>
        <w:t>релаксантов, их профилактика и</w:t>
      </w:r>
      <w:r>
        <w:rPr>
          <w:spacing w:val="-5"/>
        </w:rPr>
        <w:t xml:space="preserve"> </w:t>
      </w:r>
      <w:r>
        <w:t>лечение</w:t>
      </w:r>
    </w:p>
    <w:p w:rsidR="00645170" w:rsidRDefault="00645170">
      <w:pPr>
        <w:pStyle w:val="BodyText"/>
        <w:spacing w:before="2"/>
        <w:ind w:left="0"/>
        <w:rPr>
          <w:b/>
          <w:sz w:val="41"/>
        </w:rPr>
      </w:pPr>
    </w:p>
    <w:p w:rsidR="00645170" w:rsidRDefault="00645170">
      <w:pPr>
        <w:pStyle w:val="BodyText"/>
        <w:spacing w:line="357" w:lineRule="auto"/>
        <w:ind w:right="520" w:firstLine="710"/>
        <w:jc w:val="both"/>
      </w:pPr>
      <w:r>
        <w:t>Как и при использовании любых других препаратов при применении миорелаксантов возможны различные осложнения. Большинство из них</w:t>
      </w:r>
    </w:p>
    <w:p w:rsidR="00645170" w:rsidRDefault="00645170">
      <w:pPr>
        <w:spacing w:line="357" w:lineRule="auto"/>
        <w:jc w:val="both"/>
        <w:sectPr w:rsidR="00645170">
          <w:headerReference w:type="default" r:id="rId60"/>
          <w:footerReference w:type="default" r:id="rId61"/>
          <w:pgSz w:w="11910" w:h="16840"/>
          <w:pgMar w:top="1040" w:right="340" w:bottom="1140" w:left="1340" w:header="714" w:footer="959" w:gutter="0"/>
          <w:pgNumType w:start="28"/>
          <w:cols w:space="720"/>
        </w:sectPr>
      </w:pPr>
    </w:p>
    <w:p w:rsidR="00645170" w:rsidRDefault="00645170">
      <w:pPr>
        <w:pStyle w:val="BodyText"/>
        <w:spacing w:before="106" w:line="357" w:lineRule="auto"/>
        <w:ind w:right="520"/>
        <w:jc w:val="both"/>
      </w:pPr>
      <w:r>
        <w:t>связаны с основным и побочными действиями самих релаксантов, поэтому частота их невелика при грамотном использовании.</w:t>
      </w:r>
    </w:p>
    <w:p w:rsidR="00645170" w:rsidRDefault="00645170">
      <w:pPr>
        <w:pStyle w:val="BodyText"/>
        <w:spacing w:before="5" w:line="360" w:lineRule="auto"/>
        <w:ind w:right="523" w:firstLine="710"/>
        <w:jc w:val="both"/>
      </w:pPr>
      <w:r>
        <w:t>Естественно, возможны аллергические реакции вплоть до анафилактических. Диагностика и лечение их проводится по общепринятым правилам, поэтому позвольте на них не останавливаться.</w:t>
      </w:r>
    </w:p>
    <w:p w:rsidR="00645170" w:rsidRDefault="00645170">
      <w:pPr>
        <w:pStyle w:val="BodyText"/>
        <w:tabs>
          <w:tab w:val="left" w:pos="1222"/>
          <w:tab w:val="left" w:pos="1328"/>
          <w:tab w:val="left" w:pos="2205"/>
          <w:tab w:val="left" w:pos="2436"/>
          <w:tab w:val="left" w:pos="2632"/>
          <w:tab w:val="left" w:pos="3313"/>
          <w:tab w:val="left" w:pos="3941"/>
          <w:tab w:val="left" w:pos="4383"/>
          <w:tab w:val="left" w:pos="4651"/>
          <w:tab w:val="left" w:pos="4996"/>
          <w:tab w:val="left" w:pos="5029"/>
          <w:tab w:val="left" w:pos="5850"/>
          <w:tab w:val="left" w:pos="6075"/>
          <w:tab w:val="left" w:pos="6339"/>
          <w:tab w:val="left" w:pos="6563"/>
          <w:tab w:val="left" w:pos="6666"/>
          <w:tab w:val="left" w:pos="6885"/>
          <w:tab w:val="left" w:pos="7359"/>
          <w:tab w:val="left" w:pos="7532"/>
          <w:tab w:val="left" w:pos="7629"/>
          <w:tab w:val="left" w:pos="8052"/>
          <w:tab w:val="left" w:pos="8261"/>
          <w:tab w:val="left" w:pos="8380"/>
          <w:tab w:val="left" w:pos="8941"/>
        </w:tabs>
        <w:spacing w:before="2" w:line="360" w:lineRule="auto"/>
        <w:ind w:right="518" w:firstLine="710"/>
        <w:jc w:val="right"/>
      </w:pPr>
      <w:r>
        <w:t>Наиболее</w:t>
      </w:r>
      <w:r>
        <w:tab/>
        <w:t>часто</w:t>
      </w:r>
      <w:r>
        <w:tab/>
        <w:t>встречаются</w:t>
      </w:r>
      <w:r>
        <w:tab/>
      </w:r>
      <w:r>
        <w:tab/>
      </w:r>
      <w:r>
        <w:rPr>
          <w:w w:val="95"/>
        </w:rPr>
        <w:t>мышечные</w:t>
      </w:r>
      <w:r>
        <w:rPr>
          <w:w w:val="95"/>
        </w:rPr>
        <w:tab/>
      </w:r>
      <w:r>
        <w:rPr>
          <w:w w:val="95"/>
        </w:rPr>
        <w:tab/>
      </w:r>
      <w:r>
        <w:t>боли</w:t>
      </w:r>
      <w:r>
        <w:tab/>
        <w:t>после</w:t>
      </w:r>
      <w:r>
        <w:tab/>
      </w:r>
      <w:r>
        <w:tab/>
      </w:r>
      <w:r>
        <w:rPr>
          <w:spacing w:val="-1"/>
          <w:w w:val="95"/>
        </w:rPr>
        <w:t xml:space="preserve">применения </w:t>
      </w:r>
      <w:r>
        <w:t>сукцинилхолина</w:t>
      </w:r>
      <w:r>
        <w:rPr>
          <w:spacing w:val="27"/>
        </w:rPr>
        <w:t xml:space="preserve"> </w:t>
      </w:r>
      <w:r>
        <w:t>(ранее</w:t>
      </w:r>
      <w:r>
        <w:rPr>
          <w:spacing w:val="27"/>
        </w:rPr>
        <w:t xml:space="preserve"> </w:t>
      </w:r>
      <w:r>
        <w:t>уже</w:t>
      </w:r>
      <w:r>
        <w:rPr>
          <w:spacing w:val="27"/>
        </w:rPr>
        <w:t xml:space="preserve"> </w:t>
      </w:r>
      <w:r>
        <w:t>говорилось,</w:t>
      </w:r>
      <w:r>
        <w:rPr>
          <w:spacing w:val="28"/>
        </w:rPr>
        <w:t xml:space="preserve"> </w:t>
      </w:r>
      <w:r>
        <w:t>что</w:t>
      </w:r>
      <w:r>
        <w:rPr>
          <w:spacing w:val="26"/>
        </w:rPr>
        <w:t xml:space="preserve"> </w:t>
      </w:r>
      <w:r>
        <w:t>их</w:t>
      </w:r>
      <w:r>
        <w:rPr>
          <w:spacing w:val="21"/>
        </w:rPr>
        <w:t xml:space="preserve"> </w:t>
      </w:r>
      <w:r>
        <w:t>отмечают</w:t>
      </w:r>
      <w:r>
        <w:rPr>
          <w:spacing w:val="24"/>
        </w:rPr>
        <w:t xml:space="preserve"> </w:t>
      </w:r>
      <w:r>
        <w:t>до</w:t>
      </w:r>
      <w:r>
        <w:rPr>
          <w:spacing w:val="26"/>
        </w:rPr>
        <w:t xml:space="preserve"> </w:t>
      </w:r>
      <w:r>
        <w:t>90%</w:t>
      </w:r>
      <w:r>
        <w:rPr>
          <w:spacing w:val="25"/>
        </w:rPr>
        <w:t xml:space="preserve"> </w:t>
      </w:r>
      <w:r>
        <w:t>больных).</w:t>
      </w:r>
      <w:r>
        <w:rPr>
          <w:w w:val="99"/>
        </w:rPr>
        <w:t xml:space="preserve"> </w:t>
      </w:r>
      <w:r>
        <w:t>Профилактика</w:t>
      </w:r>
      <w:r>
        <w:rPr>
          <w:spacing w:val="47"/>
        </w:rPr>
        <w:t xml:space="preserve"> </w:t>
      </w:r>
      <w:r>
        <w:t>заключается</w:t>
      </w:r>
      <w:r>
        <w:rPr>
          <w:spacing w:val="47"/>
        </w:rPr>
        <w:t xml:space="preserve"> </w:t>
      </w:r>
      <w:r>
        <w:t>в</w:t>
      </w:r>
      <w:r>
        <w:rPr>
          <w:spacing w:val="45"/>
        </w:rPr>
        <w:t xml:space="preserve"> </w:t>
      </w:r>
      <w:r>
        <w:t>проведении</w:t>
      </w:r>
      <w:r>
        <w:rPr>
          <w:spacing w:val="47"/>
        </w:rPr>
        <w:t xml:space="preserve"> </w:t>
      </w:r>
      <w:r>
        <w:t>прекураризации,</w:t>
      </w:r>
      <w:r>
        <w:rPr>
          <w:spacing w:val="48"/>
        </w:rPr>
        <w:t xml:space="preserve"> </w:t>
      </w:r>
      <w:r>
        <w:t>т.е.</w:t>
      </w:r>
      <w:r>
        <w:rPr>
          <w:spacing w:val="48"/>
        </w:rPr>
        <w:t xml:space="preserve"> </w:t>
      </w:r>
      <w:r>
        <w:t>введении</w:t>
      </w:r>
      <w:r>
        <w:rPr>
          <w:spacing w:val="47"/>
        </w:rPr>
        <w:t xml:space="preserve"> </w:t>
      </w:r>
      <w:r>
        <w:t>за</w:t>
      </w:r>
      <w:r>
        <w:rPr>
          <w:w w:val="99"/>
        </w:rPr>
        <w:t xml:space="preserve"> </w:t>
      </w:r>
      <w:r>
        <w:t>несколько минут до инъекции сукцинилхолина приблизительно</w:t>
      </w:r>
      <w:r>
        <w:rPr>
          <w:spacing w:val="3"/>
        </w:rPr>
        <w:t xml:space="preserve"> </w:t>
      </w:r>
      <w:r>
        <w:t>¼</w:t>
      </w:r>
      <w:r>
        <w:rPr>
          <w:spacing w:val="10"/>
        </w:rPr>
        <w:t xml:space="preserve"> </w:t>
      </w:r>
      <w:r>
        <w:t>расчетной</w:t>
      </w:r>
      <w:r>
        <w:rPr>
          <w:spacing w:val="-1"/>
          <w:w w:val="99"/>
        </w:rPr>
        <w:t xml:space="preserve"> </w:t>
      </w:r>
      <w:r>
        <w:t>дозы</w:t>
      </w:r>
      <w:r>
        <w:tab/>
        <w:t>недеполяризующего</w:t>
      </w:r>
      <w:r>
        <w:tab/>
        <w:t>миорелаксанта,</w:t>
      </w:r>
      <w:r>
        <w:tab/>
      </w:r>
      <w:r>
        <w:tab/>
        <w:t>хотя</w:t>
      </w:r>
      <w:r>
        <w:tab/>
      </w:r>
      <w:r>
        <w:tab/>
        <w:t>эта</w:t>
      </w:r>
      <w:r>
        <w:tab/>
      </w:r>
      <w:r>
        <w:tab/>
        <w:t>мера</w:t>
      </w:r>
      <w:r>
        <w:tab/>
      </w:r>
      <w:r>
        <w:tab/>
        <w:t>не</w:t>
      </w:r>
      <w:r>
        <w:tab/>
      </w:r>
      <w:r>
        <w:rPr>
          <w:w w:val="95"/>
        </w:rPr>
        <w:t xml:space="preserve">всегда </w:t>
      </w:r>
      <w:r>
        <w:t>эффективна.</w:t>
      </w:r>
      <w:r>
        <w:tab/>
        <w:t>Альтернативой</w:t>
      </w:r>
      <w:r>
        <w:tab/>
        <w:t>прекураризации</w:t>
      </w:r>
      <w:r>
        <w:tab/>
      </w:r>
      <w:r>
        <w:tab/>
      </w:r>
      <w:r>
        <w:tab/>
        <w:t>является</w:t>
      </w:r>
      <w:r>
        <w:tab/>
      </w:r>
      <w:r>
        <w:rPr>
          <w:w w:val="95"/>
        </w:rPr>
        <w:t xml:space="preserve">внутривенное </w:t>
      </w:r>
      <w:r>
        <w:t>введение также за несколько минут до сукцинилхолина 60-120</w:t>
      </w:r>
      <w:r>
        <w:rPr>
          <w:spacing w:val="-27"/>
        </w:rPr>
        <w:t xml:space="preserve"> </w:t>
      </w:r>
      <w:r>
        <w:t>мг</w:t>
      </w:r>
      <w:r>
        <w:rPr>
          <w:spacing w:val="-3"/>
        </w:rPr>
        <w:t xml:space="preserve"> </w:t>
      </w:r>
      <w:r>
        <w:t>лидокаина.</w:t>
      </w:r>
      <w:r>
        <w:rPr>
          <w:w w:val="99"/>
        </w:rPr>
        <w:t xml:space="preserve"> </w:t>
      </w:r>
      <w:r>
        <w:t>Достаточно часто наблюдаются эффекты, связанные</w:t>
      </w:r>
      <w:r>
        <w:rPr>
          <w:spacing w:val="-15"/>
        </w:rPr>
        <w:t xml:space="preserve"> </w:t>
      </w:r>
      <w:r>
        <w:t>с</w:t>
      </w:r>
      <w:r>
        <w:rPr>
          <w:spacing w:val="-7"/>
        </w:rPr>
        <w:t xml:space="preserve"> </w:t>
      </w:r>
      <w:r>
        <w:t>высвобождением</w:t>
      </w:r>
      <w:r>
        <w:rPr>
          <w:w w:val="99"/>
        </w:rPr>
        <w:t xml:space="preserve"> </w:t>
      </w:r>
      <w:r>
        <w:t>гистамина и ганглионарной блокадой в виде нарушений ритма</w:t>
      </w:r>
      <w:r>
        <w:rPr>
          <w:spacing w:val="63"/>
        </w:rPr>
        <w:t xml:space="preserve"> </w:t>
      </w:r>
      <w:r>
        <w:t>сердца</w:t>
      </w:r>
      <w:r>
        <w:rPr>
          <w:spacing w:val="9"/>
        </w:rPr>
        <w:t xml:space="preserve"> </w:t>
      </w:r>
      <w:r>
        <w:t>и</w:t>
      </w:r>
      <w:r>
        <w:rPr>
          <w:w w:val="99"/>
        </w:rPr>
        <w:t xml:space="preserve"> </w:t>
      </w:r>
      <w:r>
        <w:t>артериальной гипотонией. К резкой брадикардии и</w:t>
      </w:r>
      <w:r>
        <w:rPr>
          <w:spacing w:val="61"/>
        </w:rPr>
        <w:t xml:space="preserve"> </w:t>
      </w:r>
      <w:r>
        <w:t>даже остановке</w:t>
      </w:r>
      <w:r>
        <w:rPr>
          <w:spacing w:val="49"/>
        </w:rPr>
        <w:t xml:space="preserve"> </w:t>
      </w:r>
      <w:r>
        <w:t>сердца</w:t>
      </w:r>
      <w:r>
        <w:rPr>
          <w:spacing w:val="-1"/>
          <w:w w:val="99"/>
        </w:rPr>
        <w:t xml:space="preserve"> </w:t>
      </w:r>
      <w:r>
        <w:t>может</w:t>
      </w:r>
      <w:r>
        <w:tab/>
      </w:r>
      <w:r>
        <w:tab/>
        <w:t>привести</w:t>
      </w:r>
      <w:r>
        <w:tab/>
      </w:r>
      <w:r>
        <w:tab/>
        <w:t>гиперкалиемия</w:t>
      </w:r>
      <w:r>
        <w:tab/>
        <w:t>в</w:t>
      </w:r>
      <w:r>
        <w:tab/>
        <w:t>ответ</w:t>
      </w:r>
      <w:r>
        <w:tab/>
        <w:t>на</w:t>
      </w:r>
      <w:r>
        <w:tab/>
        <w:t>введение</w:t>
      </w:r>
      <w:r>
        <w:tab/>
      </w:r>
      <w:r>
        <w:tab/>
      </w:r>
      <w:r>
        <w:rPr>
          <w:w w:val="95"/>
        </w:rPr>
        <w:t xml:space="preserve">деполяризующих </w:t>
      </w:r>
      <w:r>
        <w:t>миорелаксантов при тяжелой травме, ожогах и в других ситуациях,</w:t>
      </w:r>
      <w:r>
        <w:rPr>
          <w:spacing w:val="60"/>
        </w:rPr>
        <w:t xml:space="preserve"> </w:t>
      </w:r>
      <w:r>
        <w:t>о</w:t>
      </w:r>
    </w:p>
    <w:p w:rsidR="00645170" w:rsidRDefault="00645170">
      <w:pPr>
        <w:pStyle w:val="BodyText"/>
        <w:jc w:val="both"/>
      </w:pPr>
      <w:r>
        <w:t>которых говорилось выше.</w:t>
      </w:r>
    </w:p>
    <w:p w:rsidR="00645170" w:rsidRDefault="00645170">
      <w:pPr>
        <w:pStyle w:val="BodyText"/>
        <w:spacing w:before="162" w:line="360" w:lineRule="auto"/>
        <w:ind w:right="513" w:firstLine="710"/>
        <w:jc w:val="both"/>
      </w:pPr>
      <w:r>
        <w:t>Длительное остаточное действие миорелаксантов при гиповолемии, нарушениях кровообращения, электролитных расстройствах и ацидозе может приводить к продленному апноэ. Если использовалась декураризация, то при прекращении действия антихолинэстеразных средств возможно возобновление достаточно выраженного нейромышечного блока, называемое рекураризацией. Профилактике данного осложнения способствует внимательный контроль за больным, применение декураризации только после появления отчетливых признаков восстановления мышечного тонуса (желательно использовать нейромышечный мониторинг). Если же рекураризация все же развилась, необходимо, либо выполнить повторную декураризацию, либо произвести реинтубацию трахеи и перевести больного на вспомогательную или искусственную вентиляцию</w:t>
      </w:r>
      <w:r>
        <w:rPr>
          <w:spacing w:val="8"/>
        </w:rPr>
        <w:t xml:space="preserve"> </w:t>
      </w:r>
      <w:r>
        <w:t>легких.</w:t>
      </w:r>
    </w:p>
    <w:p w:rsidR="00645170" w:rsidRDefault="00645170">
      <w:pPr>
        <w:spacing w:line="360" w:lineRule="auto"/>
        <w:jc w:val="both"/>
        <w:sectPr w:rsidR="00645170">
          <w:headerReference w:type="default" r:id="rId62"/>
          <w:footerReference w:type="default" r:id="rId63"/>
          <w:pgSz w:w="11910" w:h="16840"/>
          <w:pgMar w:top="1040" w:right="340" w:bottom="1140" w:left="1340" w:header="714" w:footer="959" w:gutter="0"/>
          <w:pgNumType w:start="29"/>
          <w:cols w:space="720"/>
        </w:sectPr>
      </w:pPr>
    </w:p>
    <w:p w:rsidR="00645170" w:rsidRDefault="00645170">
      <w:pPr>
        <w:pStyle w:val="BodyText"/>
        <w:spacing w:before="106" w:line="360" w:lineRule="auto"/>
        <w:ind w:right="511" w:firstLine="710"/>
        <w:jc w:val="both"/>
      </w:pPr>
      <w:r>
        <w:t>Как уже указывалось ранее, при использовании миорелаксантов, особенно у больных с "полным" желудком, возможны регургитация и аспирация желудочного содержимого в трахеобронхиальное дерево. С целью профилактики рекомендуется опорожнить желудок с помощью зонда, выполнить прием Селлика, обеспечить возвышенное положение головы и туловища. Кроме того, рекомендуют в премедикации использовать препараты, уменьшающие желудочную секрецию (например, блокаторы H</w:t>
      </w:r>
      <w:r>
        <w:rPr>
          <w:vertAlign w:val="subscript"/>
        </w:rPr>
        <w:t>2</w:t>
      </w:r>
      <w:r>
        <w:t>- гистаминовых рецепторов).</w:t>
      </w:r>
    </w:p>
    <w:p w:rsidR="00645170" w:rsidRDefault="00645170">
      <w:pPr>
        <w:pStyle w:val="BodyText"/>
        <w:spacing w:line="362" w:lineRule="auto"/>
        <w:ind w:right="518" w:firstLine="710"/>
        <w:jc w:val="both"/>
      </w:pPr>
      <w:r>
        <w:t>Однако более подробно хотелось бы остановиться на синдроме злокачественной гипертермии, редком, но чрезвычайно опасном осложнении с высокой летальностью.</w:t>
      </w:r>
    </w:p>
    <w:p w:rsidR="00645170" w:rsidRDefault="00645170">
      <w:pPr>
        <w:pStyle w:val="BodyText"/>
        <w:spacing w:line="360" w:lineRule="auto"/>
        <w:ind w:right="515" w:firstLine="710"/>
        <w:jc w:val="both"/>
      </w:pPr>
      <w:r>
        <w:t>Злокачественная гипертермия – самое опасное осложнение, встречаемое при использовании сукцинилхолина. Оно проявляется в виде гиперметаболического ответа на пусковое воздействие некоторых лекарственных средств или</w:t>
      </w:r>
      <w:r>
        <w:rPr>
          <w:spacing w:val="-3"/>
        </w:rPr>
        <w:t xml:space="preserve"> </w:t>
      </w:r>
      <w:r>
        <w:t>стресса.</w:t>
      </w:r>
    </w:p>
    <w:p w:rsidR="00645170" w:rsidRDefault="00645170">
      <w:pPr>
        <w:pStyle w:val="BodyText"/>
        <w:spacing w:line="360" w:lineRule="auto"/>
        <w:ind w:right="514" w:firstLine="710"/>
        <w:jc w:val="both"/>
      </w:pPr>
      <w:r>
        <w:t xml:space="preserve">Фатальные пирогенные реакции во время анестезии не находили объяснения, пока в 1963 г. в Австралии М. Денборо </w:t>
      </w:r>
      <w:r>
        <w:rPr>
          <w:spacing w:val="3"/>
        </w:rPr>
        <w:t xml:space="preserve">(M. </w:t>
      </w:r>
      <w:r>
        <w:t>Denborough) не описал синдром злокачественной гипертермии. Это осложнение встречается достаточно редко (по разным данным, порядка 1:100000 анестезий). Однако в некоторых местностях (например, Канада) бывает значительно чаще (до 1:1500) в связи с семейной природой состояния. Наиболее часто встречается у лиц от 3 до 30 лет. У мужчин распространено более часто, учитывая их большую мышечную массу. Летальность превышает 70%, однако может быть значительно снижена при своевременной диагностике. Специфическое лечение дантроленом с 1979 г. позволило повысить выживаемость до</w:t>
      </w:r>
      <w:r>
        <w:rPr>
          <w:spacing w:val="-14"/>
        </w:rPr>
        <w:t xml:space="preserve"> </w:t>
      </w:r>
      <w:r>
        <w:t>90%.</w:t>
      </w:r>
    </w:p>
    <w:p w:rsidR="00645170" w:rsidRDefault="00645170">
      <w:pPr>
        <w:pStyle w:val="BodyText"/>
        <w:spacing w:line="360" w:lineRule="auto"/>
        <w:ind w:right="508" w:firstLine="710"/>
        <w:jc w:val="both"/>
      </w:pPr>
      <w:r>
        <w:t>Синдром может развиться как во время вводной анестезии, так и спустя несколько часов после ее окончания. Самые частые триггеры – сукцинилхолин и галотан, хотя ими могут быть и другие препараты (калипсол, лидокаин и проч.). Злокачественная гипертермия может усиливаться адреналином, сердечными гликозидами, солями кальция,</w:t>
      </w:r>
    </w:p>
    <w:p w:rsidR="00645170" w:rsidRDefault="00645170">
      <w:pPr>
        <w:spacing w:line="360" w:lineRule="auto"/>
        <w:jc w:val="both"/>
        <w:sectPr w:rsidR="00645170">
          <w:headerReference w:type="default" r:id="rId64"/>
          <w:footerReference w:type="default" r:id="rId65"/>
          <w:pgSz w:w="11910" w:h="16840"/>
          <w:pgMar w:top="1040" w:right="340" w:bottom="1140" w:left="1340" w:header="714" w:footer="959" w:gutter="0"/>
          <w:pgNumType w:start="30"/>
          <w:cols w:space="720"/>
        </w:sectPr>
      </w:pPr>
    </w:p>
    <w:p w:rsidR="00645170" w:rsidRDefault="00645170">
      <w:pPr>
        <w:pStyle w:val="BodyText"/>
        <w:spacing w:before="106" w:line="360" w:lineRule="auto"/>
        <w:ind w:right="513"/>
        <w:jc w:val="both"/>
      </w:pPr>
      <w:r>
        <w:t>дериватами теофиллина. Она может возникать и без применения каких-либо лекарств, в ответ на эмоциональную реакцию (предполагается участие эндогенного норадреналина).</w:t>
      </w:r>
    </w:p>
    <w:p w:rsidR="00645170" w:rsidRDefault="00645170">
      <w:pPr>
        <w:pStyle w:val="BodyText"/>
        <w:spacing w:line="360" w:lineRule="auto"/>
        <w:ind w:right="515" w:firstLine="710"/>
        <w:jc w:val="both"/>
      </w:pPr>
      <w:r>
        <w:t>Злокачественная гипертермия – функциональные нарушения обмена кальция при патологических отклонения в физиологии мышц, хотя повреждаются при этом и другие структуры, связанные с кальцием (миокард, нервы, тромбоциты, лимфоциты и др.).</w:t>
      </w:r>
    </w:p>
    <w:p w:rsidR="00645170" w:rsidRDefault="00645170">
      <w:pPr>
        <w:pStyle w:val="BodyText"/>
        <w:spacing w:line="357" w:lineRule="auto"/>
        <w:ind w:right="516" w:firstLine="710"/>
        <w:jc w:val="both"/>
      </w:pPr>
      <w:r>
        <w:t>Клинические признаки злокачественной гипертермии во время общей анестезии (слайд):</w:t>
      </w:r>
    </w:p>
    <w:p w:rsidR="00645170" w:rsidRDefault="00645170">
      <w:pPr>
        <w:pStyle w:val="BodyText"/>
        <w:spacing w:before="5"/>
        <w:ind w:left="1070"/>
      </w:pPr>
      <w:r>
        <w:t>Клинические:</w:t>
      </w:r>
    </w:p>
    <w:p w:rsidR="00645170" w:rsidRDefault="00645170">
      <w:pPr>
        <w:pStyle w:val="ListParagraph"/>
        <w:numPr>
          <w:ilvl w:val="0"/>
          <w:numId w:val="4"/>
        </w:numPr>
        <w:tabs>
          <w:tab w:val="left" w:pos="1431"/>
        </w:tabs>
        <w:ind w:left="1430" w:hanging="361"/>
        <w:rPr>
          <w:sz w:val="28"/>
        </w:rPr>
      </w:pPr>
      <w:r>
        <w:rPr>
          <w:sz w:val="28"/>
        </w:rPr>
        <w:t>тахикардия;</w:t>
      </w:r>
    </w:p>
    <w:p w:rsidR="00645170" w:rsidRDefault="00645170">
      <w:pPr>
        <w:pStyle w:val="ListParagraph"/>
        <w:numPr>
          <w:ilvl w:val="0"/>
          <w:numId w:val="4"/>
        </w:numPr>
        <w:tabs>
          <w:tab w:val="left" w:pos="1431"/>
        </w:tabs>
        <w:spacing w:before="158"/>
        <w:ind w:left="1430" w:hanging="361"/>
        <w:rPr>
          <w:sz w:val="28"/>
        </w:rPr>
      </w:pPr>
      <w:r>
        <w:rPr>
          <w:sz w:val="28"/>
        </w:rPr>
        <w:t>тахипноэ;</w:t>
      </w:r>
    </w:p>
    <w:p w:rsidR="00645170" w:rsidRDefault="00645170">
      <w:pPr>
        <w:pStyle w:val="ListParagraph"/>
        <w:numPr>
          <w:ilvl w:val="0"/>
          <w:numId w:val="4"/>
        </w:numPr>
        <w:tabs>
          <w:tab w:val="left" w:pos="1431"/>
        </w:tabs>
        <w:ind w:left="1430" w:hanging="361"/>
        <w:rPr>
          <w:sz w:val="28"/>
        </w:rPr>
      </w:pPr>
      <w:r>
        <w:rPr>
          <w:sz w:val="28"/>
        </w:rPr>
        <w:t>нестабильность</w:t>
      </w:r>
      <w:r>
        <w:rPr>
          <w:spacing w:val="3"/>
          <w:sz w:val="28"/>
        </w:rPr>
        <w:t xml:space="preserve"> </w:t>
      </w:r>
      <w:r>
        <w:rPr>
          <w:sz w:val="28"/>
        </w:rPr>
        <w:t>АД;</w:t>
      </w:r>
    </w:p>
    <w:p w:rsidR="00645170" w:rsidRDefault="00645170">
      <w:pPr>
        <w:pStyle w:val="ListParagraph"/>
        <w:numPr>
          <w:ilvl w:val="0"/>
          <w:numId w:val="4"/>
        </w:numPr>
        <w:tabs>
          <w:tab w:val="left" w:pos="1431"/>
        </w:tabs>
        <w:ind w:left="1430" w:hanging="361"/>
        <w:rPr>
          <w:sz w:val="28"/>
        </w:rPr>
      </w:pPr>
      <w:r>
        <w:rPr>
          <w:sz w:val="28"/>
        </w:rPr>
        <w:t>нарушения ритма</w:t>
      </w:r>
      <w:r>
        <w:rPr>
          <w:spacing w:val="3"/>
          <w:sz w:val="28"/>
        </w:rPr>
        <w:t xml:space="preserve"> </w:t>
      </w:r>
      <w:r>
        <w:rPr>
          <w:sz w:val="28"/>
        </w:rPr>
        <w:t>сердца;</w:t>
      </w:r>
    </w:p>
    <w:p w:rsidR="00645170" w:rsidRDefault="00645170">
      <w:pPr>
        <w:pStyle w:val="ListParagraph"/>
        <w:numPr>
          <w:ilvl w:val="0"/>
          <w:numId w:val="4"/>
        </w:numPr>
        <w:tabs>
          <w:tab w:val="left" w:pos="1431"/>
        </w:tabs>
        <w:spacing w:before="158"/>
        <w:ind w:left="1430" w:hanging="361"/>
        <w:rPr>
          <w:sz w:val="28"/>
        </w:rPr>
      </w:pPr>
      <w:r>
        <w:rPr>
          <w:sz w:val="28"/>
        </w:rPr>
        <w:t>цианоз;</w:t>
      </w:r>
    </w:p>
    <w:p w:rsidR="00645170" w:rsidRDefault="00645170">
      <w:pPr>
        <w:pStyle w:val="ListParagraph"/>
        <w:numPr>
          <w:ilvl w:val="0"/>
          <w:numId w:val="4"/>
        </w:numPr>
        <w:tabs>
          <w:tab w:val="left" w:pos="1431"/>
        </w:tabs>
        <w:ind w:left="1430" w:hanging="361"/>
        <w:rPr>
          <w:sz w:val="28"/>
        </w:rPr>
      </w:pPr>
      <w:r>
        <w:rPr>
          <w:sz w:val="28"/>
        </w:rPr>
        <w:t>влажность</w:t>
      </w:r>
      <w:r>
        <w:rPr>
          <w:spacing w:val="-2"/>
          <w:sz w:val="28"/>
        </w:rPr>
        <w:t xml:space="preserve"> </w:t>
      </w:r>
      <w:r>
        <w:rPr>
          <w:sz w:val="28"/>
        </w:rPr>
        <w:t>кожи;</w:t>
      </w:r>
    </w:p>
    <w:p w:rsidR="00645170" w:rsidRDefault="00645170">
      <w:pPr>
        <w:pStyle w:val="ListParagraph"/>
        <w:numPr>
          <w:ilvl w:val="0"/>
          <w:numId w:val="4"/>
        </w:numPr>
        <w:tabs>
          <w:tab w:val="left" w:pos="1431"/>
        </w:tabs>
        <w:spacing w:before="158"/>
        <w:ind w:left="1430" w:hanging="361"/>
        <w:rPr>
          <w:sz w:val="28"/>
        </w:rPr>
      </w:pPr>
      <w:r>
        <w:rPr>
          <w:sz w:val="28"/>
        </w:rPr>
        <w:t>лихорадка (повышение tº на 2º в час или</w:t>
      </w:r>
      <w:r>
        <w:rPr>
          <w:spacing w:val="11"/>
          <w:sz w:val="28"/>
        </w:rPr>
        <w:t xml:space="preserve"> </w:t>
      </w:r>
      <w:r>
        <w:rPr>
          <w:sz w:val="28"/>
        </w:rPr>
        <w:t>tº&gt;42,2ºС);</w:t>
      </w:r>
    </w:p>
    <w:p w:rsidR="00645170" w:rsidRDefault="00645170">
      <w:pPr>
        <w:pStyle w:val="ListParagraph"/>
        <w:numPr>
          <w:ilvl w:val="0"/>
          <w:numId w:val="4"/>
        </w:numPr>
        <w:tabs>
          <w:tab w:val="left" w:pos="1431"/>
        </w:tabs>
        <w:ind w:left="1430" w:hanging="361"/>
        <w:rPr>
          <w:sz w:val="28"/>
        </w:rPr>
      </w:pPr>
      <w:r>
        <w:rPr>
          <w:sz w:val="28"/>
        </w:rPr>
        <w:t>фасцикуляции;</w:t>
      </w:r>
    </w:p>
    <w:p w:rsidR="00645170" w:rsidRDefault="00645170">
      <w:pPr>
        <w:pStyle w:val="ListParagraph"/>
        <w:numPr>
          <w:ilvl w:val="0"/>
          <w:numId w:val="4"/>
        </w:numPr>
        <w:tabs>
          <w:tab w:val="left" w:pos="1431"/>
        </w:tabs>
        <w:ind w:left="1430" w:hanging="361"/>
        <w:rPr>
          <w:sz w:val="28"/>
        </w:rPr>
      </w:pPr>
      <w:r>
        <w:rPr>
          <w:sz w:val="28"/>
        </w:rPr>
        <w:t>генерализованная</w:t>
      </w:r>
      <w:r>
        <w:rPr>
          <w:spacing w:val="2"/>
          <w:sz w:val="28"/>
        </w:rPr>
        <w:t xml:space="preserve"> </w:t>
      </w:r>
      <w:r>
        <w:rPr>
          <w:sz w:val="28"/>
        </w:rPr>
        <w:t>ригидность;</w:t>
      </w:r>
    </w:p>
    <w:p w:rsidR="00645170" w:rsidRDefault="00645170">
      <w:pPr>
        <w:pStyle w:val="ListParagraph"/>
        <w:numPr>
          <w:ilvl w:val="0"/>
          <w:numId w:val="4"/>
        </w:numPr>
        <w:tabs>
          <w:tab w:val="left" w:pos="1431"/>
        </w:tabs>
        <w:spacing w:before="158"/>
        <w:ind w:left="1430" w:hanging="361"/>
        <w:rPr>
          <w:sz w:val="28"/>
        </w:rPr>
      </w:pPr>
      <w:r>
        <w:rPr>
          <w:sz w:val="28"/>
        </w:rPr>
        <w:t>спазм жевательной</w:t>
      </w:r>
      <w:r>
        <w:rPr>
          <w:spacing w:val="3"/>
          <w:sz w:val="28"/>
        </w:rPr>
        <w:t xml:space="preserve"> </w:t>
      </w:r>
      <w:r>
        <w:rPr>
          <w:sz w:val="28"/>
        </w:rPr>
        <w:t>мускулатуры;</w:t>
      </w:r>
    </w:p>
    <w:p w:rsidR="00645170" w:rsidRDefault="00645170">
      <w:pPr>
        <w:pStyle w:val="ListParagraph"/>
        <w:numPr>
          <w:ilvl w:val="0"/>
          <w:numId w:val="4"/>
        </w:numPr>
        <w:tabs>
          <w:tab w:val="left" w:pos="1431"/>
        </w:tabs>
        <w:spacing w:before="164"/>
        <w:ind w:left="1430" w:hanging="361"/>
        <w:rPr>
          <w:sz w:val="28"/>
        </w:rPr>
      </w:pPr>
      <w:r>
        <w:rPr>
          <w:sz w:val="28"/>
        </w:rPr>
        <w:t>изменение окраски</w:t>
      </w:r>
      <w:r>
        <w:rPr>
          <w:spacing w:val="2"/>
          <w:sz w:val="28"/>
        </w:rPr>
        <w:t xml:space="preserve"> </w:t>
      </w:r>
      <w:r>
        <w:rPr>
          <w:sz w:val="28"/>
        </w:rPr>
        <w:t>мочи;</w:t>
      </w:r>
    </w:p>
    <w:p w:rsidR="00645170" w:rsidRDefault="00645170">
      <w:pPr>
        <w:pStyle w:val="ListParagraph"/>
        <w:numPr>
          <w:ilvl w:val="0"/>
          <w:numId w:val="4"/>
        </w:numPr>
        <w:tabs>
          <w:tab w:val="left" w:pos="1431"/>
        </w:tabs>
        <w:spacing w:before="158" w:line="362" w:lineRule="auto"/>
        <w:ind w:left="1070" w:right="6348" w:firstLine="0"/>
        <w:rPr>
          <w:sz w:val="28"/>
        </w:rPr>
      </w:pPr>
      <w:r>
        <w:rPr>
          <w:sz w:val="28"/>
        </w:rPr>
        <w:t>темная кровь в</w:t>
      </w:r>
      <w:r>
        <w:rPr>
          <w:spacing w:val="-13"/>
          <w:sz w:val="28"/>
        </w:rPr>
        <w:t xml:space="preserve"> </w:t>
      </w:r>
      <w:r>
        <w:rPr>
          <w:sz w:val="28"/>
        </w:rPr>
        <w:t>ране. Патофизиологические:</w:t>
      </w:r>
    </w:p>
    <w:p w:rsidR="00645170" w:rsidRDefault="00645170">
      <w:pPr>
        <w:pStyle w:val="ListParagraph"/>
        <w:numPr>
          <w:ilvl w:val="0"/>
          <w:numId w:val="4"/>
        </w:numPr>
        <w:tabs>
          <w:tab w:val="left" w:pos="1431"/>
        </w:tabs>
        <w:spacing w:before="0" w:line="319" w:lineRule="exact"/>
        <w:ind w:left="1430" w:hanging="361"/>
        <w:rPr>
          <w:sz w:val="28"/>
        </w:rPr>
      </w:pPr>
      <w:r>
        <w:rPr>
          <w:sz w:val="28"/>
        </w:rPr>
        <w:t>центральная венозная</w:t>
      </w:r>
      <w:r>
        <w:rPr>
          <w:spacing w:val="4"/>
          <w:sz w:val="28"/>
        </w:rPr>
        <w:t xml:space="preserve"> </w:t>
      </w:r>
      <w:r>
        <w:rPr>
          <w:sz w:val="28"/>
        </w:rPr>
        <w:t>десатурация;</w:t>
      </w:r>
    </w:p>
    <w:p w:rsidR="00645170" w:rsidRDefault="00645170">
      <w:pPr>
        <w:pStyle w:val="ListParagraph"/>
        <w:numPr>
          <w:ilvl w:val="0"/>
          <w:numId w:val="4"/>
        </w:numPr>
        <w:tabs>
          <w:tab w:val="left" w:pos="1431"/>
        </w:tabs>
        <w:spacing w:before="158"/>
        <w:ind w:left="1430" w:hanging="361"/>
        <w:rPr>
          <w:sz w:val="28"/>
        </w:rPr>
      </w:pPr>
      <w:r>
        <w:rPr>
          <w:sz w:val="28"/>
        </w:rPr>
        <w:t>центральная венозная</w:t>
      </w:r>
      <w:r>
        <w:rPr>
          <w:spacing w:val="4"/>
          <w:sz w:val="28"/>
        </w:rPr>
        <w:t xml:space="preserve"> </w:t>
      </w:r>
      <w:r>
        <w:rPr>
          <w:sz w:val="28"/>
        </w:rPr>
        <w:t>гиперкапния;</w:t>
      </w:r>
    </w:p>
    <w:p w:rsidR="00645170" w:rsidRDefault="00645170">
      <w:pPr>
        <w:pStyle w:val="ListParagraph"/>
        <w:numPr>
          <w:ilvl w:val="0"/>
          <w:numId w:val="4"/>
        </w:numPr>
        <w:tabs>
          <w:tab w:val="left" w:pos="1431"/>
        </w:tabs>
        <w:ind w:left="1430" w:hanging="361"/>
        <w:rPr>
          <w:sz w:val="28"/>
        </w:rPr>
      </w:pPr>
      <w:r>
        <w:rPr>
          <w:sz w:val="28"/>
        </w:rPr>
        <w:t>артериальная</w:t>
      </w:r>
      <w:r>
        <w:rPr>
          <w:spacing w:val="2"/>
          <w:sz w:val="28"/>
        </w:rPr>
        <w:t xml:space="preserve"> </w:t>
      </w:r>
      <w:r>
        <w:rPr>
          <w:sz w:val="28"/>
        </w:rPr>
        <w:t>гиперкапния;</w:t>
      </w:r>
    </w:p>
    <w:p w:rsidR="00645170" w:rsidRDefault="00645170">
      <w:pPr>
        <w:pStyle w:val="ListParagraph"/>
        <w:numPr>
          <w:ilvl w:val="0"/>
          <w:numId w:val="4"/>
        </w:numPr>
        <w:tabs>
          <w:tab w:val="left" w:pos="1431"/>
        </w:tabs>
        <w:ind w:left="1430" w:hanging="361"/>
        <w:rPr>
          <w:sz w:val="28"/>
        </w:rPr>
      </w:pPr>
      <w:r>
        <w:rPr>
          <w:sz w:val="28"/>
        </w:rPr>
        <w:t>метаболический ацидоз;</w:t>
      </w:r>
    </w:p>
    <w:p w:rsidR="00645170" w:rsidRDefault="00645170">
      <w:pPr>
        <w:pStyle w:val="ListParagraph"/>
        <w:numPr>
          <w:ilvl w:val="0"/>
          <w:numId w:val="4"/>
        </w:numPr>
        <w:tabs>
          <w:tab w:val="left" w:pos="1431"/>
        </w:tabs>
        <w:spacing w:before="158"/>
        <w:ind w:left="1430" w:hanging="361"/>
        <w:rPr>
          <w:sz w:val="28"/>
        </w:rPr>
      </w:pPr>
      <w:r>
        <w:rPr>
          <w:sz w:val="28"/>
        </w:rPr>
        <w:t>респираторный ацидоз;</w:t>
      </w:r>
    </w:p>
    <w:p w:rsidR="00645170" w:rsidRDefault="00645170">
      <w:pPr>
        <w:pStyle w:val="ListParagraph"/>
        <w:numPr>
          <w:ilvl w:val="0"/>
          <w:numId w:val="4"/>
        </w:numPr>
        <w:tabs>
          <w:tab w:val="left" w:pos="1431"/>
        </w:tabs>
        <w:ind w:left="1430" w:hanging="361"/>
        <w:rPr>
          <w:sz w:val="28"/>
        </w:rPr>
      </w:pPr>
      <w:r>
        <w:rPr>
          <w:sz w:val="28"/>
        </w:rPr>
        <w:t>гиперкалиемия;</w:t>
      </w:r>
    </w:p>
    <w:p w:rsidR="00645170" w:rsidRDefault="00645170">
      <w:pPr>
        <w:pStyle w:val="ListParagraph"/>
        <w:numPr>
          <w:ilvl w:val="0"/>
          <w:numId w:val="4"/>
        </w:numPr>
        <w:tabs>
          <w:tab w:val="left" w:pos="1431"/>
        </w:tabs>
        <w:spacing w:before="158"/>
        <w:ind w:left="1430" w:hanging="361"/>
        <w:rPr>
          <w:sz w:val="28"/>
        </w:rPr>
      </w:pPr>
      <w:r>
        <w:rPr>
          <w:sz w:val="28"/>
        </w:rPr>
        <w:t>миоглобинемия;</w:t>
      </w:r>
    </w:p>
    <w:p w:rsidR="00645170" w:rsidRDefault="00645170">
      <w:pPr>
        <w:rPr>
          <w:sz w:val="28"/>
        </w:rPr>
        <w:sectPr w:rsidR="00645170">
          <w:headerReference w:type="default" r:id="rId66"/>
          <w:footerReference w:type="default" r:id="rId67"/>
          <w:pgSz w:w="11910" w:h="16840"/>
          <w:pgMar w:top="1040" w:right="340" w:bottom="1140" w:left="1340" w:header="714" w:footer="959" w:gutter="0"/>
          <w:pgNumType w:start="31"/>
          <w:cols w:space="720"/>
        </w:sectPr>
      </w:pPr>
    </w:p>
    <w:p w:rsidR="00645170" w:rsidRDefault="00645170">
      <w:pPr>
        <w:pStyle w:val="ListParagraph"/>
        <w:numPr>
          <w:ilvl w:val="0"/>
          <w:numId w:val="4"/>
        </w:numPr>
        <w:tabs>
          <w:tab w:val="left" w:pos="1431"/>
        </w:tabs>
        <w:spacing w:before="106"/>
        <w:ind w:left="1430" w:hanging="361"/>
        <w:jc w:val="both"/>
        <w:rPr>
          <w:sz w:val="28"/>
        </w:rPr>
      </w:pPr>
      <w:r>
        <w:rPr>
          <w:sz w:val="28"/>
        </w:rPr>
        <w:t>миоглобинурия;</w:t>
      </w:r>
    </w:p>
    <w:p w:rsidR="00645170" w:rsidRDefault="00645170">
      <w:pPr>
        <w:pStyle w:val="ListParagraph"/>
        <w:numPr>
          <w:ilvl w:val="0"/>
          <w:numId w:val="4"/>
        </w:numPr>
        <w:tabs>
          <w:tab w:val="left" w:pos="1431"/>
        </w:tabs>
        <w:spacing w:before="158"/>
        <w:ind w:left="1430" w:hanging="361"/>
        <w:jc w:val="both"/>
        <w:rPr>
          <w:sz w:val="28"/>
        </w:rPr>
      </w:pPr>
      <w:r>
        <w:rPr>
          <w:sz w:val="28"/>
        </w:rPr>
        <w:t>повышение</w:t>
      </w:r>
      <w:r>
        <w:rPr>
          <w:spacing w:val="1"/>
          <w:sz w:val="28"/>
        </w:rPr>
        <w:t xml:space="preserve"> </w:t>
      </w:r>
      <w:r>
        <w:rPr>
          <w:sz w:val="28"/>
        </w:rPr>
        <w:t>КФК.</w:t>
      </w:r>
    </w:p>
    <w:p w:rsidR="00645170" w:rsidRDefault="00645170">
      <w:pPr>
        <w:pStyle w:val="BodyText"/>
        <w:spacing w:before="163" w:line="357" w:lineRule="auto"/>
        <w:ind w:right="523" w:firstLine="710"/>
        <w:jc w:val="both"/>
      </w:pPr>
      <w:r>
        <w:t>Дифференциальный диагноз следует проводить (помимо неадекватности анестезии) с гипертиреозом и феохромоцитомой.</w:t>
      </w:r>
    </w:p>
    <w:p w:rsidR="00645170" w:rsidRDefault="00645170">
      <w:pPr>
        <w:pStyle w:val="BodyText"/>
        <w:spacing w:before="6" w:line="360" w:lineRule="auto"/>
        <w:ind w:right="508" w:firstLine="710"/>
        <w:jc w:val="both"/>
      </w:pPr>
      <w:r>
        <w:t>Для выявления "группы риска" используют сбор анемнеза, а также предложены исследование уровня КФК, выявление аномалий строения миофибрилл (особенно вариации их диаметра), биопсия мышц с пробой in vitro на галотан и кофеин (самый точный метод).</w:t>
      </w:r>
    </w:p>
    <w:p w:rsidR="00645170" w:rsidRDefault="00645170">
      <w:pPr>
        <w:pStyle w:val="BodyText"/>
        <w:spacing w:line="320" w:lineRule="exact"/>
        <w:ind w:left="1070"/>
        <w:jc w:val="both"/>
      </w:pPr>
      <w:r>
        <w:t>Лечение злокачественной гипертермии (слайд)</w:t>
      </w:r>
    </w:p>
    <w:p w:rsidR="00645170" w:rsidRDefault="00645170">
      <w:pPr>
        <w:pStyle w:val="ListParagraph"/>
        <w:numPr>
          <w:ilvl w:val="0"/>
          <w:numId w:val="2"/>
        </w:numPr>
        <w:tabs>
          <w:tab w:val="left" w:pos="1354"/>
        </w:tabs>
        <w:spacing w:before="162"/>
        <w:ind w:hanging="284"/>
        <w:jc w:val="both"/>
        <w:rPr>
          <w:sz w:val="28"/>
        </w:rPr>
      </w:pPr>
      <w:r>
        <w:rPr>
          <w:sz w:val="28"/>
        </w:rPr>
        <w:t>Прекратить операцию и</w:t>
      </w:r>
      <w:r>
        <w:rPr>
          <w:spacing w:val="-2"/>
          <w:sz w:val="28"/>
        </w:rPr>
        <w:t xml:space="preserve"> </w:t>
      </w:r>
      <w:r>
        <w:rPr>
          <w:sz w:val="28"/>
        </w:rPr>
        <w:t>анестезию.</w:t>
      </w:r>
    </w:p>
    <w:p w:rsidR="00645170" w:rsidRDefault="00645170">
      <w:pPr>
        <w:pStyle w:val="ListParagraph"/>
        <w:numPr>
          <w:ilvl w:val="0"/>
          <w:numId w:val="2"/>
        </w:numPr>
        <w:tabs>
          <w:tab w:val="left" w:pos="1354"/>
        </w:tabs>
        <w:spacing w:before="164"/>
        <w:ind w:hanging="284"/>
        <w:rPr>
          <w:sz w:val="28"/>
        </w:rPr>
      </w:pPr>
      <w:r>
        <w:rPr>
          <w:sz w:val="28"/>
        </w:rPr>
        <w:t>Прекратить введение газообразных</w:t>
      </w:r>
      <w:r>
        <w:rPr>
          <w:spacing w:val="-4"/>
          <w:sz w:val="28"/>
        </w:rPr>
        <w:t xml:space="preserve"> </w:t>
      </w:r>
      <w:r>
        <w:rPr>
          <w:sz w:val="28"/>
        </w:rPr>
        <w:t>анестетиков.</w:t>
      </w:r>
    </w:p>
    <w:p w:rsidR="00645170" w:rsidRDefault="00645170">
      <w:pPr>
        <w:pStyle w:val="ListParagraph"/>
        <w:numPr>
          <w:ilvl w:val="0"/>
          <w:numId w:val="2"/>
        </w:numPr>
        <w:tabs>
          <w:tab w:val="left" w:pos="1354"/>
        </w:tabs>
        <w:spacing w:before="158"/>
        <w:ind w:hanging="284"/>
        <w:rPr>
          <w:sz w:val="28"/>
        </w:rPr>
      </w:pPr>
      <w:r>
        <w:rPr>
          <w:sz w:val="28"/>
        </w:rPr>
        <w:t>Гипервентиляция 100%</w:t>
      </w:r>
      <w:r>
        <w:rPr>
          <w:spacing w:val="1"/>
          <w:sz w:val="28"/>
        </w:rPr>
        <w:t xml:space="preserve"> </w:t>
      </w:r>
      <w:r>
        <w:rPr>
          <w:sz w:val="28"/>
        </w:rPr>
        <w:t>кислородом.</w:t>
      </w:r>
    </w:p>
    <w:p w:rsidR="00645170" w:rsidRDefault="00645170">
      <w:pPr>
        <w:pStyle w:val="ListParagraph"/>
        <w:numPr>
          <w:ilvl w:val="0"/>
          <w:numId w:val="2"/>
        </w:numPr>
        <w:tabs>
          <w:tab w:val="left" w:pos="1373"/>
        </w:tabs>
        <w:ind w:left="1372" w:hanging="303"/>
        <w:rPr>
          <w:sz w:val="28"/>
        </w:rPr>
      </w:pPr>
      <w:r>
        <w:rPr>
          <w:sz w:val="28"/>
        </w:rPr>
        <w:t>Дантролен</w:t>
      </w:r>
      <w:r>
        <w:rPr>
          <w:spacing w:val="17"/>
          <w:sz w:val="28"/>
        </w:rPr>
        <w:t xml:space="preserve"> </w:t>
      </w:r>
      <w:r>
        <w:rPr>
          <w:sz w:val="28"/>
        </w:rPr>
        <w:t>2,5</w:t>
      </w:r>
      <w:r>
        <w:rPr>
          <w:spacing w:val="19"/>
          <w:sz w:val="28"/>
        </w:rPr>
        <w:t xml:space="preserve"> </w:t>
      </w:r>
      <w:r>
        <w:rPr>
          <w:sz w:val="28"/>
        </w:rPr>
        <w:t>мг/кг</w:t>
      </w:r>
      <w:r>
        <w:rPr>
          <w:spacing w:val="19"/>
          <w:sz w:val="28"/>
        </w:rPr>
        <w:t xml:space="preserve"> </w:t>
      </w:r>
      <w:r>
        <w:rPr>
          <w:sz w:val="28"/>
        </w:rPr>
        <w:t>в/в</w:t>
      </w:r>
      <w:r>
        <w:rPr>
          <w:spacing w:val="16"/>
          <w:sz w:val="28"/>
        </w:rPr>
        <w:t xml:space="preserve"> </w:t>
      </w:r>
      <w:r>
        <w:rPr>
          <w:sz w:val="28"/>
        </w:rPr>
        <w:t>с</w:t>
      </w:r>
      <w:r>
        <w:rPr>
          <w:spacing w:val="19"/>
          <w:sz w:val="28"/>
        </w:rPr>
        <w:t xml:space="preserve"> </w:t>
      </w:r>
      <w:r>
        <w:rPr>
          <w:sz w:val="28"/>
        </w:rPr>
        <w:t>последующей</w:t>
      </w:r>
      <w:r>
        <w:rPr>
          <w:spacing w:val="18"/>
          <w:sz w:val="28"/>
        </w:rPr>
        <w:t xml:space="preserve"> </w:t>
      </w:r>
      <w:r>
        <w:rPr>
          <w:sz w:val="28"/>
        </w:rPr>
        <w:t>инфузией</w:t>
      </w:r>
      <w:r>
        <w:rPr>
          <w:spacing w:val="18"/>
          <w:sz w:val="28"/>
        </w:rPr>
        <w:t xml:space="preserve"> </w:t>
      </w:r>
      <w:r>
        <w:rPr>
          <w:sz w:val="28"/>
        </w:rPr>
        <w:t>до</w:t>
      </w:r>
      <w:r>
        <w:rPr>
          <w:spacing w:val="19"/>
          <w:sz w:val="28"/>
        </w:rPr>
        <w:t xml:space="preserve"> </w:t>
      </w:r>
      <w:r>
        <w:rPr>
          <w:sz w:val="28"/>
        </w:rPr>
        <w:t>общей</w:t>
      </w:r>
      <w:r>
        <w:rPr>
          <w:spacing w:val="18"/>
          <w:sz w:val="28"/>
        </w:rPr>
        <w:t xml:space="preserve"> </w:t>
      </w:r>
      <w:r>
        <w:rPr>
          <w:sz w:val="28"/>
        </w:rPr>
        <w:t>дозы</w:t>
      </w:r>
      <w:r>
        <w:rPr>
          <w:spacing w:val="19"/>
          <w:sz w:val="28"/>
        </w:rPr>
        <w:t xml:space="preserve"> </w:t>
      </w:r>
      <w:r>
        <w:rPr>
          <w:sz w:val="28"/>
        </w:rPr>
        <w:t>10</w:t>
      </w:r>
    </w:p>
    <w:p w:rsidR="00645170" w:rsidRDefault="00645170">
      <w:pPr>
        <w:pStyle w:val="BodyText"/>
        <w:spacing w:before="163"/>
      </w:pPr>
      <w:r>
        <w:t>мг/кг.</w:t>
      </w:r>
    </w:p>
    <w:p w:rsidR="00645170" w:rsidRDefault="00645170">
      <w:pPr>
        <w:pStyle w:val="ListParagraph"/>
        <w:numPr>
          <w:ilvl w:val="0"/>
          <w:numId w:val="2"/>
        </w:numPr>
        <w:tabs>
          <w:tab w:val="left" w:pos="1450"/>
        </w:tabs>
        <w:spacing w:before="158"/>
        <w:ind w:left="1449" w:hanging="380"/>
        <w:rPr>
          <w:sz w:val="28"/>
        </w:rPr>
      </w:pPr>
      <w:r>
        <w:rPr>
          <w:sz w:val="28"/>
        </w:rPr>
        <w:t>Мониторинг</w:t>
      </w:r>
      <w:r>
        <w:rPr>
          <w:spacing w:val="23"/>
          <w:sz w:val="28"/>
        </w:rPr>
        <w:t xml:space="preserve"> </w:t>
      </w:r>
      <w:r>
        <w:rPr>
          <w:sz w:val="28"/>
        </w:rPr>
        <w:t>ЭКГ,</w:t>
      </w:r>
      <w:r>
        <w:rPr>
          <w:spacing w:val="25"/>
          <w:sz w:val="28"/>
        </w:rPr>
        <w:t xml:space="preserve"> </w:t>
      </w:r>
      <w:r>
        <w:rPr>
          <w:sz w:val="28"/>
        </w:rPr>
        <w:t>температуры</w:t>
      </w:r>
      <w:r>
        <w:rPr>
          <w:spacing w:val="23"/>
          <w:sz w:val="28"/>
        </w:rPr>
        <w:t xml:space="preserve"> </w:t>
      </w:r>
      <w:r>
        <w:rPr>
          <w:sz w:val="28"/>
        </w:rPr>
        <w:t>тела,</w:t>
      </w:r>
      <w:r>
        <w:rPr>
          <w:spacing w:val="24"/>
          <w:sz w:val="28"/>
        </w:rPr>
        <w:t xml:space="preserve"> </w:t>
      </w:r>
      <w:r>
        <w:rPr>
          <w:sz w:val="28"/>
        </w:rPr>
        <w:t>мочи,</w:t>
      </w:r>
      <w:r>
        <w:rPr>
          <w:spacing w:val="25"/>
          <w:sz w:val="28"/>
        </w:rPr>
        <w:t xml:space="preserve"> </w:t>
      </w:r>
      <w:r>
        <w:rPr>
          <w:sz w:val="28"/>
        </w:rPr>
        <w:t>АД,</w:t>
      </w:r>
      <w:r>
        <w:rPr>
          <w:spacing w:val="25"/>
          <w:sz w:val="28"/>
        </w:rPr>
        <w:t xml:space="preserve"> </w:t>
      </w:r>
      <w:r>
        <w:rPr>
          <w:sz w:val="28"/>
        </w:rPr>
        <w:t>ЦВД,</w:t>
      </w:r>
      <w:r>
        <w:rPr>
          <w:spacing w:val="25"/>
          <w:sz w:val="28"/>
        </w:rPr>
        <w:t xml:space="preserve"> </w:t>
      </w:r>
      <w:r>
        <w:rPr>
          <w:sz w:val="28"/>
        </w:rPr>
        <w:t>конечно-</w:t>
      </w:r>
    </w:p>
    <w:p w:rsidR="00645170" w:rsidRDefault="00645170">
      <w:pPr>
        <w:pStyle w:val="BodyText"/>
        <w:spacing w:before="163"/>
        <w:jc w:val="both"/>
      </w:pPr>
      <w:r>
        <w:t>выдыхаемого СО</w:t>
      </w:r>
      <w:r>
        <w:rPr>
          <w:vertAlign w:val="subscript"/>
        </w:rPr>
        <w:t>2,</w:t>
      </w:r>
      <w:r>
        <w:t xml:space="preserve"> SatO</w:t>
      </w:r>
      <w:r>
        <w:rPr>
          <w:vertAlign w:val="subscript"/>
        </w:rPr>
        <w:t>2</w:t>
      </w:r>
      <w:r>
        <w:t>.</w:t>
      </w:r>
    </w:p>
    <w:p w:rsidR="00645170" w:rsidRDefault="00645170">
      <w:pPr>
        <w:pStyle w:val="ListParagraph"/>
        <w:numPr>
          <w:ilvl w:val="0"/>
          <w:numId w:val="2"/>
        </w:numPr>
        <w:tabs>
          <w:tab w:val="left" w:pos="1387"/>
        </w:tabs>
        <w:spacing w:before="158" w:line="360" w:lineRule="auto"/>
        <w:ind w:left="359" w:right="515" w:firstLine="710"/>
        <w:jc w:val="both"/>
        <w:rPr>
          <w:sz w:val="28"/>
        </w:rPr>
      </w:pPr>
      <w:r>
        <w:rPr>
          <w:sz w:val="28"/>
        </w:rPr>
        <w:t>Охладить больного (в/в ледяной раствор кристаллоидов 15 мл/кг, 3 раза; лед на поверхность тела, промывание желудка и полостей ледяными растворами; экстракорпоральная циркуляция крови) – остановиться при температуре менее</w:t>
      </w:r>
      <w:r>
        <w:rPr>
          <w:spacing w:val="3"/>
          <w:sz w:val="28"/>
        </w:rPr>
        <w:t xml:space="preserve"> </w:t>
      </w:r>
      <w:r>
        <w:rPr>
          <w:sz w:val="28"/>
        </w:rPr>
        <w:t>38,3ºС.</w:t>
      </w:r>
    </w:p>
    <w:p w:rsidR="00645170" w:rsidRDefault="00645170">
      <w:pPr>
        <w:pStyle w:val="ListParagraph"/>
        <w:numPr>
          <w:ilvl w:val="0"/>
          <w:numId w:val="2"/>
        </w:numPr>
        <w:tabs>
          <w:tab w:val="left" w:pos="1354"/>
        </w:tabs>
        <w:spacing w:before="3"/>
        <w:ind w:hanging="284"/>
        <w:jc w:val="both"/>
        <w:rPr>
          <w:sz w:val="28"/>
        </w:rPr>
      </w:pPr>
      <w:r>
        <w:rPr>
          <w:sz w:val="28"/>
        </w:rPr>
        <w:t>Купировать нарушения ритма (прокаинамид, в/в 15 мг/кг за 10</w:t>
      </w:r>
      <w:r>
        <w:rPr>
          <w:spacing w:val="-9"/>
          <w:sz w:val="28"/>
        </w:rPr>
        <w:t xml:space="preserve"> </w:t>
      </w:r>
      <w:r>
        <w:rPr>
          <w:sz w:val="28"/>
        </w:rPr>
        <w:t>мин).</w:t>
      </w:r>
    </w:p>
    <w:p w:rsidR="00645170" w:rsidRDefault="00645170">
      <w:pPr>
        <w:pStyle w:val="ListParagraph"/>
        <w:numPr>
          <w:ilvl w:val="0"/>
          <w:numId w:val="2"/>
        </w:numPr>
        <w:tabs>
          <w:tab w:val="left" w:pos="1647"/>
        </w:tabs>
        <w:spacing w:before="158" w:line="362" w:lineRule="auto"/>
        <w:ind w:left="359" w:right="514" w:firstLine="710"/>
        <w:jc w:val="both"/>
        <w:rPr>
          <w:sz w:val="28"/>
        </w:rPr>
      </w:pPr>
      <w:r>
        <w:rPr>
          <w:sz w:val="28"/>
        </w:rPr>
        <w:t xml:space="preserve">Коррекция ацидоза (гидрокарбонат натрия </w:t>
      </w:r>
      <w:r>
        <w:rPr>
          <w:spacing w:val="2"/>
          <w:sz w:val="28"/>
        </w:rPr>
        <w:t xml:space="preserve">1-2 </w:t>
      </w:r>
      <w:r>
        <w:rPr>
          <w:sz w:val="28"/>
        </w:rPr>
        <w:t>ммоль/л первоначально, далее под контролем анализов</w:t>
      </w:r>
      <w:r>
        <w:rPr>
          <w:spacing w:val="6"/>
          <w:sz w:val="28"/>
        </w:rPr>
        <w:t xml:space="preserve"> </w:t>
      </w:r>
      <w:r>
        <w:rPr>
          <w:sz w:val="28"/>
        </w:rPr>
        <w:t>крови).</w:t>
      </w:r>
    </w:p>
    <w:p w:rsidR="00645170" w:rsidRDefault="00645170">
      <w:pPr>
        <w:pStyle w:val="ListParagraph"/>
        <w:numPr>
          <w:ilvl w:val="0"/>
          <w:numId w:val="2"/>
        </w:numPr>
        <w:tabs>
          <w:tab w:val="left" w:pos="1397"/>
        </w:tabs>
        <w:spacing w:before="0" w:line="357" w:lineRule="auto"/>
        <w:ind w:left="359" w:right="524" w:firstLine="710"/>
        <w:jc w:val="both"/>
        <w:rPr>
          <w:sz w:val="28"/>
        </w:rPr>
      </w:pPr>
      <w:r>
        <w:rPr>
          <w:sz w:val="28"/>
        </w:rPr>
        <w:t>Поддержание диуреза выше 2 мл/кг/ч (маннитол 0,125 г/кг, лазикс 1мг/кг, повторить до 4 раз, если будет</w:t>
      </w:r>
      <w:r>
        <w:rPr>
          <w:spacing w:val="3"/>
          <w:sz w:val="28"/>
        </w:rPr>
        <w:t xml:space="preserve"> </w:t>
      </w:r>
      <w:r>
        <w:rPr>
          <w:sz w:val="28"/>
        </w:rPr>
        <w:t>необходимость).</w:t>
      </w:r>
    </w:p>
    <w:p w:rsidR="00645170" w:rsidRDefault="00645170">
      <w:pPr>
        <w:pStyle w:val="ListParagraph"/>
        <w:numPr>
          <w:ilvl w:val="0"/>
          <w:numId w:val="2"/>
        </w:numPr>
        <w:tabs>
          <w:tab w:val="left" w:pos="1493"/>
        </w:tabs>
        <w:spacing w:before="3"/>
        <w:ind w:left="1492" w:hanging="423"/>
        <w:jc w:val="both"/>
        <w:rPr>
          <w:sz w:val="28"/>
        </w:rPr>
      </w:pPr>
      <w:r>
        <w:rPr>
          <w:sz w:val="28"/>
        </w:rPr>
        <w:t>Купирование гиперкалиемии (глюкоза с</w:t>
      </w:r>
      <w:r>
        <w:rPr>
          <w:spacing w:val="3"/>
          <w:sz w:val="28"/>
        </w:rPr>
        <w:t xml:space="preserve"> </w:t>
      </w:r>
      <w:r>
        <w:rPr>
          <w:sz w:val="28"/>
        </w:rPr>
        <w:t>инсулином).</w:t>
      </w:r>
    </w:p>
    <w:p w:rsidR="00645170" w:rsidRDefault="00645170">
      <w:pPr>
        <w:pStyle w:val="ListParagraph"/>
        <w:numPr>
          <w:ilvl w:val="0"/>
          <w:numId w:val="2"/>
        </w:numPr>
        <w:tabs>
          <w:tab w:val="left" w:pos="1493"/>
        </w:tabs>
        <w:ind w:left="1492" w:hanging="423"/>
        <w:jc w:val="both"/>
        <w:rPr>
          <w:sz w:val="28"/>
        </w:rPr>
      </w:pPr>
      <w:r>
        <w:rPr>
          <w:sz w:val="28"/>
        </w:rPr>
        <w:t>В послеоперационном</w:t>
      </w:r>
      <w:r>
        <w:rPr>
          <w:spacing w:val="-1"/>
          <w:sz w:val="28"/>
        </w:rPr>
        <w:t xml:space="preserve"> </w:t>
      </w:r>
      <w:r>
        <w:rPr>
          <w:sz w:val="28"/>
        </w:rPr>
        <w:t>периоде:</w:t>
      </w:r>
    </w:p>
    <w:p w:rsidR="00645170" w:rsidRDefault="00645170">
      <w:pPr>
        <w:pStyle w:val="ListParagraph"/>
        <w:numPr>
          <w:ilvl w:val="0"/>
          <w:numId w:val="4"/>
        </w:numPr>
        <w:tabs>
          <w:tab w:val="left" w:pos="1431"/>
        </w:tabs>
        <w:spacing w:before="159"/>
        <w:ind w:left="1430" w:hanging="361"/>
        <w:rPr>
          <w:sz w:val="28"/>
        </w:rPr>
      </w:pPr>
      <w:r>
        <w:rPr>
          <w:sz w:val="28"/>
        </w:rPr>
        <w:t>дантролен перорально или в/в 1-3</w:t>
      </w:r>
      <w:r>
        <w:rPr>
          <w:spacing w:val="2"/>
          <w:sz w:val="28"/>
        </w:rPr>
        <w:t xml:space="preserve"> </w:t>
      </w:r>
      <w:r>
        <w:rPr>
          <w:sz w:val="28"/>
        </w:rPr>
        <w:t>дня,</w:t>
      </w:r>
    </w:p>
    <w:p w:rsidR="00645170" w:rsidRDefault="00645170">
      <w:pPr>
        <w:pStyle w:val="ListParagraph"/>
        <w:numPr>
          <w:ilvl w:val="0"/>
          <w:numId w:val="4"/>
        </w:numPr>
        <w:tabs>
          <w:tab w:val="left" w:pos="1431"/>
        </w:tabs>
        <w:ind w:left="1430" w:hanging="361"/>
        <w:jc w:val="both"/>
        <w:rPr>
          <w:sz w:val="28"/>
        </w:rPr>
      </w:pPr>
      <w:r>
        <w:rPr>
          <w:sz w:val="28"/>
        </w:rPr>
        <w:t>мониторинг продолжить 48</w:t>
      </w:r>
      <w:r>
        <w:rPr>
          <w:spacing w:val="1"/>
          <w:sz w:val="28"/>
        </w:rPr>
        <w:t xml:space="preserve"> </w:t>
      </w:r>
      <w:r>
        <w:rPr>
          <w:sz w:val="28"/>
        </w:rPr>
        <w:t>ч,</w:t>
      </w:r>
    </w:p>
    <w:p w:rsidR="00645170" w:rsidRDefault="00645170">
      <w:pPr>
        <w:pStyle w:val="ListParagraph"/>
        <w:numPr>
          <w:ilvl w:val="0"/>
          <w:numId w:val="4"/>
        </w:numPr>
        <w:tabs>
          <w:tab w:val="left" w:pos="1431"/>
        </w:tabs>
        <w:spacing w:before="158"/>
        <w:ind w:left="1430" w:hanging="361"/>
        <w:jc w:val="both"/>
        <w:rPr>
          <w:sz w:val="28"/>
        </w:rPr>
      </w:pPr>
      <w:r>
        <w:rPr>
          <w:sz w:val="28"/>
        </w:rPr>
        <w:t>провести семейное</w:t>
      </w:r>
      <w:r>
        <w:rPr>
          <w:spacing w:val="2"/>
          <w:sz w:val="28"/>
        </w:rPr>
        <w:t xml:space="preserve"> </w:t>
      </w:r>
      <w:r>
        <w:rPr>
          <w:sz w:val="28"/>
        </w:rPr>
        <w:t>исследование.</w:t>
      </w:r>
    </w:p>
    <w:p w:rsidR="00645170" w:rsidRDefault="00645170">
      <w:pPr>
        <w:jc w:val="both"/>
        <w:rPr>
          <w:sz w:val="28"/>
        </w:rPr>
        <w:sectPr w:rsidR="00645170">
          <w:headerReference w:type="default" r:id="rId68"/>
          <w:footerReference w:type="default" r:id="rId69"/>
          <w:pgSz w:w="11910" w:h="16840"/>
          <w:pgMar w:top="1040" w:right="340" w:bottom="1140" w:left="1340" w:header="714" w:footer="959" w:gutter="0"/>
          <w:pgNumType w:start="32"/>
          <w:cols w:space="720"/>
        </w:sectPr>
      </w:pPr>
    </w:p>
    <w:p w:rsidR="00645170" w:rsidRDefault="00645170">
      <w:pPr>
        <w:pStyle w:val="Heading1"/>
        <w:spacing w:before="111" w:line="357" w:lineRule="auto"/>
        <w:ind w:left="3874" w:right="881" w:hanging="2257"/>
      </w:pPr>
      <w:r>
        <w:t>10. Перспективы использования миорелаксантов в военно- полевых условиях</w:t>
      </w:r>
    </w:p>
    <w:p w:rsidR="00645170" w:rsidRDefault="00645170">
      <w:pPr>
        <w:pStyle w:val="BodyText"/>
        <w:spacing w:before="9"/>
        <w:ind w:left="0"/>
        <w:rPr>
          <w:b/>
          <w:sz w:val="41"/>
        </w:rPr>
      </w:pPr>
    </w:p>
    <w:p w:rsidR="00645170" w:rsidRDefault="00645170">
      <w:pPr>
        <w:pStyle w:val="BodyText"/>
        <w:spacing w:line="360" w:lineRule="auto"/>
        <w:ind w:right="509" w:firstLine="710"/>
        <w:jc w:val="both"/>
      </w:pPr>
      <w:r>
        <w:t>Наиболее перспективными для использования в военно-полевых условиях являются препараты, не вызывающие серьезных побочных эффектов и имеющие управляемое, желательно, средней продолжительности действие. К таким миорелаксантам относятся векуроний (норкурон) и рокурониум (эсмерон). Особенно предпочтителен последний в связи с его уникально быстрым началом действия, мало уступающим сукцинилхолину. Естественно, невозможно будет отказаться от применения собственно сукцинилхолина в ситуациях требующих максимально быстрого обеспечения надежной проходимости верхних дыхательных путей.</w:t>
      </w:r>
    </w:p>
    <w:p w:rsidR="00645170" w:rsidRDefault="00645170">
      <w:pPr>
        <w:pStyle w:val="BodyText"/>
        <w:spacing w:before="4" w:line="360" w:lineRule="auto"/>
        <w:ind w:right="520" w:firstLine="710"/>
        <w:jc w:val="both"/>
      </w:pPr>
      <w:r>
        <w:t>К сожалению, следует отметить, что ни один из этих препаратов не производится в России, что делает их применение в условиях широкомасштабных боевых действий затруднительным.</w:t>
      </w:r>
    </w:p>
    <w:p w:rsidR="00645170" w:rsidRDefault="00645170">
      <w:pPr>
        <w:pStyle w:val="BodyText"/>
        <w:spacing w:before="1"/>
        <w:ind w:left="1070"/>
        <w:jc w:val="both"/>
      </w:pPr>
      <w:r>
        <w:t>Табельными препаратами в настоящее время являются</w:t>
      </w:r>
    </w:p>
    <w:p w:rsidR="00645170" w:rsidRDefault="00645170">
      <w:pPr>
        <w:pStyle w:val="ListParagraph"/>
        <w:numPr>
          <w:ilvl w:val="0"/>
          <w:numId w:val="4"/>
        </w:numPr>
        <w:tabs>
          <w:tab w:val="left" w:pos="1431"/>
        </w:tabs>
        <w:spacing w:before="158"/>
        <w:ind w:left="1430" w:hanging="361"/>
        <w:jc w:val="both"/>
        <w:rPr>
          <w:sz w:val="28"/>
        </w:rPr>
      </w:pPr>
      <w:r>
        <w:rPr>
          <w:sz w:val="28"/>
        </w:rPr>
        <w:t>дитилин,</w:t>
      </w:r>
    </w:p>
    <w:p w:rsidR="00645170" w:rsidRDefault="00645170">
      <w:pPr>
        <w:pStyle w:val="ListParagraph"/>
        <w:numPr>
          <w:ilvl w:val="0"/>
          <w:numId w:val="4"/>
        </w:numPr>
        <w:tabs>
          <w:tab w:val="left" w:pos="1431"/>
        </w:tabs>
        <w:ind w:left="1430" w:hanging="361"/>
        <w:jc w:val="both"/>
        <w:rPr>
          <w:sz w:val="28"/>
        </w:rPr>
      </w:pPr>
      <w:r>
        <w:rPr>
          <w:sz w:val="28"/>
        </w:rPr>
        <w:t>ардуан,</w:t>
      </w:r>
    </w:p>
    <w:p w:rsidR="00645170" w:rsidRDefault="00645170">
      <w:pPr>
        <w:pStyle w:val="ListParagraph"/>
        <w:numPr>
          <w:ilvl w:val="0"/>
          <w:numId w:val="4"/>
        </w:numPr>
        <w:tabs>
          <w:tab w:val="left" w:pos="1431"/>
        </w:tabs>
        <w:ind w:left="1430" w:hanging="361"/>
        <w:jc w:val="both"/>
        <w:rPr>
          <w:sz w:val="28"/>
        </w:rPr>
      </w:pPr>
      <w:r>
        <w:rPr>
          <w:sz w:val="28"/>
        </w:rPr>
        <w:t>диплацин.</w:t>
      </w:r>
    </w:p>
    <w:p w:rsidR="00645170" w:rsidRDefault="00645170">
      <w:pPr>
        <w:pStyle w:val="BodyText"/>
        <w:spacing w:before="158" w:line="360" w:lineRule="auto"/>
        <w:ind w:right="511" w:firstLine="710"/>
        <w:jc w:val="both"/>
      </w:pPr>
      <w:r>
        <w:t>Заключение: на сегодняшний день анестезиология и реаниматология немыслима без использования миорелаксантов. Обязанность каждого специалиста нашего профиля знать современные миорелаксанты и уметь применять их в повседневной практической работе.</w:t>
      </w:r>
    </w:p>
    <w:p w:rsidR="00645170" w:rsidRDefault="00645170">
      <w:pPr>
        <w:spacing w:line="360" w:lineRule="auto"/>
        <w:jc w:val="both"/>
        <w:sectPr w:rsidR="00645170">
          <w:headerReference w:type="default" r:id="rId70"/>
          <w:footerReference w:type="default" r:id="rId71"/>
          <w:pgSz w:w="11910" w:h="16840"/>
          <w:pgMar w:top="1040" w:right="340" w:bottom="1140" w:left="1340" w:header="714" w:footer="959" w:gutter="0"/>
          <w:pgNumType w:start="33"/>
          <w:cols w:space="720"/>
        </w:sectPr>
      </w:pPr>
    </w:p>
    <w:p w:rsidR="00645170" w:rsidRDefault="00645170">
      <w:pPr>
        <w:pStyle w:val="Heading1"/>
        <w:spacing w:before="111"/>
        <w:ind w:right="1122"/>
        <w:jc w:val="center"/>
      </w:pPr>
      <w:bookmarkStart w:id="24" w:name="Литература:"/>
      <w:bookmarkEnd w:id="24"/>
      <w:r>
        <w:t>Литература:</w:t>
      </w:r>
    </w:p>
    <w:p w:rsidR="00645170" w:rsidRDefault="00645170">
      <w:pPr>
        <w:pStyle w:val="BodyText"/>
        <w:ind w:left="0"/>
        <w:rPr>
          <w:b/>
          <w:sz w:val="30"/>
        </w:rPr>
      </w:pPr>
    </w:p>
    <w:p w:rsidR="00645170" w:rsidRDefault="00645170">
      <w:pPr>
        <w:pStyle w:val="BodyText"/>
        <w:spacing w:before="5"/>
        <w:ind w:left="0"/>
        <w:rPr>
          <w:b/>
          <w:sz w:val="25"/>
        </w:rPr>
      </w:pPr>
    </w:p>
    <w:p w:rsidR="00645170" w:rsidRDefault="00645170">
      <w:pPr>
        <w:pStyle w:val="ListParagraph"/>
        <w:numPr>
          <w:ilvl w:val="0"/>
          <w:numId w:val="1"/>
        </w:numPr>
        <w:tabs>
          <w:tab w:val="left" w:pos="1066"/>
        </w:tabs>
        <w:spacing w:before="0" w:line="357" w:lineRule="auto"/>
        <w:ind w:right="512" w:firstLine="0"/>
        <w:jc w:val="both"/>
        <w:rPr>
          <w:sz w:val="28"/>
        </w:rPr>
      </w:pPr>
      <w:r>
        <w:rPr>
          <w:sz w:val="28"/>
        </w:rPr>
        <w:t xml:space="preserve">Катцунг Б.Г. Базисная и клиническая фармакология: Пер. с </w:t>
      </w:r>
      <w:r>
        <w:rPr>
          <w:spacing w:val="2"/>
          <w:sz w:val="28"/>
        </w:rPr>
        <w:t xml:space="preserve">англ.- </w:t>
      </w:r>
      <w:r>
        <w:rPr>
          <w:sz w:val="28"/>
        </w:rPr>
        <w:t>М.; СПб., 1998.- Т.1.- 611</w:t>
      </w:r>
      <w:r>
        <w:rPr>
          <w:spacing w:val="4"/>
          <w:sz w:val="28"/>
        </w:rPr>
        <w:t xml:space="preserve"> </w:t>
      </w:r>
      <w:r>
        <w:rPr>
          <w:sz w:val="28"/>
        </w:rPr>
        <w:t>с.</w:t>
      </w:r>
    </w:p>
    <w:p w:rsidR="00645170" w:rsidRDefault="00645170">
      <w:pPr>
        <w:pStyle w:val="ListParagraph"/>
        <w:numPr>
          <w:ilvl w:val="0"/>
          <w:numId w:val="1"/>
        </w:numPr>
        <w:tabs>
          <w:tab w:val="left" w:pos="1066"/>
        </w:tabs>
        <w:spacing w:before="6" w:line="362" w:lineRule="auto"/>
        <w:ind w:right="506" w:firstLine="0"/>
        <w:jc w:val="both"/>
        <w:rPr>
          <w:sz w:val="28"/>
        </w:rPr>
      </w:pPr>
      <w:r>
        <w:rPr>
          <w:sz w:val="28"/>
        </w:rPr>
        <w:t xml:space="preserve">Морган Д.Э., Михаил М.С. Клиническая анестезиология: Пер. с </w:t>
      </w:r>
      <w:r>
        <w:rPr>
          <w:spacing w:val="2"/>
          <w:sz w:val="28"/>
        </w:rPr>
        <w:t xml:space="preserve">англ.- </w:t>
      </w:r>
      <w:r>
        <w:rPr>
          <w:sz w:val="28"/>
        </w:rPr>
        <w:t>М.; СПб., 1998.- 430</w:t>
      </w:r>
      <w:r>
        <w:rPr>
          <w:spacing w:val="5"/>
          <w:sz w:val="28"/>
        </w:rPr>
        <w:t xml:space="preserve"> </w:t>
      </w:r>
      <w:r>
        <w:rPr>
          <w:sz w:val="28"/>
        </w:rPr>
        <w:t>с.</w:t>
      </w:r>
    </w:p>
    <w:p w:rsidR="00645170" w:rsidRDefault="00645170">
      <w:pPr>
        <w:pStyle w:val="ListParagraph"/>
        <w:numPr>
          <w:ilvl w:val="0"/>
          <w:numId w:val="1"/>
        </w:numPr>
        <w:tabs>
          <w:tab w:val="left" w:pos="1066"/>
        </w:tabs>
        <w:spacing w:before="0" w:line="360" w:lineRule="auto"/>
        <w:ind w:right="517" w:firstLine="0"/>
        <w:jc w:val="both"/>
        <w:rPr>
          <w:sz w:val="28"/>
        </w:rPr>
      </w:pPr>
      <w:r>
        <w:rPr>
          <w:sz w:val="28"/>
        </w:rPr>
        <w:t>Левшанков А.И., Сомов С.В. Сравнительная оценка современных миорелаксантов: Отчет о науч.-иссл. работе № 4.99.276п.12.- СПб.: ВМедА, 2000 (в печати).</w:t>
      </w:r>
    </w:p>
    <w:p w:rsidR="00645170" w:rsidRDefault="00645170">
      <w:pPr>
        <w:pStyle w:val="ListParagraph"/>
        <w:numPr>
          <w:ilvl w:val="0"/>
          <w:numId w:val="1"/>
        </w:numPr>
        <w:tabs>
          <w:tab w:val="left" w:pos="1066"/>
        </w:tabs>
        <w:spacing w:before="0"/>
        <w:ind w:left="1065"/>
        <w:jc w:val="both"/>
        <w:rPr>
          <w:sz w:val="28"/>
        </w:rPr>
      </w:pPr>
      <w:r>
        <w:rPr>
          <w:sz w:val="28"/>
        </w:rPr>
        <w:t>Фармакология миорелаксантов.- М.: Медицина, 1989.- 288</w:t>
      </w:r>
      <w:r>
        <w:rPr>
          <w:spacing w:val="-2"/>
          <w:sz w:val="28"/>
        </w:rPr>
        <w:t xml:space="preserve"> </w:t>
      </w:r>
      <w:r>
        <w:rPr>
          <w:sz w:val="28"/>
        </w:rPr>
        <w:t>с.</w:t>
      </w:r>
    </w:p>
    <w:p w:rsidR="00645170" w:rsidRDefault="00645170">
      <w:pPr>
        <w:pStyle w:val="ListParagraph"/>
        <w:numPr>
          <w:ilvl w:val="0"/>
          <w:numId w:val="1"/>
        </w:numPr>
        <w:tabs>
          <w:tab w:val="left" w:pos="1066"/>
        </w:tabs>
        <w:spacing w:before="157" w:line="357" w:lineRule="auto"/>
        <w:ind w:right="511" w:firstLine="0"/>
        <w:jc w:val="both"/>
        <w:rPr>
          <w:sz w:val="28"/>
        </w:rPr>
      </w:pPr>
      <w:r w:rsidRPr="007870B2">
        <w:rPr>
          <w:sz w:val="28"/>
          <w:lang w:val="en-US"/>
        </w:rPr>
        <w:t xml:space="preserve">Bevan D.R., Bevan J.C., Donati </w:t>
      </w:r>
      <w:r w:rsidRPr="007870B2">
        <w:rPr>
          <w:spacing w:val="-4"/>
          <w:sz w:val="28"/>
          <w:lang w:val="en-US"/>
        </w:rPr>
        <w:t xml:space="preserve">F. </w:t>
      </w:r>
      <w:r w:rsidRPr="007870B2">
        <w:rPr>
          <w:sz w:val="28"/>
          <w:lang w:val="en-US"/>
        </w:rPr>
        <w:t xml:space="preserve">Muscle relaxants in clinical anesthesia.- </w:t>
      </w:r>
      <w:r>
        <w:rPr>
          <w:sz w:val="28"/>
        </w:rPr>
        <w:t>Chicago; London, 1988.- 443</w:t>
      </w:r>
      <w:r>
        <w:rPr>
          <w:spacing w:val="9"/>
          <w:sz w:val="28"/>
        </w:rPr>
        <w:t xml:space="preserve"> </w:t>
      </w:r>
      <w:r>
        <w:rPr>
          <w:sz w:val="28"/>
        </w:rPr>
        <w:t>p.</w:t>
      </w:r>
    </w:p>
    <w:sectPr w:rsidR="00645170" w:rsidSect="00B2026A">
      <w:headerReference w:type="default" r:id="rId72"/>
      <w:footerReference w:type="default" r:id="rId73"/>
      <w:pgSz w:w="11910" w:h="16840"/>
      <w:pgMar w:top="1040" w:right="340" w:bottom="1140" w:left="1340" w:header="714" w:footer="959" w:gutter="0"/>
      <w:pgNumType w:start="3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170" w:rsidRDefault="00645170" w:rsidP="00B2026A">
      <w:r>
        <w:separator/>
      </w:r>
    </w:p>
  </w:endnote>
  <w:endnote w:type="continuationSeparator" w:id="0">
    <w:p w:rsidR="00645170" w:rsidRDefault="00645170" w:rsidP="00B202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50" type="#_x0000_t202" style="position:absolute;margin-left:315.45pt;margin-top:782.95pt;width:7.05pt;height:13.2pt;z-index:-251654144;mso-position-horizontal-relative:page;mso-position-vertical-relative:page" filled="f" stroked="f">
          <v:textbox inset="0,0,0,0">
            <w:txbxContent>
              <w:p w:rsidR="00645170" w:rsidRDefault="00645170">
                <w:pPr>
                  <w:spacing w:before="13"/>
                  <w:ind w:left="20"/>
                  <w:rPr>
                    <w:sz w:val="20"/>
                  </w:rPr>
                </w:pPr>
                <w:r>
                  <w:rPr>
                    <w:sz w:val="20"/>
                  </w:rPr>
                  <w:t>2</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68" type="#_x0000_t202" style="position:absolute;margin-left:312.8pt;margin-top:782.95pt;width:12.1pt;height:13.2pt;z-index:-251617280;mso-position-horizontal-relative:page;mso-position-vertical-relative:page" filled="f" stroked="f">
          <v:textbox inset="0,0,0,0">
            <w:txbxContent>
              <w:p w:rsidR="00645170" w:rsidRDefault="00645170">
                <w:pPr>
                  <w:spacing w:before="13"/>
                  <w:ind w:left="20"/>
                  <w:rPr>
                    <w:sz w:val="20"/>
                  </w:rPr>
                </w:pPr>
                <w:r>
                  <w:rPr>
                    <w:sz w:val="20"/>
                  </w:rPr>
                  <w:t>11</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70" type="#_x0000_t202" style="position:absolute;margin-left:312.8pt;margin-top:782.95pt;width:12.1pt;height:13.2pt;z-index:-251613184;mso-position-horizontal-relative:page;mso-position-vertical-relative:page" filled="f" stroked="f">
          <v:textbox inset="0,0,0,0">
            <w:txbxContent>
              <w:p w:rsidR="00645170" w:rsidRDefault="00645170">
                <w:pPr>
                  <w:spacing w:before="13"/>
                  <w:ind w:left="20"/>
                  <w:rPr>
                    <w:sz w:val="20"/>
                  </w:rPr>
                </w:pPr>
                <w:r>
                  <w:rPr>
                    <w:sz w:val="20"/>
                  </w:rPr>
                  <w:t>12</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72" type="#_x0000_t202" style="position:absolute;margin-left:312.8pt;margin-top:782.95pt;width:12.1pt;height:13.2pt;z-index:-251609088;mso-position-horizontal-relative:page;mso-position-vertical-relative:page" filled="f" stroked="f">
          <v:textbox inset="0,0,0,0">
            <w:txbxContent>
              <w:p w:rsidR="00645170" w:rsidRDefault="00645170">
                <w:pPr>
                  <w:spacing w:before="13"/>
                  <w:ind w:left="20"/>
                  <w:rPr>
                    <w:sz w:val="20"/>
                  </w:rPr>
                </w:pPr>
                <w:r>
                  <w:rPr>
                    <w:sz w:val="20"/>
                  </w:rPr>
                  <w:t>13</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74" type="#_x0000_t202" style="position:absolute;margin-left:312.8pt;margin-top:782.95pt;width:12.1pt;height:13.2pt;z-index:-251604992;mso-position-horizontal-relative:page;mso-position-vertical-relative:page" filled="f" stroked="f">
          <v:textbox inset="0,0,0,0">
            <w:txbxContent>
              <w:p w:rsidR="00645170" w:rsidRDefault="00645170">
                <w:pPr>
                  <w:spacing w:before="13"/>
                  <w:ind w:left="20"/>
                  <w:rPr>
                    <w:sz w:val="20"/>
                  </w:rPr>
                </w:pPr>
                <w:r>
                  <w:rPr>
                    <w:sz w:val="20"/>
                  </w:rPr>
                  <w:t>14</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76" type="#_x0000_t202" style="position:absolute;margin-left:312.8pt;margin-top:782.95pt;width:12.1pt;height:13.2pt;z-index:-251600896;mso-position-horizontal-relative:page;mso-position-vertical-relative:page" filled="f" stroked="f">
          <v:textbox inset="0,0,0,0">
            <w:txbxContent>
              <w:p w:rsidR="00645170" w:rsidRDefault="00645170">
                <w:pPr>
                  <w:spacing w:before="13"/>
                  <w:ind w:left="20"/>
                  <w:rPr>
                    <w:sz w:val="20"/>
                  </w:rPr>
                </w:pPr>
                <w:r>
                  <w:rPr>
                    <w:sz w:val="20"/>
                  </w:rPr>
                  <w:t>15</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78" type="#_x0000_t202" style="position:absolute;margin-left:312.8pt;margin-top:782.95pt;width:12.1pt;height:13.2pt;z-index:-251596800;mso-position-horizontal-relative:page;mso-position-vertical-relative:page" filled="f" stroked="f">
          <v:textbox inset="0,0,0,0">
            <w:txbxContent>
              <w:p w:rsidR="00645170" w:rsidRDefault="00645170">
                <w:pPr>
                  <w:spacing w:before="13"/>
                  <w:ind w:left="20"/>
                  <w:rPr>
                    <w:sz w:val="20"/>
                  </w:rPr>
                </w:pPr>
                <w:r>
                  <w:rPr>
                    <w:sz w:val="20"/>
                  </w:rPr>
                  <w:t>16</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80" type="#_x0000_t202" style="position:absolute;margin-left:312.8pt;margin-top:782.95pt;width:12.1pt;height:13.2pt;z-index:-251592704;mso-position-horizontal-relative:page;mso-position-vertical-relative:page" filled="f" stroked="f">
          <v:textbox inset="0,0,0,0">
            <w:txbxContent>
              <w:p w:rsidR="00645170" w:rsidRDefault="00645170">
                <w:pPr>
                  <w:spacing w:before="13"/>
                  <w:ind w:left="20"/>
                  <w:rPr>
                    <w:sz w:val="20"/>
                  </w:rPr>
                </w:pPr>
                <w:r>
                  <w:rPr>
                    <w:sz w:val="20"/>
                  </w:rPr>
                  <w:t>17</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82" type="#_x0000_t202" style="position:absolute;margin-left:312.8pt;margin-top:782.95pt;width:12.1pt;height:13.2pt;z-index:-251588608;mso-position-horizontal-relative:page;mso-position-vertical-relative:page" filled="f" stroked="f">
          <v:textbox inset="0,0,0,0">
            <w:txbxContent>
              <w:p w:rsidR="00645170" w:rsidRDefault="00645170">
                <w:pPr>
                  <w:spacing w:before="13"/>
                  <w:ind w:left="20"/>
                  <w:rPr>
                    <w:sz w:val="20"/>
                  </w:rPr>
                </w:pPr>
                <w:r>
                  <w:rPr>
                    <w:sz w:val="20"/>
                  </w:rPr>
                  <w:t>18</w:t>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84" type="#_x0000_t202" style="position:absolute;margin-left:312.8pt;margin-top:782.95pt;width:12.1pt;height:13.2pt;z-index:-251584512;mso-position-horizontal-relative:page;mso-position-vertical-relative:page" filled="f" stroked="f">
          <v:textbox inset="0,0,0,0">
            <w:txbxContent>
              <w:p w:rsidR="00645170" w:rsidRDefault="00645170">
                <w:pPr>
                  <w:spacing w:before="13"/>
                  <w:ind w:left="20"/>
                  <w:rPr>
                    <w:sz w:val="20"/>
                  </w:rPr>
                </w:pPr>
                <w:r>
                  <w:rPr>
                    <w:sz w:val="20"/>
                  </w:rPr>
                  <w:t>19</w:t>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86" type="#_x0000_t202" style="position:absolute;margin-left:312.8pt;margin-top:782.95pt;width:12.1pt;height:13.2pt;z-index:-251580416;mso-position-horizontal-relative:page;mso-position-vertical-relative:page" filled="f" stroked="f">
          <v:textbox inset="0,0,0,0">
            <w:txbxContent>
              <w:p w:rsidR="00645170" w:rsidRDefault="00645170">
                <w:pPr>
                  <w:spacing w:before="13"/>
                  <w:ind w:left="20"/>
                  <w:rPr>
                    <w:sz w:val="20"/>
                  </w:rPr>
                </w:pPr>
                <w:r>
                  <w:rPr>
                    <w:sz w:val="20"/>
                  </w:rPr>
                  <w:t>20</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52" type="#_x0000_t202" style="position:absolute;margin-left:315.45pt;margin-top:782.95pt;width:7.05pt;height:13.2pt;z-index:-251650048;mso-position-horizontal-relative:page;mso-position-vertical-relative:page" filled="f" stroked="f">
          <v:textbox inset="0,0,0,0">
            <w:txbxContent>
              <w:p w:rsidR="00645170" w:rsidRDefault="00645170">
                <w:pPr>
                  <w:spacing w:before="13"/>
                  <w:ind w:left="20"/>
                  <w:rPr>
                    <w:sz w:val="20"/>
                  </w:rPr>
                </w:pPr>
                <w:r>
                  <w:rPr>
                    <w:sz w:val="20"/>
                  </w:rPr>
                  <w:t>3</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88" type="#_x0000_t202" style="position:absolute;margin-left:312.8pt;margin-top:782.95pt;width:12.1pt;height:13.2pt;z-index:-251576320;mso-position-horizontal-relative:page;mso-position-vertical-relative:page" filled="f" stroked="f">
          <v:textbox inset="0,0,0,0">
            <w:txbxContent>
              <w:p w:rsidR="00645170" w:rsidRDefault="00645170">
                <w:pPr>
                  <w:spacing w:before="13"/>
                  <w:ind w:left="20"/>
                  <w:rPr>
                    <w:sz w:val="20"/>
                  </w:rPr>
                </w:pPr>
                <w:r>
                  <w:rPr>
                    <w:sz w:val="20"/>
                  </w:rPr>
                  <w:t>21</w:t>
                </w: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90" type="#_x0000_t202" style="position:absolute;margin-left:312.8pt;margin-top:782.95pt;width:12.1pt;height:13.2pt;z-index:-251572224;mso-position-horizontal-relative:page;mso-position-vertical-relative:page" filled="f" stroked="f">
          <v:textbox inset="0,0,0,0">
            <w:txbxContent>
              <w:p w:rsidR="00645170" w:rsidRDefault="00645170">
                <w:pPr>
                  <w:spacing w:before="13"/>
                  <w:ind w:left="20"/>
                  <w:rPr>
                    <w:sz w:val="20"/>
                  </w:rPr>
                </w:pPr>
                <w:r>
                  <w:rPr>
                    <w:sz w:val="20"/>
                  </w:rPr>
                  <w:t>22</w:t>
                </w: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92" type="#_x0000_t202" style="position:absolute;margin-left:312.8pt;margin-top:782.95pt;width:12.1pt;height:13.2pt;z-index:-251568128;mso-position-horizontal-relative:page;mso-position-vertical-relative:page" filled="f" stroked="f">
          <v:textbox inset="0,0,0,0">
            <w:txbxContent>
              <w:p w:rsidR="00645170" w:rsidRDefault="00645170">
                <w:pPr>
                  <w:spacing w:before="13"/>
                  <w:ind w:left="20"/>
                  <w:rPr>
                    <w:sz w:val="20"/>
                  </w:rPr>
                </w:pPr>
                <w:r>
                  <w:rPr>
                    <w:sz w:val="20"/>
                  </w:rPr>
                  <w:t>23</w:t>
                </w:r>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94" type="#_x0000_t202" style="position:absolute;margin-left:312.8pt;margin-top:782.95pt;width:12.1pt;height:13.2pt;z-index:-251564032;mso-position-horizontal-relative:page;mso-position-vertical-relative:page" filled="f" stroked="f">
          <v:textbox inset="0,0,0,0">
            <w:txbxContent>
              <w:p w:rsidR="00645170" w:rsidRDefault="00645170">
                <w:pPr>
                  <w:spacing w:before="13"/>
                  <w:ind w:left="20"/>
                  <w:rPr>
                    <w:sz w:val="20"/>
                  </w:rPr>
                </w:pPr>
                <w:r>
                  <w:rPr>
                    <w:sz w:val="20"/>
                  </w:rPr>
                  <w:t>24</w:t>
                </w:r>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96" type="#_x0000_t202" style="position:absolute;margin-left:312.8pt;margin-top:782.95pt;width:12.1pt;height:13.2pt;z-index:-251559936;mso-position-horizontal-relative:page;mso-position-vertical-relative:page" filled="f" stroked="f">
          <v:textbox inset="0,0,0,0">
            <w:txbxContent>
              <w:p w:rsidR="00645170" w:rsidRDefault="00645170">
                <w:pPr>
                  <w:spacing w:before="13"/>
                  <w:ind w:left="20"/>
                  <w:rPr>
                    <w:sz w:val="20"/>
                  </w:rPr>
                </w:pPr>
                <w:r>
                  <w:rPr>
                    <w:sz w:val="20"/>
                  </w:rPr>
                  <w:t>25</w:t>
                </w:r>
              </w:p>
            </w:txbxContent>
          </v:textbox>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98" type="#_x0000_t202" style="position:absolute;margin-left:312.8pt;margin-top:782.95pt;width:12.1pt;height:13.2pt;z-index:-251555840;mso-position-horizontal-relative:page;mso-position-vertical-relative:page" filled="f" stroked="f">
          <v:textbox inset="0,0,0,0">
            <w:txbxContent>
              <w:p w:rsidR="00645170" w:rsidRDefault="00645170">
                <w:pPr>
                  <w:spacing w:before="13"/>
                  <w:ind w:left="20"/>
                  <w:rPr>
                    <w:sz w:val="20"/>
                  </w:rPr>
                </w:pPr>
                <w:r>
                  <w:rPr>
                    <w:sz w:val="20"/>
                  </w:rPr>
                  <w:t>26</w:t>
                </w:r>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100" type="#_x0000_t202" style="position:absolute;margin-left:312.8pt;margin-top:782.95pt;width:12.1pt;height:13.2pt;z-index:-251551744;mso-position-horizontal-relative:page;mso-position-vertical-relative:page" filled="f" stroked="f">
          <v:textbox inset="0,0,0,0">
            <w:txbxContent>
              <w:p w:rsidR="00645170" w:rsidRDefault="00645170">
                <w:pPr>
                  <w:spacing w:before="13"/>
                  <w:ind w:left="20"/>
                  <w:rPr>
                    <w:sz w:val="20"/>
                  </w:rPr>
                </w:pPr>
                <w:r>
                  <w:rPr>
                    <w:sz w:val="20"/>
                  </w:rPr>
                  <w:t>27</w:t>
                </w:r>
              </w:p>
            </w:txbxContent>
          </v:textbox>
          <w10:wrap anchorx="page" anchory="pag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102" type="#_x0000_t202" style="position:absolute;margin-left:312.8pt;margin-top:782.95pt;width:12.1pt;height:13.2pt;z-index:-251547648;mso-position-horizontal-relative:page;mso-position-vertical-relative:page" filled="f" stroked="f">
          <v:textbox inset="0,0,0,0">
            <w:txbxContent>
              <w:p w:rsidR="00645170" w:rsidRDefault="00645170">
                <w:pPr>
                  <w:spacing w:before="13"/>
                  <w:ind w:left="20"/>
                  <w:rPr>
                    <w:sz w:val="20"/>
                  </w:rPr>
                </w:pPr>
                <w:r>
                  <w:rPr>
                    <w:sz w:val="20"/>
                  </w:rPr>
                  <w:t>28</w:t>
                </w:r>
              </w:p>
            </w:txbxContent>
          </v:textbox>
          <w10:wrap anchorx="page" anchory="pag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104" type="#_x0000_t202" style="position:absolute;margin-left:312.8pt;margin-top:782.95pt;width:12.1pt;height:13.2pt;z-index:-251543552;mso-position-horizontal-relative:page;mso-position-vertical-relative:page" filled="f" stroked="f">
          <v:textbox inset="0,0,0,0">
            <w:txbxContent>
              <w:p w:rsidR="00645170" w:rsidRDefault="00645170">
                <w:pPr>
                  <w:spacing w:before="13"/>
                  <w:ind w:left="20"/>
                  <w:rPr>
                    <w:sz w:val="20"/>
                  </w:rPr>
                </w:pPr>
                <w:r>
                  <w:rPr>
                    <w:sz w:val="20"/>
                  </w:rPr>
                  <w:t>29</w:t>
                </w:r>
              </w:p>
            </w:txbxContent>
          </v:textbox>
          <w10:wrap anchorx="page" anchory="pag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106" type="#_x0000_t202" style="position:absolute;margin-left:312.8pt;margin-top:782.95pt;width:12.1pt;height:13.2pt;z-index:-251539456;mso-position-horizontal-relative:page;mso-position-vertical-relative:page" filled="f" stroked="f">
          <v:textbox inset="0,0,0,0">
            <w:txbxContent>
              <w:p w:rsidR="00645170" w:rsidRDefault="00645170">
                <w:pPr>
                  <w:spacing w:before="13"/>
                  <w:ind w:left="20"/>
                  <w:rPr>
                    <w:sz w:val="20"/>
                  </w:rPr>
                </w:pPr>
                <w:r>
                  <w:rPr>
                    <w:sz w:val="20"/>
                  </w:rPr>
                  <w:t>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54" type="#_x0000_t202" style="position:absolute;margin-left:315.45pt;margin-top:782.95pt;width:7.05pt;height:13.2pt;z-index:-251645952;mso-position-horizontal-relative:page;mso-position-vertical-relative:page" filled="f" stroked="f">
          <v:textbox inset="0,0,0,0">
            <w:txbxContent>
              <w:p w:rsidR="00645170" w:rsidRDefault="00645170">
                <w:pPr>
                  <w:spacing w:before="13"/>
                  <w:ind w:left="20"/>
                  <w:rPr>
                    <w:sz w:val="20"/>
                  </w:rPr>
                </w:pPr>
                <w:r>
                  <w:rPr>
                    <w:sz w:val="20"/>
                  </w:rPr>
                  <w:t>4</w:t>
                </w:r>
              </w:p>
            </w:txbxContent>
          </v:textbox>
          <w10:wrap anchorx="page" anchory="pag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108" type="#_x0000_t202" style="position:absolute;margin-left:312.8pt;margin-top:782.95pt;width:12.1pt;height:13.2pt;z-index:-251535360;mso-position-horizontal-relative:page;mso-position-vertical-relative:page" filled="f" stroked="f">
          <v:textbox inset="0,0,0,0">
            <w:txbxContent>
              <w:p w:rsidR="00645170" w:rsidRDefault="00645170">
                <w:pPr>
                  <w:spacing w:before="13"/>
                  <w:ind w:left="20"/>
                  <w:rPr>
                    <w:sz w:val="20"/>
                  </w:rPr>
                </w:pPr>
                <w:r>
                  <w:rPr>
                    <w:sz w:val="20"/>
                  </w:rPr>
                  <w:t>31</w:t>
                </w:r>
              </w:p>
            </w:txbxContent>
          </v:textbox>
          <w10:wrap anchorx="page" anchory="pag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110" type="#_x0000_t202" style="position:absolute;margin-left:312.8pt;margin-top:782.95pt;width:12.1pt;height:13.2pt;z-index:-251531264;mso-position-horizontal-relative:page;mso-position-vertical-relative:page" filled="f" stroked="f">
          <v:textbox inset="0,0,0,0">
            <w:txbxContent>
              <w:p w:rsidR="00645170" w:rsidRDefault="00645170">
                <w:pPr>
                  <w:spacing w:before="13"/>
                  <w:ind w:left="20"/>
                  <w:rPr>
                    <w:sz w:val="20"/>
                  </w:rPr>
                </w:pPr>
                <w:r>
                  <w:rPr>
                    <w:sz w:val="20"/>
                  </w:rPr>
                  <w:t>32</w:t>
                </w:r>
              </w:p>
            </w:txbxContent>
          </v:textbox>
          <w10:wrap anchorx="page" anchory="pag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112" type="#_x0000_t202" style="position:absolute;margin-left:312.8pt;margin-top:782.95pt;width:12.1pt;height:13.2pt;z-index:-251527168;mso-position-horizontal-relative:page;mso-position-vertical-relative:page" filled="f" stroked="f">
          <v:textbox inset="0,0,0,0">
            <w:txbxContent>
              <w:p w:rsidR="00645170" w:rsidRDefault="00645170">
                <w:pPr>
                  <w:spacing w:before="13"/>
                  <w:ind w:left="20"/>
                  <w:rPr>
                    <w:sz w:val="20"/>
                  </w:rPr>
                </w:pPr>
                <w:r>
                  <w:rPr>
                    <w:sz w:val="20"/>
                  </w:rPr>
                  <w:t>33</w:t>
                </w:r>
              </w:p>
            </w:txbxContent>
          </v:textbox>
          <w10:wrap anchorx="page" anchory="pag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114" type="#_x0000_t202" style="position:absolute;margin-left:312.8pt;margin-top:782.95pt;width:12.1pt;height:13.2pt;z-index:-251523072;mso-position-horizontal-relative:page;mso-position-vertical-relative:page" filled="f" stroked="f">
          <v:textbox inset="0,0,0,0">
            <w:txbxContent>
              <w:p w:rsidR="00645170" w:rsidRDefault="00645170">
                <w:pPr>
                  <w:spacing w:before="13"/>
                  <w:ind w:left="20"/>
                  <w:rPr>
                    <w:sz w:val="20"/>
                  </w:rPr>
                </w:pPr>
                <w:r>
                  <w:rPr>
                    <w:sz w:val="20"/>
                  </w:rPr>
                  <w:t>34</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56" type="#_x0000_t202" style="position:absolute;margin-left:315.45pt;margin-top:782.95pt;width:7.05pt;height:13.2pt;z-index:-251641856;mso-position-horizontal-relative:page;mso-position-vertical-relative:page" filled="f" stroked="f">
          <v:textbox inset="0,0,0,0">
            <w:txbxContent>
              <w:p w:rsidR="00645170" w:rsidRDefault="00645170">
                <w:pPr>
                  <w:spacing w:before="13"/>
                  <w:ind w:left="20"/>
                  <w:rPr>
                    <w:sz w:val="20"/>
                  </w:rPr>
                </w:pPr>
                <w:r>
                  <w:rPr>
                    <w:sz w:val="20"/>
                  </w:rPr>
                  <w:t>5</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58" type="#_x0000_t202" style="position:absolute;margin-left:315.45pt;margin-top:782.95pt;width:7.05pt;height:13.2pt;z-index:-251637760;mso-position-horizontal-relative:page;mso-position-vertical-relative:page" filled="f" stroked="f">
          <v:textbox inset="0,0,0,0">
            <w:txbxContent>
              <w:p w:rsidR="00645170" w:rsidRDefault="00645170">
                <w:pPr>
                  <w:spacing w:before="13"/>
                  <w:ind w:left="20"/>
                  <w:rPr>
                    <w:sz w:val="20"/>
                  </w:rPr>
                </w:pPr>
                <w:r>
                  <w:rPr>
                    <w:sz w:val="20"/>
                  </w:rPr>
                  <w:t>6</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60" type="#_x0000_t202" style="position:absolute;margin-left:315.45pt;margin-top:782.95pt;width:7.05pt;height:13.2pt;z-index:-251633664;mso-position-horizontal-relative:page;mso-position-vertical-relative:page" filled="f" stroked="f">
          <v:textbox inset="0,0,0,0">
            <w:txbxContent>
              <w:p w:rsidR="00645170" w:rsidRDefault="00645170">
                <w:pPr>
                  <w:spacing w:before="13"/>
                  <w:ind w:left="20"/>
                  <w:rPr>
                    <w:sz w:val="20"/>
                  </w:rPr>
                </w:pPr>
                <w:r>
                  <w:rPr>
                    <w:sz w:val="20"/>
                  </w:rPr>
                  <w:t>7</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62" type="#_x0000_t202" style="position:absolute;margin-left:315.45pt;margin-top:782.95pt;width:7.05pt;height:13.2pt;z-index:-251629568;mso-position-horizontal-relative:page;mso-position-vertical-relative:page" filled="f" stroked="f">
          <v:textbox inset="0,0,0,0">
            <w:txbxContent>
              <w:p w:rsidR="00645170" w:rsidRDefault="00645170">
                <w:pPr>
                  <w:spacing w:before="13"/>
                  <w:ind w:left="20"/>
                  <w:rPr>
                    <w:sz w:val="20"/>
                  </w:rPr>
                </w:pPr>
                <w:r>
                  <w:rPr>
                    <w:sz w:val="20"/>
                  </w:rPr>
                  <w:t>8</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64" type="#_x0000_t202" style="position:absolute;margin-left:315.45pt;margin-top:782.95pt;width:7.05pt;height:13.2pt;z-index:-251625472;mso-position-horizontal-relative:page;mso-position-vertical-relative:page" filled="f" stroked="f">
          <v:textbox inset="0,0,0,0">
            <w:txbxContent>
              <w:p w:rsidR="00645170" w:rsidRDefault="00645170">
                <w:pPr>
                  <w:spacing w:before="13"/>
                  <w:ind w:left="20"/>
                  <w:rPr>
                    <w:sz w:val="20"/>
                  </w:rPr>
                </w:pPr>
                <w:r>
                  <w:rPr>
                    <w:sz w:val="20"/>
                  </w:rPr>
                  <w:t>9</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66" type="#_x0000_t202" style="position:absolute;margin-left:312.8pt;margin-top:782.95pt;width:12.1pt;height:13.2pt;z-index:-251621376;mso-position-horizontal-relative:page;mso-position-vertical-relative:page" filled="f" stroked="f">
          <v:textbox inset="0,0,0,0">
            <w:txbxContent>
              <w:p w:rsidR="00645170" w:rsidRDefault="00645170">
                <w:pPr>
                  <w:spacing w:before="13"/>
                  <w:ind w:left="20"/>
                  <w:rPr>
                    <w:sz w:val="20"/>
                  </w:rPr>
                </w:pPr>
                <w:r>
                  <w:rPr>
                    <w:sz w:val="20"/>
                  </w:rPr>
                  <w:t>10</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170" w:rsidRDefault="00645170" w:rsidP="00B2026A">
      <w:r>
        <w:separator/>
      </w:r>
    </w:p>
  </w:footnote>
  <w:footnote w:type="continuationSeparator" w:id="0">
    <w:p w:rsidR="00645170" w:rsidRDefault="00645170" w:rsidP="00B202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544.9pt;margin-top:34.7pt;width:11.05pt;height:13.2pt;z-index:-251656192;mso-position-horizontal-relative:page;mso-position-vertical-relative:page" filled="f" stroked="f">
          <v:textbox inset="0,0,0,0">
            <w:txbxContent>
              <w:p w:rsidR="00645170" w:rsidRDefault="00645170">
                <w:pPr>
                  <w:spacing w:before="13"/>
                  <w:ind w:left="60"/>
                  <w:rPr>
                    <w:sz w:val="20"/>
                  </w:rPr>
                </w:pP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67" type="#_x0000_t202" style="position:absolute;margin-left:539.85pt;margin-top:34.7pt;width:16.1pt;height:13.2pt;z-index:-251619328;mso-position-horizontal-relative:page;mso-position-vertical-relative:page" filled="f" stroked="f">
          <v:textbox inset="0,0,0,0">
            <w:txbxContent>
              <w:p w:rsidR="00645170" w:rsidRDefault="00645170">
                <w:pPr>
                  <w:spacing w:before="13"/>
                  <w:ind w:left="60"/>
                  <w:rPr>
                    <w:sz w:val="20"/>
                  </w:rPr>
                </w:pP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69" type="#_x0000_t202" style="position:absolute;margin-left:539.85pt;margin-top:34.7pt;width:16.1pt;height:13.2pt;z-index:-251615232;mso-position-horizontal-relative:page;mso-position-vertical-relative:page" filled="f" stroked="f">
          <v:textbox inset="0,0,0,0">
            <w:txbxContent>
              <w:p w:rsidR="00645170" w:rsidRDefault="00645170">
                <w:pPr>
                  <w:spacing w:before="13"/>
                  <w:ind w:left="60"/>
                  <w:rPr>
                    <w:sz w:val="20"/>
                  </w:rPr>
                </w:pP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71" type="#_x0000_t202" style="position:absolute;margin-left:539.85pt;margin-top:34.7pt;width:16.1pt;height:13.2pt;z-index:-251611136;mso-position-horizontal-relative:page;mso-position-vertical-relative:page" filled="f" stroked="f">
          <v:textbox inset="0,0,0,0">
            <w:txbxContent>
              <w:p w:rsidR="00645170" w:rsidRDefault="00645170">
                <w:pPr>
                  <w:spacing w:before="13"/>
                  <w:ind w:left="60"/>
                  <w:rPr>
                    <w:sz w:val="20"/>
                  </w:rPr>
                </w:pP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73" type="#_x0000_t202" style="position:absolute;margin-left:539.85pt;margin-top:34.7pt;width:16.1pt;height:13.2pt;z-index:-251607040;mso-position-horizontal-relative:page;mso-position-vertical-relative:page" filled="f" stroked="f">
          <v:textbox inset="0,0,0,0">
            <w:txbxContent>
              <w:p w:rsidR="00645170" w:rsidRDefault="00645170">
                <w:pPr>
                  <w:spacing w:before="13"/>
                  <w:ind w:left="60"/>
                  <w:rPr>
                    <w:sz w:val="20"/>
                  </w:rPr>
                </w:pP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75" type="#_x0000_t202" style="position:absolute;margin-left:539.85pt;margin-top:34.7pt;width:16.1pt;height:13.2pt;z-index:-251602944;mso-position-horizontal-relative:page;mso-position-vertical-relative:page" filled="f" stroked="f">
          <v:textbox inset="0,0,0,0">
            <w:txbxContent>
              <w:p w:rsidR="00645170" w:rsidRDefault="00645170">
                <w:pPr>
                  <w:spacing w:before="13"/>
                  <w:ind w:left="60"/>
                  <w:rPr>
                    <w:sz w:val="20"/>
                  </w:rPr>
                </w:pP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77" type="#_x0000_t202" style="position:absolute;margin-left:539.85pt;margin-top:34.7pt;width:16.1pt;height:13.2pt;z-index:-251598848;mso-position-horizontal-relative:page;mso-position-vertical-relative:page" filled="f" stroked="f">
          <v:textbox inset="0,0,0,0">
            <w:txbxContent>
              <w:p w:rsidR="00645170" w:rsidRDefault="00645170">
                <w:pPr>
                  <w:spacing w:before="13"/>
                  <w:ind w:left="60"/>
                  <w:rPr>
                    <w:sz w:val="20"/>
                  </w:rPr>
                </w:pP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79" type="#_x0000_t202" style="position:absolute;margin-left:539.85pt;margin-top:34.7pt;width:16.1pt;height:13.2pt;z-index:-251594752;mso-position-horizontal-relative:page;mso-position-vertical-relative:page" filled="f" stroked="f">
          <v:textbox inset="0,0,0,0">
            <w:txbxContent>
              <w:p w:rsidR="00645170" w:rsidRDefault="00645170">
                <w:pPr>
                  <w:spacing w:before="13"/>
                  <w:ind w:left="60"/>
                  <w:rPr>
                    <w:sz w:val="20"/>
                  </w:rPr>
                </w:pP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81" type="#_x0000_t202" style="position:absolute;margin-left:539.85pt;margin-top:34.7pt;width:16.1pt;height:13.2pt;z-index:-251590656;mso-position-horizontal-relative:page;mso-position-vertical-relative:page" filled="f" stroked="f">
          <v:textbox inset="0,0,0,0">
            <w:txbxContent>
              <w:p w:rsidR="00645170" w:rsidRDefault="00645170">
                <w:pPr>
                  <w:spacing w:before="13"/>
                  <w:ind w:left="60"/>
                  <w:rPr>
                    <w:sz w:val="20"/>
                  </w:rPr>
                </w:pP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83" type="#_x0000_t202" style="position:absolute;margin-left:539.85pt;margin-top:34.7pt;width:16.1pt;height:13.2pt;z-index:-251586560;mso-position-horizontal-relative:page;mso-position-vertical-relative:page" filled="f" stroked="f">
          <v:textbox inset="0,0,0,0">
            <w:txbxContent>
              <w:p w:rsidR="00645170" w:rsidRDefault="00645170">
                <w:pPr>
                  <w:spacing w:before="13"/>
                  <w:ind w:left="60"/>
                  <w:rPr>
                    <w:sz w:val="20"/>
                  </w:rPr>
                </w:pP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85" type="#_x0000_t202" style="position:absolute;margin-left:539.85pt;margin-top:34.7pt;width:16.1pt;height:13.2pt;z-index:-251582464;mso-position-horizontal-relative:page;mso-position-vertical-relative:page" filled="f" stroked="f">
          <v:textbox inset="0,0,0,0">
            <w:txbxContent>
              <w:p w:rsidR="00645170" w:rsidRDefault="00645170">
                <w:pPr>
                  <w:spacing w:before="13"/>
                  <w:ind w:left="60"/>
                  <w:rPr>
                    <w:sz w:val="20"/>
                  </w:rPr>
                </w:pP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51" type="#_x0000_t202" style="position:absolute;margin-left:544.9pt;margin-top:34.7pt;width:11.05pt;height:13.2pt;z-index:-251652096;mso-position-horizontal-relative:page;mso-position-vertical-relative:page" filled="f" stroked="f">
          <v:textbox inset="0,0,0,0">
            <w:txbxContent>
              <w:p w:rsidR="00645170" w:rsidRDefault="00645170">
                <w:pPr>
                  <w:spacing w:before="13"/>
                  <w:ind w:left="60"/>
                  <w:rPr>
                    <w:sz w:val="20"/>
                  </w:rPr>
                </w:pP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87" type="#_x0000_t202" style="position:absolute;margin-left:539.85pt;margin-top:34.7pt;width:16.1pt;height:13.2pt;z-index:-251578368;mso-position-horizontal-relative:page;mso-position-vertical-relative:page" filled="f" stroked="f">
          <v:textbox inset="0,0,0,0">
            <w:txbxContent>
              <w:p w:rsidR="00645170" w:rsidRDefault="00645170">
                <w:pPr>
                  <w:spacing w:before="13"/>
                  <w:ind w:left="60"/>
                  <w:rPr>
                    <w:sz w:val="20"/>
                  </w:rPr>
                </w:pP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89" type="#_x0000_t202" style="position:absolute;margin-left:539.85pt;margin-top:34.7pt;width:16.1pt;height:13.2pt;z-index:-251574272;mso-position-horizontal-relative:page;mso-position-vertical-relative:page" filled="f" stroked="f">
          <v:textbox inset="0,0,0,0">
            <w:txbxContent>
              <w:p w:rsidR="00645170" w:rsidRDefault="00645170">
                <w:pPr>
                  <w:spacing w:before="13"/>
                  <w:ind w:left="60"/>
                  <w:rPr>
                    <w:sz w:val="20"/>
                  </w:rPr>
                </w:pP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91" type="#_x0000_t202" style="position:absolute;margin-left:539.85pt;margin-top:34.7pt;width:16.1pt;height:13.2pt;z-index:-251570176;mso-position-horizontal-relative:page;mso-position-vertical-relative:page" filled="f" stroked="f">
          <v:textbox inset="0,0,0,0">
            <w:txbxContent>
              <w:p w:rsidR="00645170" w:rsidRDefault="00645170">
                <w:pPr>
                  <w:spacing w:before="13"/>
                  <w:ind w:left="60"/>
                  <w:rPr>
                    <w:sz w:val="20"/>
                  </w:rPr>
                </w:pP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93" type="#_x0000_t202" style="position:absolute;margin-left:539.85pt;margin-top:34.7pt;width:16.1pt;height:13.2pt;z-index:-251566080;mso-position-horizontal-relative:page;mso-position-vertical-relative:page" filled="f" stroked="f">
          <v:textbox inset="0,0,0,0">
            <w:txbxContent>
              <w:p w:rsidR="00645170" w:rsidRDefault="00645170">
                <w:pPr>
                  <w:spacing w:before="13"/>
                  <w:ind w:left="60"/>
                  <w:rPr>
                    <w:sz w:val="20"/>
                  </w:rPr>
                </w:pP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95" type="#_x0000_t202" style="position:absolute;margin-left:539.85pt;margin-top:34.7pt;width:16.1pt;height:13.2pt;z-index:-251561984;mso-position-horizontal-relative:page;mso-position-vertical-relative:page" filled="f" stroked="f">
          <v:textbox inset="0,0,0,0">
            <w:txbxContent>
              <w:p w:rsidR="00645170" w:rsidRDefault="00645170">
                <w:pPr>
                  <w:spacing w:before="13"/>
                  <w:ind w:left="60"/>
                  <w:rPr>
                    <w:sz w:val="20"/>
                  </w:rPr>
                </w:pP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97" type="#_x0000_t202" style="position:absolute;margin-left:539.85pt;margin-top:34.7pt;width:16.1pt;height:13.2pt;z-index:-251557888;mso-position-horizontal-relative:page;mso-position-vertical-relative:page" filled="f" stroked="f">
          <v:textbox inset="0,0,0,0">
            <w:txbxContent>
              <w:p w:rsidR="00645170" w:rsidRDefault="00645170">
                <w:pPr>
                  <w:spacing w:before="13"/>
                  <w:ind w:left="60"/>
                  <w:rPr>
                    <w:sz w:val="20"/>
                  </w:rPr>
                </w:pP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99" type="#_x0000_t202" style="position:absolute;margin-left:539.85pt;margin-top:34.7pt;width:16.1pt;height:13.2pt;z-index:-251553792;mso-position-horizontal-relative:page;mso-position-vertical-relative:page" filled="f" stroked="f">
          <v:textbox inset="0,0,0,0">
            <w:txbxContent>
              <w:p w:rsidR="00645170" w:rsidRDefault="00645170">
                <w:pPr>
                  <w:spacing w:before="13"/>
                  <w:ind w:left="60"/>
                  <w:rPr>
                    <w:sz w:val="20"/>
                  </w:rPr>
                </w:pP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101" type="#_x0000_t202" style="position:absolute;margin-left:539.85pt;margin-top:34.7pt;width:16.1pt;height:13.2pt;z-index:-251549696;mso-position-horizontal-relative:page;mso-position-vertical-relative:page" filled="f" stroked="f">
          <v:textbox inset="0,0,0,0">
            <w:txbxContent>
              <w:p w:rsidR="00645170" w:rsidRDefault="00645170">
                <w:pPr>
                  <w:spacing w:before="13"/>
                  <w:ind w:left="60"/>
                  <w:rPr>
                    <w:sz w:val="20"/>
                  </w:rPr>
                </w:pP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103" type="#_x0000_t202" style="position:absolute;margin-left:539.85pt;margin-top:34.7pt;width:16.1pt;height:13.2pt;z-index:-251545600;mso-position-horizontal-relative:page;mso-position-vertical-relative:page" filled="f" stroked="f">
          <v:textbox inset="0,0,0,0">
            <w:txbxContent>
              <w:p w:rsidR="00645170" w:rsidRDefault="00645170">
                <w:pPr>
                  <w:spacing w:before="13"/>
                  <w:ind w:left="60"/>
                  <w:rPr>
                    <w:sz w:val="20"/>
                  </w:rPr>
                </w:pP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105" type="#_x0000_t202" style="position:absolute;margin-left:539.85pt;margin-top:34.7pt;width:16.1pt;height:13.2pt;z-index:-251541504;mso-position-horizontal-relative:page;mso-position-vertical-relative:page" filled="f" stroked="f">
          <v:textbox inset="0,0,0,0">
            <w:txbxContent>
              <w:p w:rsidR="00645170" w:rsidRDefault="00645170">
                <w:pPr>
                  <w:spacing w:before="13"/>
                  <w:ind w:left="60"/>
                  <w:rPr>
                    <w:sz w:val="20"/>
                  </w:rPr>
                </w:pP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53" type="#_x0000_t202" style="position:absolute;margin-left:544.9pt;margin-top:34.7pt;width:11.05pt;height:13.2pt;z-index:-251648000;mso-position-horizontal-relative:page;mso-position-vertical-relative:page" filled="f" stroked="f">
          <v:textbox inset="0,0,0,0">
            <w:txbxContent>
              <w:p w:rsidR="00645170" w:rsidRDefault="00645170">
                <w:pPr>
                  <w:spacing w:before="13"/>
                  <w:ind w:left="60"/>
                  <w:rPr>
                    <w:sz w:val="20"/>
                  </w:rPr>
                </w:pPr>
                <w:r>
                  <w:rPr>
                    <w:sz w:val="20"/>
                  </w:rPr>
                  <w:fldChar w:fldCharType="begin"/>
                </w:r>
                <w:r>
                  <w:rPr>
                    <w:sz w:val="20"/>
                  </w:rPr>
                  <w:instrText xml:space="preserve"> PAGE </w:instrText>
                </w:r>
                <w:r>
                  <w:rPr>
                    <w:sz w:val="20"/>
                  </w:rPr>
                  <w:fldChar w:fldCharType="separate"/>
                </w:r>
                <w:r>
                  <w:rPr>
                    <w:noProof/>
                    <w:sz w:val="20"/>
                  </w:rPr>
                  <w:t>4</w:t>
                </w:r>
                <w:r>
                  <w:rPr>
                    <w:sz w:val="20"/>
                  </w:rPr>
                  <w:fldChar w:fldCharType="end"/>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107" type="#_x0000_t202" style="position:absolute;margin-left:539.85pt;margin-top:34.7pt;width:16.1pt;height:13.2pt;z-index:-251537408;mso-position-horizontal-relative:page;mso-position-vertical-relative:page" filled="f" stroked="f">
          <v:textbox inset="0,0,0,0">
            <w:txbxContent>
              <w:p w:rsidR="00645170" w:rsidRDefault="00645170">
                <w:pPr>
                  <w:spacing w:before="13"/>
                  <w:ind w:left="60"/>
                  <w:rPr>
                    <w:sz w:val="20"/>
                  </w:rPr>
                </w:pP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109" type="#_x0000_t202" style="position:absolute;margin-left:539.85pt;margin-top:34.7pt;width:16.1pt;height:13.2pt;z-index:-251533312;mso-position-horizontal-relative:page;mso-position-vertical-relative:page" filled="f" stroked="f">
          <v:textbox inset="0,0,0,0">
            <w:txbxContent>
              <w:p w:rsidR="00645170" w:rsidRDefault="00645170">
                <w:pPr>
                  <w:spacing w:before="13"/>
                  <w:ind w:left="60"/>
                  <w:rPr>
                    <w:sz w:val="20"/>
                  </w:rPr>
                </w:pP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111" type="#_x0000_t202" style="position:absolute;margin-left:539.85pt;margin-top:34.7pt;width:16.1pt;height:13.2pt;z-index:-251529216;mso-position-horizontal-relative:page;mso-position-vertical-relative:page" filled="f" stroked="f">
          <v:textbox inset="0,0,0,0">
            <w:txbxContent>
              <w:p w:rsidR="00645170" w:rsidRDefault="00645170">
                <w:pPr>
                  <w:spacing w:before="13"/>
                  <w:ind w:left="60"/>
                  <w:rPr>
                    <w:sz w:val="20"/>
                  </w:rPr>
                </w:pP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113" type="#_x0000_t202" style="position:absolute;margin-left:539.85pt;margin-top:34.7pt;width:16.1pt;height:13.2pt;z-index:-251525120;mso-position-horizontal-relative:page;mso-position-vertical-relative:page" filled="f" stroked="f">
          <v:textbox inset="0,0,0,0">
            <w:txbxContent>
              <w:p w:rsidR="00645170" w:rsidRDefault="00645170">
                <w:pPr>
                  <w:spacing w:before="13"/>
                  <w:ind w:left="60"/>
                  <w:rPr>
                    <w:sz w:val="20"/>
                  </w:rPr>
                </w:pP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55" type="#_x0000_t202" style="position:absolute;margin-left:544.9pt;margin-top:34.7pt;width:11.05pt;height:13.2pt;z-index:-251643904;mso-position-horizontal-relative:page;mso-position-vertical-relative:page" filled="f" stroked="f">
          <v:textbox inset="0,0,0,0">
            <w:txbxContent>
              <w:p w:rsidR="00645170" w:rsidRDefault="00645170">
                <w:pPr>
                  <w:spacing w:before="13"/>
                  <w:ind w:left="60"/>
                  <w:rPr>
                    <w:sz w:val="20"/>
                  </w:rPr>
                </w:pP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57" type="#_x0000_t202" style="position:absolute;margin-left:544.9pt;margin-top:34.7pt;width:11.05pt;height:13.2pt;z-index:-251639808;mso-position-horizontal-relative:page;mso-position-vertical-relative:page" filled="f" stroked="f">
          <v:textbox inset="0,0,0,0">
            <w:txbxContent>
              <w:p w:rsidR="00645170" w:rsidRDefault="00645170">
                <w:pPr>
                  <w:spacing w:before="13"/>
                  <w:ind w:left="60"/>
                  <w:rPr>
                    <w:sz w:val="20"/>
                  </w:rPr>
                </w:pPr>
                <w:r>
                  <w:rPr>
                    <w:sz w:val="20"/>
                  </w:rPr>
                  <w:fldChar w:fldCharType="begin"/>
                </w:r>
                <w:r>
                  <w:rPr>
                    <w:sz w:val="20"/>
                  </w:rPr>
                  <w:instrText xml:space="preserve"> PAGE </w:instrText>
                </w:r>
                <w:r>
                  <w:rPr>
                    <w:sz w:val="20"/>
                  </w:rPr>
                  <w:fldChar w:fldCharType="separate"/>
                </w:r>
                <w:r>
                  <w:rPr>
                    <w:noProof/>
                    <w:sz w:val="20"/>
                  </w:rPr>
                  <w:t>6</w:t>
                </w:r>
                <w:r>
                  <w:rPr>
                    <w:sz w:val="20"/>
                  </w:rP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59" type="#_x0000_t202" style="position:absolute;margin-left:544.9pt;margin-top:34.7pt;width:11.05pt;height:13.2pt;z-index:-251635712;mso-position-horizontal-relative:page;mso-position-vertical-relative:page" filled="f" stroked="f">
          <v:textbox inset="0,0,0,0">
            <w:txbxContent>
              <w:p w:rsidR="00645170" w:rsidRDefault="00645170">
                <w:pPr>
                  <w:spacing w:before="13"/>
                  <w:ind w:left="60"/>
                  <w:rPr>
                    <w:sz w:val="20"/>
                  </w:rPr>
                </w:pP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61" type="#_x0000_t202" style="position:absolute;margin-left:544.9pt;margin-top:34.7pt;width:11.05pt;height:13.2pt;z-index:-251631616;mso-position-horizontal-relative:page;mso-position-vertical-relative:page" filled="f" stroked="f">
          <v:textbox inset="0,0,0,0">
            <w:txbxContent>
              <w:p w:rsidR="00645170" w:rsidRDefault="00645170">
                <w:pPr>
                  <w:spacing w:before="13"/>
                  <w:ind w:left="60"/>
                  <w:rPr>
                    <w:sz w:val="20"/>
                  </w:rPr>
                </w:pPr>
                <w:r>
                  <w:rPr>
                    <w:sz w:val="20"/>
                  </w:rPr>
                  <w:fldChar w:fldCharType="begin"/>
                </w:r>
                <w:r>
                  <w:rPr>
                    <w:sz w:val="20"/>
                  </w:rPr>
                  <w:instrText xml:space="preserve"> PAGE </w:instrText>
                </w:r>
                <w:r>
                  <w:rPr>
                    <w:sz w:val="20"/>
                  </w:rPr>
                  <w:fldChar w:fldCharType="separate"/>
                </w:r>
                <w:r>
                  <w:rPr>
                    <w:noProof/>
                    <w:sz w:val="20"/>
                  </w:rPr>
                  <w:t>8</w:t>
                </w:r>
                <w:r>
                  <w:rPr>
                    <w:sz w:val="20"/>
                  </w:rP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63" type="#_x0000_t202" style="position:absolute;margin-left:544.9pt;margin-top:34.7pt;width:11.05pt;height:13.2pt;z-index:-251627520;mso-position-horizontal-relative:page;mso-position-vertical-relative:page" filled="f" stroked="f">
          <v:textbox inset="0,0,0,0">
            <w:txbxContent>
              <w:p w:rsidR="00645170" w:rsidRDefault="00645170">
                <w:pPr>
                  <w:spacing w:before="13"/>
                  <w:ind w:left="60"/>
                  <w:rPr>
                    <w:sz w:val="20"/>
                  </w:rPr>
                </w:pP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0" w:rsidRDefault="00645170">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_x0000_s2065" type="#_x0000_t202" style="position:absolute;margin-left:539.85pt;margin-top:34.7pt;width:16.1pt;height:13.2pt;z-index:-251623424;mso-position-horizontal-relative:page;mso-position-vertical-relative:page" filled="f" stroked="f">
          <v:textbox inset="0,0,0,0">
            <w:txbxContent>
              <w:p w:rsidR="00645170" w:rsidRDefault="00645170">
                <w:pPr>
                  <w:spacing w:before="13"/>
                  <w:ind w:left="60"/>
                  <w:rPr>
                    <w:sz w:val="20"/>
                  </w:rPr>
                </w:pP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0C3"/>
    <w:multiLevelType w:val="multilevel"/>
    <w:tmpl w:val="7F8CA698"/>
    <w:lvl w:ilvl="0">
      <w:start w:val="1"/>
      <w:numFmt w:val="decimal"/>
      <w:lvlText w:val="%1."/>
      <w:lvlJc w:val="left"/>
      <w:pPr>
        <w:ind w:left="359" w:hanging="283"/>
      </w:pPr>
      <w:rPr>
        <w:rFonts w:ascii="Times New Roman" w:eastAsia="Times New Roman" w:hAnsi="Times New Roman" w:cs="Times New Roman" w:hint="default"/>
        <w:w w:val="99"/>
        <w:sz w:val="28"/>
        <w:szCs w:val="28"/>
      </w:rPr>
    </w:lvl>
    <w:lvl w:ilvl="1">
      <w:start w:val="1"/>
      <w:numFmt w:val="decimal"/>
      <w:lvlText w:val="%1.%2"/>
      <w:lvlJc w:val="left"/>
      <w:pPr>
        <w:ind w:left="782" w:hanging="423"/>
      </w:pPr>
      <w:rPr>
        <w:rFonts w:ascii="Times New Roman" w:eastAsia="Times New Roman" w:hAnsi="Times New Roman" w:cs="Times New Roman" w:hint="default"/>
        <w:w w:val="99"/>
        <w:sz w:val="28"/>
        <w:szCs w:val="28"/>
      </w:rPr>
    </w:lvl>
    <w:lvl w:ilvl="2">
      <w:numFmt w:val="bullet"/>
      <w:lvlText w:val="•"/>
      <w:lvlJc w:val="left"/>
      <w:pPr>
        <w:ind w:left="1829" w:hanging="423"/>
      </w:pPr>
      <w:rPr>
        <w:rFonts w:hint="default"/>
      </w:rPr>
    </w:lvl>
    <w:lvl w:ilvl="3">
      <w:numFmt w:val="bullet"/>
      <w:lvlText w:val="•"/>
      <w:lvlJc w:val="left"/>
      <w:pPr>
        <w:ind w:left="2879" w:hanging="423"/>
      </w:pPr>
      <w:rPr>
        <w:rFonts w:hint="default"/>
      </w:rPr>
    </w:lvl>
    <w:lvl w:ilvl="4">
      <w:numFmt w:val="bullet"/>
      <w:lvlText w:val="•"/>
      <w:lvlJc w:val="left"/>
      <w:pPr>
        <w:ind w:left="3929" w:hanging="423"/>
      </w:pPr>
      <w:rPr>
        <w:rFonts w:hint="default"/>
      </w:rPr>
    </w:lvl>
    <w:lvl w:ilvl="5">
      <w:numFmt w:val="bullet"/>
      <w:lvlText w:val="•"/>
      <w:lvlJc w:val="left"/>
      <w:pPr>
        <w:ind w:left="4979" w:hanging="423"/>
      </w:pPr>
      <w:rPr>
        <w:rFonts w:hint="default"/>
      </w:rPr>
    </w:lvl>
    <w:lvl w:ilvl="6">
      <w:numFmt w:val="bullet"/>
      <w:lvlText w:val="•"/>
      <w:lvlJc w:val="left"/>
      <w:pPr>
        <w:ind w:left="6029" w:hanging="423"/>
      </w:pPr>
      <w:rPr>
        <w:rFonts w:hint="default"/>
      </w:rPr>
    </w:lvl>
    <w:lvl w:ilvl="7">
      <w:numFmt w:val="bullet"/>
      <w:lvlText w:val="•"/>
      <w:lvlJc w:val="left"/>
      <w:pPr>
        <w:ind w:left="7079" w:hanging="423"/>
      </w:pPr>
      <w:rPr>
        <w:rFonts w:hint="default"/>
      </w:rPr>
    </w:lvl>
    <w:lvl w:ilvl="8">
      <w:numFmt w:val="bullet"/>
      <w:lvlText w:val="•"/>
      <w:lvlJc w:val="left"/>
      <w:pPr>
        <w:ind w:left="8129" w:hanging="423"/>
      </w:pPr>
      <w:rPr>
        <w:rFonts w:hint="default"/>
      </w:rPr>
    </w:lvl>
  </w:abstractNum>
  <w:abstractNum w:abstractNumId="1">
    <w:nsid w:val="08D2139C"/>
    <w:multiLevelType w:val="hybridMultilevel"/>
    <w:tmpl w:val="FFFFFFFF"/>
    <w:lvl w:ilvl="0" w:tplc="D3AE3CBC">
      <w:numFmt w:val="bullet"/>
      <w:lvlText w:val="-"/>
      <w:lvlJc w:val="left"/>
      <w:pPr>
        <w:ind w:left="470" w:hanging="361"/>
      </w:pPr>
      <w:rPr>
        <w:rFonts w:ascii="Times New Roman" w:eastAsia="Times New Roman" w:hAnsi="Times New Roman" w:hint="default"/>
        <w:w w:val="100"/>
        <w:sz w:val="20"/>
      </w:rPr>
    </w:lvl>
    <w:lvl w:ilvl="1" w:tplc="6D20ED70">
      <w:numFmt w:val="bullet"/>
      <w:lvlText w:val="•"/>
      <w:lvlJc w:val="left"/>
      <w:pPr>
        <w:ind w:left="751" w:hanging="361"/>
      </w:pPr>
      <w:rPr>
        <w:rFonts w:hint="default"/>
      </w:rPr>
    </w:lvl>
    <w:lvl w:ilvl="2" w:tplc="6D00223A">
      <w:numFmt w:val="bullet"/>
      <w:lvlText w:val="•"/>
      <w:lvlJc w:val="left"/>
      <w:pPr>
        <w:ind w:left="1023" w:hanging="361"/>
      </w:pPr>
      <w:rPr>
        <w:rFonts w:hint="default"/>
      </w:rPr>
    </w:lvl>
    <w:lvl w:ilvl="3" w:tplc="62BC5DA4">
      <w:numFmt w:val="bullet"/>
      <w:lvlText w:val="•"/>
      <w:lvlJc w:val="left"/>
      <w:pPr>
        <w:ind w:left="1295" w:hanging="361"/>
      </w:pPr>
      <w:rPr>
        <w:rFonts w:hint="default"/>
      </w:rPr>
    </w:lvl>
    <w:lvl w:ilvl="4" w:tplc="ECC4E0F4">
      <w:numFmt w:val="bullet"/>
      <w:lvlText w:val="•"/>
      <w:lvlJc w:val="left"/>
      <w:pPr>
        <w:ind w:left="1567" w:hanging="361"/>
      </w:pPr>
      <w:rPr>
        <w:rFonts w:hint="default"/>
      </w:rPr>
    </w:lvl>
    <w:lvl w:ilvl="5" w:tplc="8ACE8298">
      <w:numFmt w:val="bullet"/>
      <w:lvlText w:val="•"/>
      <w:lvlJc w:val="left"/>
      <w:pPr>
        <w:ind w:left="1839" w:hanging="361"/>
      </w:pPr>
      <w:rPr>
        <w:rFonts w:hint="default"/>
      </w:rPr>
    </w:lvl>
    <w:lvl w:ilvl="6" w:tplc="9FE481A8">
      <w:numFmt w:val="bullet"/>
      <w:lvlText w:val="•"/>
      <w:lvlJc w:val="left"/>
      <w:pPr>
        <w:ind w:left="2110" w:hanging="361"/>
      </w:pPr>
      <w:rPr>
        <w:rFonts w:hint="default"/>
      </w:rPr>
    </w:lvl>
    <w:lvl w:ilvl="7" w:tplc="9AD0A4C2">
      <w:numFmt w:val="bullet"/>
      <w:lvlText w:val="•"/>
      <w:lvlJc w:val="left"/>
      <w:pPr>
        <w:ind w:left="2382" w:hanging="361"/>
      </w:pPr>
      <w:rPr>
        <w:rFonts w:hint="default"/>
      </w:rPr>
    </w:lvl>
    <w:lvl w:ilvl="8" w:tplc="2C0C4AB2">
      <w:numFmt w:val="bullet"/>
      <w:lvlText w:val="•"/>
      <w:lvlJc w:val="left"/>
      <w:pPr>
        <w:ind w:left="2654" w:hanging="361"/>
      </w:pPr>
      <w:rPr>
        <w:rFonts w:hint="default"/>
      </w:rPr>
    </w:lvl>
  </w:abstractNum>
  <w:abstractNum w:abstractNumId="2">
    <w:nsid w:val="13613691"/>
    <w:multiLevelType w:val="hybridMultilevel"/>
    <w:tmpl w:val="FFFFFFFF"/>
    <w:lvl w:ilvl="0" w:tplc="422E6CA2">
      <w:start w:val="1"/>
      <w:numFmt w:val="decimal"/>
      <w:lvlText w:val="%1."/>
      <w:lvlJc w:val="left"/>
      <w:pPr>
        <w:ind w:left="1353" w:hanging="283"/>
      </w:pPr>
      <w:rPr>
        <w:rFonts w:ascii="Times New Roman" w:eastAsia="Times New Roman" w:hAnsi="Times New Roman" w:cs="Times New Roman" w:hint="default"/>
        <w:w w:val="99"/>
        <w:sz w:val="28"/>
        <w:szCs w:val="28"/>
      </w:rPr>
    </w:lvl>
    <w:lvl w:ilvl="1" w:tplc="EB18899C">
      <w:numFmt w:val="bullet"/>
      <w:lvlText w:val="•"/>
      <w:lvlJc w:val="left"/>
      <w:pPr>
        <w:ind w:left="3880" w:hanging="283"/>
      </w:pPr>
      <w:rPr>
        <w:rFonts w:hint="default"/>
      </w:rPr>
    </w:lvl>
    <w:lvl w:ilvl="2" w:tplc="9DC0410C">
      <w:numFmt w:val="bullet"/>
      <w:lvlText w:val="•"/>
      <w:lvlJc w:val="left"/>
      <w:pPr>
        <w:ind w:left="4585" w:hanging="283"/>
      </w:pPr>
      <w:rPr>
        <w:rFonts w:hint="default"/>
      </w:rPr>
    </w:lvl>
    <w:lvl w:ilvl="3" w:tplc="D7521C54">
      <w:numFmt w:val="bullet"/>
      <w:lvlText w:val="•"/>
      <w:lvlJc w:val="left"/>
      <w:pPr>
        <w:ind w:left="5290" w:hanging="283"/>
      </w:pPr>
      <w:rPr>
        <w:rFonts w:hint="default"/>
      </w:rPr>
    </w:lvl>
    <w:lvl w:ilvl="4" w:tplc="4BD20662">
      <w:numFmt w:val="bullet"/>
      <w:lvlText w:val="•"/>
      <w:lvlJc w:val="left"/>
      <w:pPr>
        <w:ind w:left="5996" w:hanging="283"/>
      </w:pPr>
      <w:rPr>
        <w:rFonts w:hint="default"/>
      </w:rPr>
    </w:lvl>
    <w:lvl w:ilvl="5" w:tplc="23165A4A">
      <w:numFmt w:val="bullet"/>
      <w:lvlText w:val="•"/>
      <w:lvlJc w:val="left"/>
      <w:pPr>
        <w:ind w:left="6701" w:hanging="283"/>
      </w:pPr>
      <w:rPr>
        <w:rFonts w:hint="default"/>
      </w:rPr>
    </w:lvl>
    <w:lvl w:ilvl="6" w:tplc="55C6DF82">
      <w:numFmt w:val="bullet"/>
      <w:lvlText w:val="•"/>
      <w:lvlJc w:val="left"/>
      <w:pPr>
        <w:ind w:left="7407" w:hanging="283"/>
      </w:pPr>
      <w:rPr>
        <w:rFonts w:hint="default"/>
      </w:rPr>
    </w:lvl>
    <w:lvl w:ilvl="7" w:tplc="02364988">
      <w:numFmt w:val="bullet"/>
      <w:lvlText w:val="•"/>
      <w:lvlJc w:val="left"/>
      <w:pPr>
        <w:ind w:left="8112" w:hanging="283"/>
      </w:pPr>
      <w:rPr>
        <w:rFonts w:hint="default"/>
      </w:rPr>
    </w:lvl>
    <w:lvl w:ilvl="8" w:tplc="47783ED0">
      <w:numFmt w:val="bullet"/>
      <w:lvlText w:val="•"/>
      <w:lvlJc w:val="left"/>
      <w:pPr>
        <w:ind w:left="8817" w:hanging="283"/>
      </w:pPr>
      <w:rPr>
        <w:rFonts w:hint="default"/>
      </w:rPr>
    </w:lvl>
  </w:abstractNum>
  <w:abstractNum w:abstractNumId="3">
    <w:nsid w:val="18C02051"/>
    <w:multiLevelType w:val="hybridMultilevel"/>
    <w:tmpl w:val="FFFFFFFF"/>
    <w:lvl w:ilvl="0" w:tplc="18969780">
      <w:start w:val="1"/>
      <w:numFmt w:val="decimal"/>
      <w:lvlText w:val="%1."/>
      <w:lvlJc w:val="left"/>
      <w:pPr>
        <w:ind w:left="1353" w:hanging="283"/>
      </w:pPr>
      <w:rPr>
        <w:rFonts w:ascii="Times New Roman" w:eastAsia="Times New Roman" w:hAnsi="Times New Roman" w:cs="Times New Roman" w:hint="default"/>
        <w:w w:val="99"/>
        <w:sz w:val="28"/>
        <w:szCs w:val="28"/>
      </w:rPr>
    </w:lvl>
    <w:lvl w:ilvl="1" w:tplc="A7D2A772">
      <w:numFmt w:val="bullet"/>
      <w:lvlText w:val="•"/>
      <w:lvlJc w:val="left"/>
      <w:pPr>
        <w:ind w:left="2246" w:hanging="283"/>
      </w:pPr>
      <w:rPr>
        <w:rFonts w:hint="default"/>
      </w:rPr>
    </w:lvl>
    <w:lvl w:ilvl="2" w:tplc="3624906E">
      <w:numFmt w:val="bullet"/>
      <w:lvlText w:val="•"/>
      <w:lvlJc w:val="left"/>
      <w:pPr>
        <w:ind w:left="3133" w:hanging="283"/>
      </w:pPr>
      <w:rPr>
        <w:rFonts w:hint="default"/>
      </w:rPr>
    </w:lvl>
    <w:lvl w:ilvl="3" w:tplc="337C88A4">
      <w:numFmt w:val="bullet"/>
      <w:lvlText w:val="•"/>
      <w:lvlJc w:val="left"/>
      <w:pPr>
        <w:ind w:left="4020" w:hanging="283"/>
      </w:pPr>
      <w:rPr>
        <w:rFonts w:hint="default"/>
      </w:rPr>
    </w:lvl>
    <w:lvl w:ilvl="4" w:tplc="7DACAF4E">
      <w:numFmt w:val="bullet"/>
      <w:lvlText w:val="•"/>
      <w:lvlJc w:val="left"/>
      <w:pPr>
        <w:ind w:left="4907" w:hanging="283"/>
      </w:pPr>
      <w:rPr>
        <w:rFonts w:hint="default"/>
      </w:rPr>
    </w:lvl>
    <w:lvl w:ilvl="5" w:tplc="D556FB1E">
      <w:numFmt w:val="bullet"/>
      <w:lvlText w:val="•"/>
      <w:lvlJc w:val="left"/>
      <w:pPr>
        <w:ind w:left="5794" w:hanging="283"/>
      </w:pPr>
      <w:rPr>
        <w:rFonts w:hint="default"/>
      </w:rPr>
    </w:lvl>
    <w:lvl w:ilvl="6" w:tplc="5D72484E">
      <w:numFmt w:val="bullet"/>
      <w:lvlText w:val="•"/>
      <w:lvlJc w:val="left"/>
      <w:pPr>
        <w:ind w:left="6681" w:hanging="283"/>
      </w:pPr>
      <w:rPr>
        <w:rFonts w:hint="default"/>
      </w:rPr>
    </w:lvl>
    <w:lvl w:ilvl="7" w:tplc="295C0200">
      <w:numFmt w:val="bullet"/>
      <w:lvlText w:val="•"/>
      <w:lvlJc w:val="left"/>
      <w:pPr>
        <w:ind w:left="7568" w:hanging="283"/>
      </w:pPr>
      <w:rPr>
        <w:rFonts w:hint="default"/>
      </w:rPr>
    </w:lvl>
    <w:lvl w:ilvl="8" w:tplc="2D14CC90">
      <w:numFmt w:val="bullet"/>
      <w:lvlText w:val="•"/>
      <w:lvlJc w:val="left"/>
      <w:pPr>
        <w:ind w:left="8455" w:hanging="283"/>
      </w:pPr>
      <w:rPr>
        <w:rFonts w:hint="default"/>
      </w:rPr>
    </w:lvl>
  </w:abstractNum>
  <w:abstractNum w:abstractNumId="4">
    <w:nsid w:val="210E4241"/>
    <w:multiLevelType w:val="hybridMultilevel"/>
    <w:tmpl w:val="FFFFFFFF"/>
    <w:lvl w:ilvl="0" w:tplc="06FC72CA">
      <w:start w:val="1"/>
      <w:numFmt w:val="decimal"/>
      <w:lvlText w:val="%1."/>
      <w:lvlJc w:val="left"/>
      <w:pPr>
        <w:ind w:left="359" w:hanging="374"/>
      </w:pPr>
      <w:rPr>
        <w:rFonts w:ascii="Times New Roman" w:eastAsia="Times New Roman" w:hAnsi="Times New Roman" w:cs="Times New Roman" w:hint="default"/>
        <w:b/>
        <w:bCs/>
        <w:w w:val="99"/>
        <w:sz w:val="28"/>
        <w:szCs w:val="28"/>
      </w:rPr>
    </w:lvl>
    <w:lvl w:ilvl="1" w:tplc="30BE65D8">
      <w:numFmt w:val="bullet"/>
      <w:lvlText w:val="•"/>
      <w:lvlJc w:val="left"/>
      <w:pPr>
        <w:ind w:left="1346" w:hanging="374"/>
      </w:pPr>
      <w:rPr>
        <w:rFonts w:hint="default"/>
      </w:rPr>
    </w:lvl>
    <w:lvl w:ilvl="2" w:tplc="A628D76E">
      <w:numFmt w:val="bullet"/>
      <w:lvlText w:val="•"/>
      <w:lvlJc w:val="left"/>
      <w:pPr>
        <w:ind w:left="2333" w:hanging="374"/>
      </w:pPr>
      <w:rPr>
        <w:rFonts w:hint="default"/>
      </w:rPr>
    </w:lvl>
    <w:lvl w:ilvl="3" w:tplc="516876D4">
      <w:numFmt w:val="bullet"/>
      <w:lvlText w:val="•"/>
      <w:lvlJc w:val="left"/>
      <w:pPr>
        <w:ind w:left="3320" w:hanging="374"/>
      </w:pPr>
      <w:rPr>
        <w:rFonts w:hint="default"/>
      </w:rPr>
    </w:lvl>
    <w:lvl w:ilvl="4" w:tplc="2E306CBA">
      <w:numFmt w:val="bullet"/>
      <w:lvlText w:val="•"/>
      <w:lvlJc w:val="left"/>
      <w:pPr>
        <w:ind w:left="4307" w:hanging="374"/>
      </w:pPr>
      <w:rPr>
        <w:rFonts w:hint="default"/>
      </w:rPr>
    </w:lvl>
    <w:lvl w:ilvl="5" w:tplc="9260ED4A">
      <w:numFmt w:val="bullet"/>
      <w:lvlText w:val="•"/>
      <w:lvlJc w:val="left"/>
      <w:pPr>
        <w:ind w:left="5294" w:hanging="374"/>
      </w:pPr>
      <w:rPr>
        <w:rFonts w:hint="default"/>
      </w:rPr>
    </w:lvl>
    <w:lvl w:ilvl="6" w:tplc="CF4E58D0">
      <w:numFmt w:val="bullet"/>
      <w:lvlText w:val="•"/>
      <w:lvlJc w:val="left"/>
      <w:pPr>
        <w:ind w:left="6281" w:hanging="374"/>
      </w:pPr>
      <w:rPr>
        <w:rFonts w:hint="default"/>
      </w:rPr>
    </w:lvl>
    <w:lvl w:ilvl="7" w:tplc="A030C140">
      <w:numFmt w:val="bullet"/>
      <w:lvlText w:val="•"/>
      <w:lvlJc w:val="left"/>
      <w:pPr>
        <w:ind w:left="7268" w:hanging="374"/>
      </w:pPr>
      <w:rPr>
        <w:rFonts w:hint="default"/>
      </w:rPr>
    </w:lvl>
    <w:lvl w:ilvl="8" w:tplc="5434D5DC">
      <w:numFmt w:val="bullet"/>
      <w:lvlText w:val="•"/>
      <w:lvlJc w:val="left"/>
      <w:pPr>
        <w:ind w:left="8255" w:hanging="374"/>
      </w:pPr>
      <w:rPr>
        <w:rFonts w:hint="default"/>
      </w:rPr>
    </w:lvl>
  </w:abstractNum>
  <w:abstractNum w:abstractNumId="5">
    <w:nsid w:val="6BC07C08"/>
    <w:multiLevelType w:val="hybridMultilevel"/>
    <w:tmpl w:val="FFFFFFFF"/>
    <w:lvl w:ilvl="0" w:tplc="0E0C6264">
      <w:start w:val="6"/>
      <w:numFmt w:val="decimal"/>
      <w:lvlText w:val="%1."/>
      <w:lvlJc w:val="left"/>
      <w:pPr>
        <w:ind w:left="1396" w:hanging="283"/>
      </w:pPr>
      <w:rPr>
        <w:rFonts w:ascii="Times New Roman" w:eastAsia="Times New Roman" w:hAnsi="Times New Roman" w:cs="Times New Roman" w:hint="default"/>
        <w:b/>
        <w:bCs/>
        <w:w w:val="99"/>
        <w:sz w:val="28"/>
        <w:szCs w:val="28"/>
      </w:rPr>
    </w:lvl>
    <w:lvl w:ilvl="1" w:tplc="240A1A28">
      <w:numFmt w:val="bullet"/>
      <w:lvlText w:val="•"/>
      <w:lvlJc w:val="left"/>
      <w:pPr>
        <w:ind w:left="2282" w:hanging="283"/>
      </w:pPr>
      <w:rPr>
        <w:rFonts w:hint="default"/>
      </w:rPr>
    </w:lvl>
    <w:lvl w:ilvl="2" w:tplc="D5FA797A">
      <w:numFmt w:val="bullet"/>
      <w:lvlText w:val="•"/>
      <w:lvlJc w:val="left"/>
      <w:pPr>
        <w:ind w:left="3165" w:hanging="283"/>
      </w:pPr>
      <w:rPr>
        <w:rFonts w:hint="default"/>
      </w:rPr>
    </w:lvl>
    <w:lvl w:ilvl="3" w:tplc="9C98EF14">
      <w:numFmt w:val="bullet"/>
      <w:lvlText w:val="•"/>
      <w:lvlJc w:val="left"/>
      <w:pPr>
        <w:ind w:left="4048" w:hanging="283"/>
      </w:pPr>
      <w:rPr>
        <w:rFonts w:hint="default"/>
      </w:rPr>
    </w:lvl>
    <w:lvl w:ilvl="4" w:tplc="7F24F054">
      <w:numFmt w:val="bullet"/>
      <w:lvlText w:val="•"/>
      <w:lvlJc w:val="left"/>
      <w:pPr>
        <w:ind w:left="4931" w:hanging="283"/>
      </w:pPr>
      <w:rPr>
        <w:rFonts w:hint="default"/>
      </w:rPr>
    </w:lvl>
    <w:lvl w:ilvl="5" w:tplc="6A2ED522">
      <w:numFmt w:val="bullet"/>
      <w:lvlText w:val="•"/>
      <w:lvlJc w:val="left"/>
      <w:pPr>
        <w:ind w:left="5814" w:hanging="283"/>
      </w:pPr>
      <w:rPr>
        <w:rFonts w:hint="default"/>
      </w:rPr>
    </w:lvl>
    <w:lvl w:ilvl="6" w:tplc="17FA5956">
      <w:numFmt w:val="bullet"/>
      <w:lvlText w:val="•"/>
      <w:lvlJc w:val="left"/>
      <w:pPr>
        <w:ind w:left="6697" w:hanging="283"/>
      </w:pPr>
      <w:rPr>
        <w:rFonts w:hint="default"/>
      </w:rPr>
    </w:lvl>
    <w:lvl w:ilvl="7" w:tplc="ACDE38A8">
      <w:numFmt w:val="bullet"/>
      <w:lvlText w:val="•"/>
      <w:lvlJc w:val="left"/>
      <w:pPr>
        <w:ind w:left="7580" w:hanging="283"/>
      </w:pPr>
      <w:rPr>
        <w:rFonts w:hint="default"/>
      </w:rPr>
    </w:lvl>
    <w:lvl w:ilvl="8" w:tplc="FD764A92">
      <w:numFmt w:val="bullet"/>
      <w:lvlText w:val="•"/>
      <w:lvlJc w:val="left"/>
      <w:pPr>
        <w:ind w:left="8463" w:hanging="283"/>
      </w:pPr>
      <w:rPr>
        <w:rFonts w:hint="default"/>
      </w:rPr>
    </w:lvl>
  </w:abstractNum>
  <w:abstractNum w:abstractNumId="6">
    <w:nsid w:val="7D2C64BB"/>
    <w:multiLevelType w:val="hybridMultilevel"/>
    <w:tmpl w:val="FFFFFFFF"/>
    <w:lvl w:ilvl="0" w:tplc="2A82377C">
      <w:numFmt w:val="bullet"/>
      <w:lvlText w:val="-"/>
      <w:lvlJc w:val="left"/>
      <w:pPr>
        <w:ind w:left="359" w:hanging="360"/>
      </w:pPr>
      <w:rPr>
        <w:rFonts w:ascii="Times New Roman" w:eastAsia="Times New Roman" w:hAnsi="Times New Roman" w:hint="default"/>
        <w:w w:val="99"/>
        <w:sz w:val="28"/>
      </w:rPr>
    </w:lvl>
    <w:lvl w:ilvl="1" w:tplc="F6A6EC5A">
      <w:numFmt w:val="bullet"/>
      <w:lvlText w:val="•"/>
      <w:lvlJc w:val="left"/>
      <w:pPr>
        <w:ind w:left="1346" w:hanging="360"/>
      </w:pPr>
      <w:rPr>
        <w:rFonts w:hint="default"/>
      </w:rPr>
    </w:lvl>
    <w:lvl w:ilvl="2" w:tplc="F01ADB3A">
      <w:numFmt w:val="bullet"/>
      <w:lvlText w:val="•"/>
      <w:lvlJc w:val="left"/>
      <w:pPr>
        <w:ind w:left="2333" w:hanging="360"/>
      </w:pPr>
      <w:rPr>
        <w:rFonts w:hint="default"/>
      </w:rPr>
    </w:lvl>
    <w:lvl w:ilvl="3" w:tplc="BDB43666">
      <w:numFmt w:val="bullet"/>
      <w:lvlText w:val="•"/>
      <w:lvlJc w:val="left"/>
      <w:pPr>
        <w:ind w:left="3320" w:hanging="360"/>
      </w:pPr>
      <w:rPr>
        <w:rFonts w:hint="default"/>
      </w:rPr>
    </w:lvl>
    <w:lvl w:ilvl="4" w:tplc="5992A8C0">
      <w:numFmt w:val="bullet"/>
      <w:lvlText w:val="•"/>
      <w:lvlJc w:val="left"/>
      <w:pPr>
        <w:ind w:left="4307" w:hanging="360"/>
      </w:pPr>
      <w:rPr>
        <w:rFonts w:hint="default"/>
      </w:rPr>
    </w:lvl>
    <w:lvl w:ilvl="5" w:tplc="3D961662">
      <w:numFmt w:val="bullet"/>
      <w:lvlText w:val="•"/>
      <w:lvlJc w:val="left"/>
      <w:pPr>
        <w:ind w:left="5294" w:hanging="360"/>
      </w:pPr>
      <w:rPr>
        <w:rFonts w:hint="default"/>
      </w:rPr>
    </w:lvl>
    <w:lvl w:ilvl="6" w:tplc="0B36603E">
      <w:numFmt w:val="bullet"/>
      <w:lvlText w:val="•"/>
      <w:lvlJc w:val="left"/>
      <w:pPr>
        <w:ind w:left="6281" w:hanging="360"/>
      </w:pPr>
      <w:rPr>
        <w:rFonts w:hint="default"/>
      </w:rPr>
    </w:lvl>
    <w:lvl w:ilvl="7" w:tplc="A8C29B98">
      <w:numFmt w:val="bullet"/>
      <w:lvlText w:val="•"/>
      <w:lvlJc w:val="left"/>
      <w:pPr>
        <w:ind w:left="7268" w:hanging="360"/>
      </w:pPr>
      <w:rPr>
        <w:rFonts w:hint="default"/>
      </w:rPr>
    </w:lvl>
    <w:lvl w:ilvl="8" w:tplc="80E8E788">
      <w:numFmt w:val="bullet"/>
      <w:lvlText w:val="•"/>
      <w:lvlJc w:val="left"/>
      <w:pPr>
        <w:ind w:left="8255" w:hanging="360"/>
      </w:pPr>
      <w:rPr>
        <w:rFonts w:hint="default"/>
      </w:rPr>
    </w:lvl>
  </w:abstractNum>
  <w:abstractNum w:abstractNumId="7">
    <w:nsid w:val="7EB37E84"/>
    <w:multiLevelType w:val="hybridMultilevel"/>
    <w:tmpl w:val="FFFFFFFF"/>
    <w:lvl w:ilvl="0" w:tplc="C19899C6">
      <w:start w:val="1"/>
      <w:numFmt w:val="decimal"/>
      <w:lvlText w:val="%1."/>
      <w:lvlJc w:val="left"/>
      <w:pPr>
        <w:ind w:left="359" w:hanging="707"/>
      </w:pPr>
      <w:rPr>
        <w:rFonts w:ascii="Times New Roman" w:eastAsia="Times New Roman" w:hAnsi="Times New Roman" w:cs="Times New Roman" w:hint="default"/>
        <w:w w:val="99"/>
        <w:sz w:val="28"/>
        <w:szCs w:val="28"/>
      </w:rPr>
    </w:lvl>
    <w:lvl w:ilvl="1" w:tplc="DEF84A40">
      <w:numFmt w:val="bullet"/>
      <w:lvlText w:val="•"/>
      <w:lvlJc w:val="left"/>
      <w:pPr>
        <w:ind w:left="1346" w:hanging="707"/>
      </w:pPr>
      <w:rPr>
        <w:rFonts w:hint="default"/>
      </w:rPr>
    </w:lvl>
    <w:lvl w:ilvl="2" w:tplc="DAB4E72C">
      <w:numFmt w:val="bullet"/>
      <w:lvlText w:val="•"/>
      <w:lvlJc w:val="left"/>
      <w:pPr>
        <w:ind w:left="2333" w:hanging="707"/>
      </w:pPr>
      <w:rPr>
        <w:rFonts w:hint="default"/>
      </w:rPr>
    </w:lvl>
    <w:lvl w:ilvl="3" w:tplc="43C2BB62">
      <w:numFmt w:val="bullet"/>
      <w:lvlText w:val="•"/>
      <w:lvlJc w:val="left"/>
      <w:pPr>
        <w:ind w:left="3320" w:hanging="707"/>
      </w:pPr>
      <w:rPr>
        <w:rFonts w:hint="default"/>
      </w:rPr>
    </w:lvl>
    <w:lvl w:ilvl="4" w:tplc="26D8AB44">
      <w:numFmt w:val="bullet"/>
      <w:lvlText w:val="•"/>
      <w:lvlJc w:val="left"/>
      <w:pPr>
        <w:ind w:left="4307" w:hanging="707"/>
      </w:pPr>
      <w:rPr>
        <w:rFonts w:hint="default"/>
      </w:rPr>
    </w:lvl>
    <w:lvl w:ilvl="5" w:tplc="F7EE07AA">
      <w:numFmt w:val="bullet"/>
      <w:lvlText w:val="•"/>
      <w:lvlJc w:val="left"/>
      <w:pPr>
        <w:ind w:left="5294" w:hanging="707"/>
      </w:pPr>
      <w:rPr>
        <w:rFonts w:hint="default"/>
      </w:rPr>
    </w:lvl>
    <w:lvl w:ilvl="6" w:tplc="4B767B9C">
      <w:numFmt w:val="bullet"/>
      <w:lvlText w:val="•"/>
      <w:lvlJc w:val="left"/>
      <w:pPr>
        <w:ind w:left="6281" w:hanging="707"/>
      </w:pPr>
      <w:rPr>
        <w:rFonts w:hint="default"/>
      </w:rPr>
    </w:lvl>
    <w:lvl w:ilvl="7" w:tplc="8AE88CEE">
      <w:numFmt w:val="bullet"/>
      <w:lvlText w:val="•"/>
      <w:lvlJc w:val="left"/>
      <w:pPr>
        <w:ind w:left="7268" w:hanging="707"/>
      </w:pPr>
      <w:rPr>
        <w:rFonts w:hint="default"/>
      </w:rPr>
    </w:lvl>
    <w:lvl w:ilvl="8" w:tplc="2F8447C8">
      <w:numFmt w:val="bullet"/>
      <w:lvlText w:val="•"/>
      <w:lvlJc w:val="left"/>
      <w:pPr>
        <w:ind w:left="8255" w:hanging="707"/>
      </w:pPr>
      <w:rPr>
        <w:rFonts w:hint="default"/>
      </w:rPr>
    </w:lvl>
  </w:abstractNum>
  <w:num w:numId="1">
    <w:abstractNumId w:val="7"/>
  </w:num>
  <w:num w:numId="2">
    <w:abstractNumId w:val="2"/>
  </w:num>
  <w:num w:numId="3">
    <w:abstractNumId w:val="1"/>
  </w:num>
  <w:num w:numId="4">
    <w:abstractNumId w:val="6"/>
  </w:num>
  <w:num w:numId="5">
    <w:abstractNumId w:val="5"/>
  </w:num>
  <w:num w:numId="6">
    <w:abstractNumId w:val="3"/>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115"/>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026A"/>
    <w:rsid w:val="003406DE"/>
    <w:rsid w:val="00462C27"/>
    <w:rsid w:val="00645170"/>
    <w:rsid w:val="006A4A07"/>
    <w:rsid w:val="007870B2"/>
    <w:rsid w:val="00B202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26A"/>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B2026A"/>
    <w:pPr>
      <w:ind w:left="1672"/>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34E"/>
    <w:rPr>
      <w:rFonts w:asciiTheme="majorHAnsi" w:eastAsiaTheme="majorEastAsia" w:hAnsiTheme="majorHAnsi" w:cstheme="majorBidi"/>
      <w:b/>
      <w:bCs/>
      <w:kern w:val="32"/>
      <w:sz w:val="32"/>
      <w:szCs w:val="32"/>
      <w:lang w:eastAsia="en-US"/>
    </w:rPr>
  </w:style>
  <w:style w:type="paragraph" w:styleId="BodyText">
    <w:name w:val="Body Text"/>
    <w:basedOn w:val="Normal"/>
    <w:link w:val="BodyTextChar"/>
    <w:uiPriority w:val="99"/>
    <w:rsid w:val="00B2026A"/>
    <w:pPr>
      <w:ind w:left="359"/>
    </w:pPr>
    <w:rPr>
      <w:sz w:val="28"/>
      <w:szCs w:val="28"/>
    </w:rPr>
  </w:style>
  <w:style w:type="character" w:customStyle="1" w:styleId="BodyTextChar">
    <w:name w:val="Body Text Char"/>
    <w:basedOn w:val="DefaultParagraphFont"/>
    <w:link w:val="BodyText"/>
    <w:uiPriority w:val="99"/>
    <w:semiHidden/>
    <w:rsid w:val="0077634E"/>
    <w:rPr>
      <w:rFonts w:ascii="Times New Roman" w:eastAsia="Times New Roman" w:hAnsi="Times New Roman"/>
      <w:lang w:eastAsia="en-US"/>
    </w:rPr>
  </w:style>
  <w:style w:type="paragraph" w:styleId="Title">
    <w:name w:val="Title"/>
    <w:basedOn w:val="Normal"/>
    <w:link w:val="TitleChar"/>
    <w:uiPriority w:val="99"/>
    <w:qFormat/>
    <w:rsid w:val="00B2026A"/>
    <w:pPr>
      <w:spacing w:before="240"/>
      <w:ind w:left="3721"/>
    </w:pPr>
    <w:rPr>
      <w:b/>
      <w:bCs/>
      <w:sz w:val="48"/>
      <w:szCs w:val="48"/>
    </w:rPr>
  </w:style>
  <w:style w:type="character" w:customStyle="1" w:styleId="TitleChar">
    <w:name w:val="Title Char"/>
    <w:basedOn w:val="DefaultParagraphFont"/>
    <w:link w:val="Title"/>
    <w:uiPriority w:val="10"/>
    <w:rsid w:val="0077634E"/>
    <w:rPr>
      <w:rFonts w:asciiTheme="majorHAnsi" w:eastAsiaTheme="majorEastAsia" w:hAnsiTheme="majorHAnsi" w:cstheme="majorBidi"/>
      <w:b/>
      <w:bCs/>
      <w:kern w:val="28"/>
      <w:sz w:val="32"/>
      <w:szCs w:val="32"/>
      <w:lang w:eastAsia="en-US"/>
    </w:rPr>
  </w:style>
  <w:style w:type="paragraph" w:styleId="ListParagraph">
    <w:name w:val="List Paragraph"/>
    <w:basedOn w:val="Normal"/>
    <w:uiPriority w:val="99"/>
    <w:qFormat/>
    <w:rsid w:val="00B2026A"/>
    <w:pPr>
      <w:spacing w:before="163"/>
      <w:ind w:left="1430" w:hanging="361"/>
    </w:pPr>
  </w:style>
  <w:style w:type="paragraph" w:customStyle="1" w:styleId="TableParagraph">
    <w:name w:val="Table Paragraph"/>
    <w:basedOn w:val="Normal"/>
    <w:uiPriority w:val="99"/>
    <w:rsid w:val="00B2026A"/>
    <w:pPr>
      <w:spacing w:line="225" w:lineRule="exact"/>
      <w:ind w:left="11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footer" Target="footer28.xml"/><Relationship Id="rId68" Type="http://schemas.openxmlformats.org/officeDocument/2006/relationships/header" Target="header31.xml"/><Relationship Id="rId7" Type="http://schemas.openxmlformats.org/officeDocument/2006/relationships/image" Target="media/image1.jpeg"/><Relationship Id="rId71" Type="http://schemas.openxmlformats.org/officeDocument/2006/relationships/footer" Target="footer32.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header" Target="header26.xml"/><Relationship Id="rId66" Type="http://schemas.openxmlformats.org/officeDocument/2006/relationships/header" Target="header30.xm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footer" Target="footer25.xml"/><Relationship Id="rId61" Type="http://schemas.openxmlformats.org/officeDocument/2006/relationships/footer" Target="footer2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header" Target="header27.xml"/><Relationship Id="rId65" Type="http://schemas.openxmlformats.org/officeDocument/2006/relationships/footer" Target="footer29.xml"/><Relationship Id="rId73" Type="http://schemas.openxmlformats.org/officeDocument/2006/relationships/footer" Target="footer3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header" Target="header29.xml"/><Relationship Id="rId69" Type="http://schemas.openxmlformats.org/officeDocument/2006/relationships/footer" Target="footer31.xml"/><Relationship Id="rId8" Type="http://schemas.openxmlformats.org/officeDocument/2006/relationships/header" Target="header1.xml"/><Relationship Id="rId51" Type="http://schemas.openxmlformats.org/officeDocument/2006/relationships/footer" Target="footer22.xml"/><Relationship Id="rId72" Type="http://schemas.openxmlformats.org/officeDocument/2006/relationships/header" Target="header33.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6.xml"/><Relationship Id="rId67" Type="http://schemas.openxmlformats.org/officeDocument/2006/relationships/footer" Target="footer30.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header" Target="header32.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34</Pages>
  <Words>7485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Лекция</dc:title>
  <dc:subject/>
  <dc:creator>Николай</dc:creator>
  <cp:keywords/>
  <dc:description/>
  <cp:lastModifiedBy>Vyatchanina_EV</cp:lastModifiedBy>
  <cp:revision>2</cp:revision>
  <dcterms:created xsi:type="dcterms:W3CDTF">2021-01-31T02:46:00Z</dcterms:created>
  <dcterms:modified xsi:type="dcterms:W3CDTF">2021-01-31T04:19:00Z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