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“</w:t>
      </w:r>
      <w:r>
        <w:rPr>
          <w:rFonts w:cs="Times New Roman" w:ascii="Times New Roman" w:hAnsi="Times New Roman"/>
          <w:sz w:val="28"/>
          <w:szCs w:val="28"/>
        </w:rPr>
        <w:t>Красноярский государственный  медицинский университет им. В.Ф Войно-Ясенецкого”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ФГБОУ ВО КрасГМУ им. проф. В.Ф.Войно-Ясенецкого Минздрава России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Кафедра детских болезней с курсом ПО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Реферат на тему: 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  <w:lang w:val="en-US"/>
        </w:rPr>
        <w:t xml:space="preserve">Питание недоношенных 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  <w:lang w:val="en-US"/>
        </w:rPr>
        <w:t>детей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Выполнил: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ординатор 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-го года 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13 группы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кафедры детских болезней с курсом ПО Иванов М.С.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Проверила: к.м.н., доцент Нейман Е.Г </w:t>
      </w:r>
    </w:p>
    <w:p>
      <w:pPr>
        <w:pStyle w:val="Normal"/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Красноярск, 202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г</w:t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/>
      </w:pPr>
      <w:bookmarkStart w:id="0" w:name="__DdeLink__1207_596515891"/>
      <w:bookmarkEnd w:id="0"/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ОГЛАВЛЕНИЕ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 xml:space="preserve">1. Определение </w:t>
      </w: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>и причины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>2. Основные аспекты пищеварительной системы недоношенных детей</w:t>
      </w:r>
    </w:p>
    <w:p>
      <w:pPr>
        <w:pStyle w:val="Normal"/>
        <w:rPr/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3. </w:t>
      </w:r>
      <w:r>
        <w:rPr>
          <w:rStyle w:val="Rynqvb"/>
          <w:rFonts w:cs="Times New Roman" w:ascii="Times New Roman" w:hAnsi="Times New Roman"/>
          <w:b w:val="false"/>
          <w:bCs w:val="false"/>
          <w:color w:val="363636"/>
          <w:sz w:val="28"/>
          <w:szCs w:val="28"/>
          <w:shd w:fill="FFFFFF" w:val="clear"/>
        </w:rPr>
        <w:t xml:space="preserve">Принципы нутритивной </w:t>
      </w:r>
      <w:r>
        <w:rPr>
          <w:rStyle w:val="Rynqvb"/>
          <w:rFonts w:cs="Times New Roman" w:ascii="Times New Roman" w:hAnsi="Times New Roman"/>
          <w:b w:val="false"/>
          <w:bCs w:val="false"/>
          <w:color w:val="363636"/>
          <w:sz w:val="28"/>
          <w:szCs w:val="28"/>
          <w:shd w:fill="FFFFFF" w:val="clear"/>
        </w:rPr>
        <w:t>поддержки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>4.</w:t>
      </w: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E2E2E"/>
          <w:sz w:val="28"/>
          <w:szCs w:val="28"/>
          <w:highlight w:val="white"/>
          <w:lang w:eastAsia="ru-RU"/>
        </w:rPr>
        <w:t>Потребность в нутриентах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>5. Выводы и список литературы</w:t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  <w:bookmarkStart w:id="1" w:name="__DdeLink__1207_596515891"/>
      <w:bookmarkStart w:id="2" w:name="__DdeLink__1207_596515891"/>
      <w:bookmarkEnd w:id="2"/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363636"/>
          <w:sz w:val="28"/>
          <w:szCs w:val="28"/>
          <w:shd w:fill="FFFFFF" w:val="clear"/>
        </w:rPr>
        <w:t>Определение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Недоношенность - уровень развития плода, рожденного до окончания нормального периода внутриутробного развития (22-37 недель), характеризующийся несовершенством терморегулции, склонностью к асфиксии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Новорожденные, родившиеся в срок от 22-27 недель масса от 500 до 1000г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28-33 недели – 1000-1800г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34-37 недель – 1900-2500г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Меньше 2500 – плоды с низкой массой тела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1500 – очень низкая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1000 – экстремально низкая</w:t>
      </w:r>
    </w:p>
    <w:p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%D0%9F%D1%80%D0%B8%D1%87%D0%B8%D0%BD%D1%"/>
      <w:bookmarkEnd w:id="3"/>
      <w:r>
        <w:rPr>
          <w:rFonts w:cs="Times New Roman" w:ascii="Times New Roman" w:hAnsi="Times New Roman"/>
          <w:color w:val="000000"/>
          <w:sz w:val="28"/>
          <w:szCs w:val="28"/>
        </w:rPr>
        <w:t>Причины преждевременных родов</w:t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Частота преждевременных родов вариабельна, однако в большинстве развитых стран в последние десятилетия достаточно стабильна и составляет 5—10% от числа родившихся детей. Причины недонашивания можно разделить на три большие группы: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Социально-экономические и демографические. Отсутствие или недостаточность медицинской помощи, плохое питание беременной женщины, профессиональные вредности (работа на конвейере, наличие физических нагрузок, положение стоя большую часть рабочего дня), вредные привычки, нежелательная беременность и т.д.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Социально-биологические. Преждевременные роды чаще встречаются у первородящих женщин в возрасте до 18 и старше 30 лет, при возрасте отца более 50 лет. Имеет значение акушерский анамнез: искусственное прерывание беременности (особенно криминальное или протекавшее с осложнениями), беременность, наступившая вскоре после родов (менее 2—3 лет).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Клинические. Наличие у беременной хронических соматических, гинекологических, эндокринологических заболеваний. Патология беременности: поздний </w:t>
      </w:r>
      <w:r>
        <w:rPr>
          <w:rFonts w:cs="Times New Roman" w:ascii="Times New Roman" w:hAnsi="Times New Roman"/>
          <w:sz w:val="28"/>
          <w:szCs w:val="28"/>
        </w:rPr>
        <w:t>гестоз</w:t>
      </w:r>
      <w:r>
        <w:rPr>
          <w:rFonts w:cs="Times New Roman" w:ascii="Times New Roman" w:hAnsi="Times New Roman"/>
          <w:sz w:val="28"/>
          <w:szCs w:val="28"/>
        </w:rPr>
        <w:t>, острые инфекционные заболевания, перенесённые во время беременности, оперативные вмешательства, физические травмы (особенно живота).</w:t>
      </w:r>
    </w:p>
    <w:p>
      <w:pPr>
        <w:pStyle w:val="Style16"/>
        <w:rPr/>
      </w:pPr>
      <w:r>
        <w:rPr>
          <w:rFonts w:cs="Times New Roman" w:ascii="Times New Roman" w:hAnsi="Times New Roman"/>
          <w:sz w:val="28"/>
          <w:szCs w:val="28"/>
        </w:rPr>
        <w:t xml:space="preserve">Патология новорождённого: внутриутробные инфекции, пороки развития, хромосомные аномалии. Выживаемость недоношенных детей непосредственно зависит от срока гестации и массы тела при рождении. Группа детей с массой тела менее 1500 г и ниже (менее 30-31 недели гестаций) составляет менее 1% от живорождённых, но 70% случаев смерти новорождённых детей. Такие дети за счёт укороченного периода пребывания в утробе матери не успели достаточно подготовиться к условиям внеутробного существования, недостаточно накопили запасов питательных веществ.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аспекты пищеварительной системы недоношенных детей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Клетки пищеварительного тракта незрелые. Поэтому понижена выработка, а также активность желчных кислот, ферментов кишечника, поджелудочной железы и желудочного сока.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Склонность к срыгиванию обусловлена небольшим объемом желудка и слабостью сфинктера (круговой мышцы) входа в желудок.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Понижен тонус мышц, а также двигательная активность ЖКТ из-за незрелости нервной системы, поэтому замедляется продвижение пищи.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Повышена проницаемость стенки кишечника, что ведет к всасыванию в кровь токсинов из его просвета.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Понижено слюноотделение, а также активность лактазы — фермента, который расщепляет лактозу (сахар) материнского молока.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эти факторы ухудшают пищеварение и всасывание питательных веществ. В результате организм недополучает белки, жиры, углеводы, витамины и минералы. Между тем созревание органов и систем (печени, почек, легких и других) недоношенного малыша требует дополнительной энергии.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63636"/>
          <w:sz w:val="28"/>
          <w:szCs w:val="28"/>
          <w:highlight w:val="white"/>
        </w:rPr>
        <w:t>Также с этими моментами связанно нарушение микрофлоры кишечника, вздутие живота и детские колики — частых «спутников» малыша в первые месяцы жизни.</w:t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Rynqvb"/>
          <w:rFonts w:ascii="Times New Roman" w:hAnsi="Times New Roman" w:cs="Times New Roman"/>
          <w:b/>
          <w:b/>
          <w:bCs/>
          <w:color w:val="363636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Rynqvb"/>
          <w:rFonts w:cs="Times New Roman" w:ascii="Times New Roman" w:hAnsi="Times New Roman"/>
          <w:b/>
          <w:bCs/>
          <w:color w:val="363636"/>
          <w:sz w:val="28"/>
          <w:szCs w:val="28"/>
          <w:shd w:fill="FFFFFF" w:val="clear"/>
        </w:rPr>
        <w:t xml:space="preserve">Принципы нутритивной </w:t>
      </w:r>
      <w:r>
        <w:rPr>
          <w:rStyle w:val="Rynqvb"/>
          <w:rFonts w:cs="Times New Roman" w:ascii="Times New Roman" w:hAnsi="Times New Roman"/>
          <w:b/>
          <w:bCs/>
          <w:color w:val="363636"/>
          <w:sz w:val="28"/>
          <w:szCs w:val="28"/>
          <w:shd w:fill="FFFFFF" w:val="clear"/>
        </w:rPr>
        <w:t>поддержки</w:t>
      </w:r>
    </w:p>
    <w:p>
      <w:pPr>
        <w:pStyle w:val="Normal"/>
        <w:rPr>
          <w:rStyle w:val="Rynqvb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Без надлежащей нутритивной поддержки недоношенные дети не могут расти после рождения и страдают от недоедания.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 </w:t>
      </w: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Основной причиной задержки кормления является боязнь незрелости желудочно-кишечной функции.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 </w:t>
      </w: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Принципы нутритивной практики должны быть следующими: </w:t>
      </w:r>
    </w:p>
    <w:p>
      <w:pPr>
        <w:pStyle w:val="Normal"/>
        <w:rPr/>
      </w:pP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1) М</w:t>
      </w: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инимально раннее начало энтерального питания грудным молоком (0,5–1 мл/ч), по возможности начинать с 1-го дня и постепенно увеличивать при переносимости;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2) Р</w:t>
      </w: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аннее агрессивное парентеральное питание как можно раньше;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3) </w:t>
      </w: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обеспечение липидами со скоростью, которая удовлетворяет дополнительные энергетические потребности в размере около 2–3 г/кг/сутки;</w:t>
      </w:r>
      <w:r>
        <w:rPr>
          <w:rFonts w:cs="Times New Roman" w:ascii="Times New Roman" w:hAnsi="Times New Roman"/>
          <w:color w:val="363636"/>
          <w:sz w:val="28"/>
          <w:szCs w:val="28"/>
          <w:shd w:fill="FFFFFF" w:val="clear"/>
        </w:rPr>
        <w:t xml:space="preserve"> </w:t>
      </w:r>
    </w:p>
    <w:p>
      <w:pPr>
        <w:pStyle w:val="Normal"/>
        <w:rPr/>
      </w:pPr>
      <w:r>
        <w:rPr>
          <w:rStyle w:val="Rynqvb"/>
          <w:rFonts w:cs="Times New Roman" w:ascii="Times New Roman" w:hAnsi="Times New Roman"/>
          <w:color w:val="363636"/>
          <w:sz w:val="28"/>
          <w:szCs w:val="28"/>
          <w:shd w:fill="FFFFFF" w:val="clear"/>
        </w:rPr>
        <w:t>4) попытка увеличить энтеральное питание, а не парентеральное.</w:t>
      </w:r>
    </w:p>
    <w:p>
      <w:pPr>
        <w:pStyle w:val="Normal"/>
        <w:rPr>
          <w:rStyle w:val="Rynqvb"/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color w:val="2E2E2E"/>
          <w:sz w:val="28"/>
          <w:szCs w:val="28"/>
        </w:rPr>
        <w:t>Аминокислоты важны в синтезе инсулина, инсулиноподобных факторов и других гормонов, связанных с ростом.</w:t>
      </w:r>
      <w:bookmarkStart w:id="4" w:name="bbib31"/>
      <w:bookmarkStart w:id="5" w:name="bbib32"/>
      <w:r>
        <w:rPr>
          <w:rFonts w:cs="Times New Roman" w:ascii="Times New Roman" w:hAnsi="Times New Roman"/>
          <w:color w:val="2E2E2E"/>
          <w:sz w:val="28"/>
          <w:szCs w:val="28"/>
        </w:rPr>
        <w:t xml:space="preserve"> </w:t>
      </w:r>
      <w:bookmarkEnd w:id="4"/>
      <w:bookmarkEnd w:id="5"/>
      <w:r>
        <w:rPr>
          <w:rFonts w:cs="Times New Roman" w:ascii="Times New Roman" w:hAnsi="Times New Roman"/>
          <w:color w:val="2E2E2E"/>
          <w:sz w:val="28"/>
          <w:szCs w:val="28"/>
        </w:rPr>
        <w:t>Ранее недостаточное питание может снизить выработку сывороточного инсулиноподобного фактора роста-1. Низкие концентрации сывороточного постнатального инсулиноподобного фактора роста-1 у недоношенных детей после рождения были связаны с более медленными темпами роста окружности головы.</w:t>
      </w:r>
      <w:bookmarkStart w:id="6" w:name="bbib33"/>
      <w:bookmarkStart w:id="7" w:name="bbib34"/>
      <w:r>
        <w:rPr>
          <w:rFonts w:cs="Times New Roman" w:ascii="Times New Roman" w:hAnsi="Times New Roman"/>
          <w:color w:val="2E2E2E"/>
          <w:sz w:val="28"/>
          <w:szCs w:val="28"/>
        </w:rPr>
        <w:t xml:space="preserve"> </w:t>
      </w:r>
      <w:bookmarkEnd w:id="6"/>
      <w:bookmarkEnd w:id="7"/>
      <w:r>
        <w:rPr>
          <w:rFonts w:cs="Times New Roman" w:ascii="Times New Roman" w:hAnsi="Times New Roman"/>
          <w:color w:val="2E2E2E"/>
          <w:sz w:val="28"/>
          <w:szCs w:val="28"/>
        </w:rPr>
        <w:t xml:space="preserve">Ранние аминокислоты могут стимулировать эндогенную 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  <w:u w:val="none"/>
        </w:rPr>
        <w:t>секрецию инсулина</w:t>
      </w:r>
      <w:r>
        <w:rPr>
          <w:rFonts w:cs="Times New Roman" w:ascii="Times New Roman" w:hAnsi="Times New Roman"/>
          <w:color w:val="2E2E2E"/>
          <w:sz w:val="28"/>
          <w:szCs w:val="28"/>
        </w:rPr>
        <w:t xml:space="preserve">, предотвращая реакцию голодания для улучшения 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  <w:u w:val="none"/>
        </w:rPr>
        <w:t xml:space="preserve">толерантности к глюкозе </w:t>
      </w:r>
      <w:r>
        <w:rPr>
          <w:rFonts w:cs="Times New Roman" w:ascii="Times New Roman" w:hAnsi="Times New Roman"/>
          <w:color w:val="2E2E2E"/>
          <w:sz w:val="28"/>
          <w:szCs w:val="28"/>
          <w:u w:val="none"/>
        </w:rPr>
        <w:t xml:space="preserve">и предотвращения 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  <w:u w:val="none"/>
        </w:rPr>
        <w:t>гипергликемии</w:t>
      </w:r>
      <w:r>
        <w:rPr>
          <w:rFonts w:cs="Times New Roman" w:ascii="Times New Roman" w:hAnsi="Times New Roman"/>
          <w:color w:val="2E2E2E"/>
          <w:sz w:val="28"/>
          <w:szCs w:val="28"/>
          <w:u w:val="none"/>
        </w:rPr>
        <w:t xml:space="preserve">, 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  <w:u w:val="none"/>
        </w:rPr>
        <w:t>гиперкалиемии и потребности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E2E2E"/>
          <w:sz w:val="28"/>
          <w:szCs w:val="28"/>
        </w:rPr>
        <w:t>в инсулине.</w:t>
      </w:r>
      <w:bookmarkStart w:id="8" w:name="bbib30"/>
      <w:bookmarkStart w:id="9" w:name="bbib35"/>
      <w:r>
        <w:rPr>
          <w:rFonts w:cs="Times New Roman" w:ascii="Times New Roman" w:hAnsi="Times New Roman"/>
          <w:color w:val="2E2E2E"/>
          <w:sz w:val="28"/>
          <w:szCs w:val="28"/>
        </w:rPr>
        <w:t xml:space="preserve"> </w:t>
      </w:r>
      <w:bookmarkEnd w:id="8"/>
      <w:bookmarkEnd w:id="9"/>
      <w:r>
        <w:rPr>
          <w:rFonts w:cs="Times New Roman" w:ascii="Times New Roman" w:hAnsi="Times New Roman"/>
          <w:color w:val="2E2E2E"/>
          <w:sz w:val="28"/>
          <w:szCs w:val="28"/>
        </w:rPr>
        <w:t>Несколько контролируемых исследований показали эффективность и безопасность аминокислот при начале в течение первых 24 часов жизни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8"/>
          <w:szCs w:val="28"/>
          <w:lang w:eastAsia="ru-RU"/>
        </w:rPr>
        <w:t>Потребности недоношенных детей в белке и энергии.</w:t>
      </w:r>
    </w:p>
    <w:tbl>
      <w:tblPr>
        <w:tblW w:w="9840" w:type="dxa"/>
        <w:jc w:val="left"/>
        <w:tblInd w:w="0" w:type="dxa"/>
        <w:tblBorders>
          <w:top w:val="single" w:sz="6" w:space="0" w:color="EBEBEB"/>
          <w:bottom w:val="single" w:sz="6" w:space="0" w:color="EBEBEB"/>
          <w:insideH w:val="single" w:sz="6" w:space="0" w:color="EBEBEB"/>
        </w:tblBorders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1166"/>
        <w:gridCol w:w="1494"/>
        <w:gridCol w:w="2842"/>
        <w:gridCol w:w="1495"/>
        <w:gridCol w:w="2843"/>
      </w:tblGrid>
      <w:tr>
        <w:trPr>
          <w:tblHeader w:val="true"/>
        </w:trPr>
        <w:tc>
          <w:tcPr>
            <w:tcW w:w="1166" w:type="dxa"/>
            <w:vMerge w:val="restart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Масса тела (г)</w:t>
            </w:r>
          </w:p>
        </w:tc>
        <w:tc>
          <w:tcPr>
            <w:tcW w:w="4336" w:type="dxa"/>
            <w:gridSpan w:val="2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Энтеральное питание</w:t>
            </w:r>
          </w:p>
        </w:tc>
        <w:tc>
          <w:tcPr>
            <w:tcW w:w="4338" w:type="dxa"/>
            <w:gridSpan w:val="2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Парентеральное питание</w:t>
            </w:r>
          </w:p>
        </w:tc>
      </w:tr>
      <w:tr>
        <w:trPr>
          <w:tblHeader w:val="true"/>
        </w:trPr>
        <w:tc>
          <w:tcPr>
            <w:tcW w:w="1166" w:type="dxa"/>
            <w:vMerge w:val="continue"/>
            <w:tcBorders>
              <w:bottom w:val="single" w:sz="6" w:space="0" w:color="EBEBEB"/>
              <w:insideH w:val="single" w:sz="6" w:space="0" w:color="EBEBEB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494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Белок (г/кг/сут)</w:t>
            </w:r>
          </w:p>
        </w:tc>
        <w:tc>
          <w:tcPr>
            <w:tcW w:w="2842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Энергетическая ценность (ккал/кг/сут)</w:t>
            </w:r>
          </w:p>
        </w:tc>
        <w:tc>
          <w:tcPr>
            <w:tcW w:w="149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Белок (г/кг/сут)</w:t>
            </w:r>
          </w:p>
        </w:tc>
        <w:tc>
          <w:tcPr>
            <w:tcW w:w="2843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Энергетическая ценность (ккал/кг/сут)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500–700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700–900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900–1200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1200–1500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1500–1800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</w:tr>
      <w:tr>
        <w:trPr/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1800–2200</w:t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2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bCs/>
          <w:color w:val="2E2E2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bCs/>
          <w:color w:val="2E2E2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bCs/>
          <w:color w:val="2E2E2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bCs/>
          <w:color w:val="2E2E2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bCs/>
          <w:color w:val="2E2E2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ascii="Times New Roman" w:hAnsi="Times New Roman" w:cs="Times New Roman"/>
          <w:b/>
          <w:b/>
          <w:bCs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8"/>
          <w:szCs w:val="28"/>
          <w:lang w:eastAsia="ru-RU"/>
        </w:rPr>
        <w:t>Потребность в нутриентах</w:t>
      </w:r>
    </w:p>
    <w:p>
      <w:pPr>
        <w:pStyle w:val="2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cs="Times New Roman" w:ascii="Times New Roman" w:hAnsi="Times New Roman"/>
          <w:color w:val="2E2E2E"/>
          <w:sz w:val="28"/>
          <w:szCs w:val="28"/>
        </w:rPr>
        <w:t>Раннее введение внутривенной липидной эмульсии</w:t>
      </w:r>
    </w:p>
    <w:p>
      <w:pPr>
        <w:pStyle w:val="NormalWeb"/>
        <w:spacing w:beforeAutospacing="0" w:before="0" w:afterAutospacing="0" w:after="0"/>
        <w:rPr/>
      </w:pPr>
      <w:r>
        <w:rPr>
          <w:rFonts w:cs="Times New Roman"/>
          <w:color w:val="2E2E2E"/>
          <w:sz w:val="28"/>
          <w:szCs w:val="28"/>
        </w:rPr>
        <w:t xml:space="preserve">Липиды являются важными компонентами ПН для удовлетворения </w:t>
      </w:r>
      <w:r>
        <w:rPr>
          <w:rStyle w:val="Style12"/>
          <w:rFonts w:cs="Times New Roman"/>
          <w:color w:val="2E2E2E"/>
          <w:sz w:val="28"/>
          <w:szCs w:val="28"/>
          <w:u w:val="none"/>
        </w:rPr>
        <w:t xml:space="preserve">потребностей в незаменимых жирных кислотах </w:t>
      </w:r>
      <w:r>
        <w:rPr>
          <w:rFonts w:cs="Times New Roman"/>
          <w:color w:val="2E2E2E"/>
          <w:sz w:val="28"/>
          <w:szCs w:val="28"/>
        </w:rPr>
        <w:t>(ОДВ) и высокой энергии у недоношенных детей. Недоношенные дети имеют ограниченные эндогенные запасы липидов.</w:t>
      </w:r>
      <w:bookmarkStart w:id="10" w:name="bbib49"/>
      <w:r>
        <w:rPr>
          <w:rStyle w:val="Anchortext"/>
          <w:rFonts w:eastAsia="" w:cs="Times New Roman"/>
          <w:color w:val="2E2E2E"/>
          <w:sz w:val="28"/>
          <w:szCs w:val="28"/>
          <w:vertAlign w:val="superscript"/>
        </w:rPr>
        <w:t xml:space="preserve"> </w:t>
      </w:r>
      <w:bookmarkEnd w:id="10"/>
      <w:r>
        <w:rPr>
          <w:rFonts w:cs="Times New Roman"/>
          <w:color w:val="2E2E2E"/>
          <w:sz w:val="28"/>
          <w:szCs w:val="28"/>
        </w:rPr>
        <w:t>Парентеральные липиды являются привлекательным источником питания у тяжелобольных младенцев из-за их характеристик высокой энергии</w:t>
      </w:r>
      <w:bookmarkStart w:id="11" w:name="bbib40"/>
      <w:r>
        <w:rPr>
          <w:rStyle w:val="Anchortext"/>
          <w:rFonts w:eastAsia="" w:cs="Times New Roman"/>
          <w:color w:val="2E2E2E"/>
          <w:sz w:val="28"/>
          <w:szCs w:val="28"/>
          <w:vertAlign w:val="superscript"/>
        </w:rPr>
        <w:t xml:space="preserve"> </w:t>
      </w:r>
      <w:bookmarkEnd w:id="11"/>
      <w:r>
        <w:rPr>
          <w:rFonts w:cs="Times New Roman"/>
          <w:color w:val="2E2E2E"/>
          <w:sz w:val="28"/>
          <w:szCs w:val="28"/>
        </w:rPr>
        <w:t>и изотоничность.</w:t>
      </w:r>
      <w:bookmarkStart w:id="12" w:name="bbib50"/>
      <w:r>
        <w:rPr>
          <w:rStyle w:val="Anchortext"/>
          <w:rFonts w:eastAsia="" w:cs="Times New Roman"/>
          <w:color w:val="2E2E2E"/>
          <w:sz w:val="28"/>
          <w:szCs w:val="28"/>
          <w:vertAlign w:val="superscript"/>
        </w:rPr>
        <w:t xml:space="preserve"> </w:t>
      </w:r>
      <w:bookmarkEnd w:id="12"/>
      <w:r>
        <w:rPr>
          <w:rFonts w:cs="Times New Roman"/>
          <w:color w:val="2E2E2E"/>
          <w:sz w:val="28"/>
          <w:szCs w:val="28"/>
        </w:rPr>
        <w:t xml:space="preserve">Липиды, пригодные для введения через </w:t>
      </w:r>
      <w:r>
        <w:rPr>
          <w:rStyle w:val="Style12"/>
          <w:rFonts w:cs="Times New Roman"/>
          <w:color w:val="2E2E2E"/>
          <w:sz w:val="28"/>
          <w:szCs w:val="28"/>
          <w:u w:val="none"/>
        </w:rPr>
        <w:t>периферическую вену</w:t>
      </w:r>
      <w:r>
        <w:rPr>
          <w:rFonts w:cs="Times New Roman"/>
          <w:color w:val="2E2E2E"/>
          <w:sz w:val="28"/>
          <w:szCs w:val="28"/>
        </w:rPr>
        <w:t xml:space="preserve">, не вызывают значительного увеличения жидкостной нагрузки. Даже короткая задержка в 3-7 дней в поставке липидов недоношенным детям может привести к биохимическому дефициту ОДВ. Пре- и постнатальный дефицит ОДВ может снизить вес тела и мозга, </w:t>
      </w:r>
      <w:bookmarkStart w:id="13" w:name="bbib52"/>
      <w:r>
        <w:rPr>
          <w:rFonts w:cs="Times New Roman"/>
          <w:color w:val="2E2E2E"/>
          <w:sz w:val="28"/>
          <w:szCs w:val="28"/>
        </w:rPr>
        <w:t>что приводит к нарушению развития и функции нейронов. Введение всего лишь 0,5-1 г/кг/сут липидной инфузии может предотвратить дефицит ОДВ. Американская академия педиатрии рекомендовала раннее начало липидов на 1 день или 2 день жизни при низкой дозе 0,5–1 г/кг/сут, постепенно увеличивая до 3–3,5 г/кг/сут, и при медленной инфузии в течение 20-24-часового периода.</w:t>
      </w:r>
      <w:bookmarkEnd w:id="13"/>
      <w:r>
        <w:rPr>
          <w:rFonts w:cs="Times New Roman"/>
          <w:color w:val="2E2E2E"/>
          <w:sz w:val="28"/>
          <w:szCs w:val="28"/>
        </w:rPr>
        <w:t xml:space="preserve"> Тем не менее, клиренс ОДВ медленнее у недоношенных детей, и внутривенное потребление липидной эмульсии может привести к повышению ОДВ. Повышенная концентрация ОДВ может </w:t>
      </w:r>
      <w:r>
        <w:rPr>
          <w:rFonts w:cs="Times New Roman"/>
          <w:color w:val="2E2E2E"/>
          <w:sz w:val="28"/>
          <w:szCs w:val="28"/>
          <w:u w:val="none"/>
        </w:rPr>
        <w:t xml:space="preserve">вытеснить </w:t>
      </w:r>
      <w:r>
        <w:rPr>
          <w:rStyle w:val="Style12"/>
          <w:rFonts w:cs="Times New Roman"/>
          <w:color w:val="2E2E2E"/>
          <w:sz w:val="28"/>
          <w:szCs w:val="28"/>
          <w:u w:val="none"/>
        </w:rPr>
        <w:t xml:space="preserve">билирубин </w:t>
      </w:r>
      <w:r>
        <w:rPr>
          <w:rFonts w:cs="Times New Roman"/>
          <w:color w:val="2E2E2E"/>
          <w:sz w:val="28"/>
          <w:szCs w:val="28"/>
          <w:u w:val="none"/>
        </w:rPr>
        <w:t>из</w:t>
      </w:r>
      <w:r>
        <w:rPr>
          <w:rFonts w:cs="Times New Roman"/>
          <w:color w:val="2E2E2E"/>
          <w:sz w:val="28"/>
          <w:szCs w:val="28"/>
        </w:rPr>
        <w:t xml:space="preserve"> альбумин-связывающих сайтов, увеличивая концентрацию свободного или несвязанного билирубина. Свободный или несвязанный билирубин может пересекать гематоэнцефалический барьер, вызывая черепно-мозговую травму и нейтротоксичность. </w:t>
      </w:r>
      <w:bookmarkStart w:id="14" w:name="bbib56"/>
      <w:r>
        <w:rPr>
          <w:rFonts w:cs="Times New Roman"/>
          <w:color w:val="2E2E2E"/>
          <w:sz w:val="28"/>
          <w:szCs w:val="28"/>
        </w:rPr>
        <w:t>Младенцы с билирубином 8–10 мг/дл и альбумином 2,5–3 г/дл могут безопасно получать внутривенную липидную эмульсию 0,5–1 г/кг/сут.</w:t>
      </w:r>
      <w:bookmarkEnd w:id="14"/>
      <w:r>
        <w:rPr>
          <w:rFonts w:cs="Times New Roman"/>
          <w:color w:val="2E2E2E"/>
          <w:sz w:val="28"/>
          <w:szCs w:val="28"/>
        </w:rPr>
        <w:t xml:space="preserve"> </w:t>
      </w:r>
    </w:p>
    <w:p>
      <w:pPr>
        <w:pStyle w:val="2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cs="Times New Roman" w:ascii="Times New Roman" w:hAnsi="Times New Roman"/>
          <w:color w:val="2E2E2E"/>
          <w:sz w:val="28"/>
          <w:szCs w:val="28"/>
        </w:rPr>
        <w:t>Электролиты, витамины и микроэлементы</w:t>
      </w:r>
    </w:p>
    <w:p>
      <w:pPr>
        <w:pStyle w:val="NormalWeb"/>
        <w:spacing w:beforeAutospacing="0" w:before="0" w:afterAutospacing="0" w:after="0"/>
        <w:rPr/>
      </w:pPr>
      <w:r>
        <w:rPr>
          <w:rFonts w:cs="Times New Roman"/>
          <w:color w:val="2E2E2E"/>
          <w:sz w:val="28"/>
          <w:szCs w:val="28"/>
        </w:rPr>
        <w:t xml:space="preserve">Во время 1й недели жизни, потребности в электролитах относительно низкие из-за свободного </w:t>
      </w:r>
      <w:r>
        <w:rPr>
          <w:rStyle w:val="Style12"/>
          <w:rFonts w:cs="Times New Roman"/>
          <w:color w:val="2E2E2E"/>
          <w:sz w:val="28"/>
          <w:szCs w:val="28"/>
          <w:u w:val="none"/>
        </w:rPr>
        <w:t>диуреза</w:t>
      </w:r>
      <w:r>
        <w:rPr>
          <w:rStyle w:val="Style12"/>
          <w:rFonts w:cs="Times New Roman"/>
          <w:color w:val="2E2E2E"/>
          <w:sz w:val="28"/>
          <w:szCs w:val="28"/>
        </w:rPr>
        <w:t xml:space="preserve"> </w:t>
      </w:r>
      <w:r>
        <w:rPr>
          <w:rFonts w:cs="Times New Roman"/>
          <w:color w:val="2E2E2E"/>
          <w:sz w:val="28"/>
          <w:szCs w:val="28"/>
        </w:rPr>
        <w:t>воды. Потребности в электролитах в начальн</w:t>
      </w:r>
      <w:bookmarkStart w:id="15" w:name="btbl4"/>
      <w:r>
        <w:rPr>
          <w:rFonts w:cs="Times New Roman"/>
          <w:color w:val="2E2E2E"/>
          <w:sz w:val="28"/>
          <w:szCs w:val="28"/>
        </w:rPr>
        <w:t xml:space="preserve">ой фазе диуреза и в фазе роста, обеспечение кальцием и фосфором через PN является проблемой из-за ограниченной растворимости. Соотношение кальция и фосфора 1,7:1 является оптимальным соотношением для </w:t>
      </w:r>
      <w:r>
        <w:rPr>
          <w:rStyle w:val="Style12"/>
          <w:rFonts w:cs="Times New Roman"/>
          <w:color w:val="2E2E2E"/>
          <w:sz w:val="28"/>
          <w:szCs w:val="28"/>
          <w:u w:val="none"/>
        </w:rPr>
        <w:t>минерализации костей</w:t>
      </w:r>
      <w:r>
        <w:rPr>
          <w:rFonts w:cs="Times New Roman"/>
          <w:color w:val="2E2E2E"/>
          <w:sz w:val="28"/>
          <w:szCs w:val="28"/>
        </w:rPr>
        <w:t>.</w:t>
      </w:r>
      <w:bookmarkStart w:id="16" w:name="bbib58"/>
      <w:r>
        <w:rPr>
          <w:rFonts w:cs="Times New Roman"/>
          <w:color w:val="2E2E2E"/>
          <w:sz w:val="28"/>
          <w:szCs w:val="28"/>
        </w:rPr>
        <w:t xml:space="preserve"> </w:t>
      </w:r>
      <w:bookmarkEnd w:id="16"/>
      <w:r>
        <w:rPr>
          <w:rFonts w:cs="Times New Roman"/>
          <w:color w:val="2E2E2E"/>
          <w:sz w:val="28"/>
          <w:szCs w:val="28"/>
        </w:rPr>
        <w:t xml:space="preserve">Потребности в электролитах у недоношенных детей на ПН показаны в </w:t>
      </w:r>
      <w:r>
        <w:fldChar w:fldCharType="begin"/>
      </w:r>
      <w:r>
        <w:rPr>
          <w:rStyle w:val="Anchortext"/>
          <w:sz w:val="28"/>
          <w:szCs w:val="28"/>
          <w:rFonts w:eastAsia="" w:cs="Times New Roman"/>
        </w:rPr>
        <w:instrText> HYPERLINK "https://www.sciencedirect.com/science/article/pii/S1875957215001898" \l "tbl4"</w:instrText>
      </w:r>
      <w:r>
        <w:rPr>
          <w:rStyle w:val="Anchortext"/>
          <w:sz w:val="28"/>
          <w:szCs w:val="28"/>
          <w:rFonts w:eastAsia="" w:cs="Times New Roman"/>
        </w:rPr>
        <w:fldChar w:fldCharType="separate"/>
      </w:r>
      <w:r>
        <w:rPr>
          <w:rStyle w:val="Anchortext"/>
          <w:rFonts w:eastAsia="" w:cs="Times New Roman"/>
          <w:color w:val="2E2E2E"/>
          <w:sz w:val="28"/>
          <w:szCs w:val="28"/>
        </w:rPr>
        <w:t>таблице 4</w:t>
      </w:r>
      <w:r>
        <w:rPr>
          <w:rStyle w:val="Anchortext"/>
          <w:sz w:val="28"/>
          <w:szCs w:val="28"/>
          <w:rFonts w:eastAsia="" w:cs="Times New Roman"/>
        </w:rPr>
        <w:fldChar w:fldCharType="end"/>
      </w:r>
      <w:bookmarkEnd w:id="15"/>
      <w:r>
        <w:rPr>
          <w:rFonts w:cs="Times New Roman"/>
          <w:color w:val="2E2E2E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2E2E2E"/>
          <w:sz w:val="28"/>
          <w:szCs w:val="28"/>
        </w:rPr>
      </w:pPr>
      <w:r>
        <w:rPr>
          <w:rStyle w:val="Label"/>
          <w:color w:val="2E2E2E"/>
          <w:sz w:val="28"/>
          <w:szCs w:val="28"/>
        </w:rPr>
        <w:t>Таблица 4</w:t>
      </w:r>
      <w:r>
        <w:rPr>
          <w:color w:val="2E2E2E"/>
          <w:sz w:val="28"/>
          <w:szCs w:val="28"/>
        </w:rPr>
        <w:t>. Потребность в электролитах у недоношенных детей на парентеральном питании.</w:t>
      </w:r>
    </w:p>
    <w:tbl>
      <w:tblPr>
        <w:tblW w:w="9840" w:type="dxa"/>
        <w:jc w:val="left"/>
        <w:tblInd w:w="0" w:type="dxa"/>
        <w:tblBorders>
          <w:top w:val="single" w:sz="6" w:space="0" w:color="EBEBEB"/>
        </w:tblBorders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5756"/>
        <w:gridCol w:w="4083"/>
      </w:tblGrid>
      <w:tr>
        <w:trPr/>
        <w:tc>
          <w:tcPr>
            <w:tcW w:w="9839" w:type="dxa"/>
            <w:gridSpan w:val="2"/>
            <w:tcBorders>
              <w:top w:val="single" w:sz="6" w:space="0" w:color="EBEBEB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Натрий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Начальная фаза диуреза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0–3 ммоль/кг/сут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Фаза роста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3–5 ммоль/кг/сут</w:t>
            </w:r>
          </w:p>
        </w:tc>
      </w:tr>
      <w:tr>
        <w:trPr/>
        <w:tc>
          <w:tcPr>
            <w:tcW w:w="9839" w:type="dxa"/>
            <w:gridSpan w:val="2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Калий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Начальная фаза диуреза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0–2 ммоль/кг/сут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Фаза роста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2–3 ммоль/кг/сут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Кальций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60–90 мг/кг/сут</w:t>
            </w:r>
          </w:p>
        </w:tc>
      </w:tr>
      <w:tr>
        <w:trPr/>
        <w:tc>
          <w:tcPr>
            <w:tcW w:w="575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Фосфор</w:t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40–70 мг/кг/сут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2E2E2E"/>
          <w:sz w:val="28"/>
          <w:szCs w:val="28"/>
        </w:rPr>
        <w:t xml:space="preserve">Микроэлементы необходимы для нормальной 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  <w:u w:val="none"/>
        </w:rPr>
        <w:t>ферментативной функции</w:t>
      </w:r>
      <w:r>
        <w:rPr>
          <w:rStyle w:val="Style12"/>
          <w:rFonts w:cs="Times New Roman" w:ascii="Times New Roman" w:hAnsi="Times New Roman"/>
          <w:color w:val="2E2E2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E2E2E"/>
          <w:sz w:val="28"/>
          <w:szCs w:val="28"/>
        </w:rPr>
        <w:t>во всем организме. Недостаточное потребление необходимых микроэлементов замедляет рост, вызывает анемию, влияет на иммунную систему и ухудшает функцию органов у недоношенных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  <w:t xml:space="preserve">Младенцы нуждаются как в водо-, так и в жирорастворимых витаминах для </w:t>
      </w:r>
      <w:r>
        <w:rPr>
          <w:rFonts w:eastAsia="Times New Roman" w:cs="Times New Roman" w:ascii="Times New Roman" w:hAnsi="Times New Roman"/>
          <w:color w:val="2E2E2E"/>
          <w:sz w:val="28"/>
          <w:szCs w:val="28"/>
          <w:u w:val="none"/>
          <w:lang w:eastAsia="ru-RU"/>
        </w:rPr>
        <w:t xml:space="preserve">роста и развития. </w:t>
      </w: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  <w:t>Водорастворимые витамины не хранятся в значительных количествах у недоношенных детей. Недоношенные дети имеют низкие запасы жирорастворимых витаминов в организме при рождении из-за ограниченного переноса липидорастворимого субстрата через плаценту. Поэтому обеспечение водо- и жирорастворимыми витаминами в ПН очень важно. Однако фактическая потребность в витаминах у недоношенных детей точно не определена.</w:t>
      </w:r>
      <w:r>
        <w:rPr>
          <w:rFonts w:eastAsia="Times New Roman" w:cs="Times New Roman" w:ascii="Times New Roman" w:hAnsi="Times New Roman"/>
          <w:color w:val="0C7DBB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  <w:t xml:space="preserve">Суточные пероральные или энтеральные рекомендуемые суточные нормы для младенцев, предложенные Американским обществом парентерального и энтерального питания в 2012 году, показаны в таблице ниже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2E2E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  <w:lang w:eastAsia="ru-RU"/>
        </w:rPr>
        <w:t>Таблица 5. Ежедневные пероральные или энтеральные рекомендуемые суточные нормы (RDA) для младенцев.</w:t>
      </w:r>
    </w:p>
    <w:tbl>
      <w:tblPr>
        <w:tblW w:w="9840" w:type="dxa"/>
        <w:jc w:val="left"/>
        <w:tblInd w:w="0" w:type="dxa"/>
        <w:tblBorders>
          <w:top w:val="single" w:sz="6" w:space="0" w:color="EBEBEB"/>
        </w:tblBorders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7754"/>
        <w:gridCol w:w="2085"/>
      </w:tblGrid>
      <w:tr>
        <w:trPr/>
        <w:tc>
          <w:tcPr>
            <w:tcW w:w="9839" w:type="dxa"/>
            <w:gridSpan w:val="2"/>
            <w:tcBorders>
              <w:top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Жирорастворимые витамины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А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400 мкг*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D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Е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мкг</w:t>
            </w:r>
          </w:p>
        </w:tc>
      </w:tr>
      <w:tr>
        <w:trPr/>
        <w:tc>
          <w:tcPr>
            <w:tcW w:w="9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Водорастворимые витамины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(тиамин)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0,2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(рибофлавин)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0,3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(ниацин)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(пантотеновая кислота)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1,7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пиридоксин)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0,1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B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(цианокобаламин)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0,4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Витамин С (аскорбиновая кислота)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Фолат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Биотин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Холин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125 мг</w:t>
            </w:r>
          </w:p>
        </w:tc>
      </w:tr>
      <w:tr>
        <w:trPr/>
        <w:tc>
          <w:tcPr>
            <w:tcW w:w="9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Микроэлементов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200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Хром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0,2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Фторид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0,01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Йод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110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0,27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0,003 мг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Молибден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Селен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 мкг</w:t>
            </w:r>
          </w:p>
        </w:tc>
      </w:tr>
      <w:tr>
        <w:trPr/>
        <w:tc>
          <w:tcPr>
            <w:tcW w:w="7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мг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Выводы</w:t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 xml:space="preserve">Недостаточность роста среди недоношенных детей включает в себя рост мозга и нервное развитие. </w:t>
      </w:r>
    </w:p>
    <w:p>
      <w:pPr>
        <w:pStyle w:val="NormalWeb"/>
        <w:spacing w:beforeAutospacing="0" w:before="0" w:afterAutospacing="0" w:after="0"/>
        <w:rPr>
          <w:color w:val="2E2E2E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>Таким образом, принципы диетологической практики должны включать:</w:t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>1)</w:t>
      </w:r>
      <w:r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Р</w:t>
      </w:r>
      <w:r>
        <w:rPr>
          <w:color w:val="2E2E2E"/>
          <w:sz w:val="28"/>
          <w:szCs w:val="28"/>
        </w:rPr>
        <w:t>аннее начало энтерального вскармливания грудным молоком 0,5–1 мл/ч для начала и постепенного продвижения по мере переносимости</w:t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>2)</w:t>
      </w:r>
      <w:r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Р</w:t>
      </w:r>
      <w:r>
        <w:rPr>
          <w:color w:val="2E2E2E"/>
          <w:sz w:val="28"/>
          <w:szCs w:val="28"/>
        </w:rPr>
        <w:t>аннее агрессивное питание как можно скорее</w:t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>3)</w:t>
      </w:r>
      <w:r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Р</w:t>
      </w:r>
      <w:r>
        <w:rPr>
          <w:color w:val="2E2E2E"/>
          <w:sz w:val="28"/>
          <w:szCs w:val="28"/>
        </w:rPr>
        <w:t xml:space="preserve">аннее введение внутривенной </w:t>
      </w:r>
      <w:r>
        <w:rPr>
          <w:rStyle w:val="Style12"/>
          <w:color w:val="2E2E2E"/>
          <w:sz w:val="28"/>
          <w:szCs w:val="28"/>
          <w:u w:val="none"/>
        </w:rPr>
        <w:t xml:space="preserve">липидной эмульсии </w:t>
      </w:r>
      <w:r>
        <w:rPr>
          <w:color w:val="2E2E2E"/>
          <w:sz w:val="28"/>
          <w:szCs w:val="28"/>
        </w:rPr>
        <w:t>0,5–1 г/кг/сут постепенно увеличиваясь до 2–3 г/кг/сут</w:t>
      </w:r>
    </w:p>
    <w:p>
      <w:pPr>
        <w:pStyle w:val="NormalWeb"/>
        <w:spacing w:beforeAutospacing="0" w:before="0" w:afterAutospacing="0" w:after="0"/>
        <w:rPr/>
      </w:pPr>
      <w:r>
        <w:rPr>
          <w:color w:val="2E2E2E"/>
          <w:sz w:val="28"/>
          <w:szCs w:val="28"/>
        </w:rPr>
        <w:t xml:space="preserve">4) </w:t>
      </w:r>
      <w:r>
        <w:rPr>
          <w:color w:val="2E2E2E"/>
          <w:sz w:val="28"/>
          <w:szCs w:val="28"/>
        </w:rPr>
        <w:t>У</w:t>
      </w:r>
      <w:r>
        <w:rPr>
          <w:color w:val="2E2E2E"/>
          <w:sz w:val="28"/>
          <w:szCs w:val="28"/>
        </w:rPr>
        <w:t>величение энтерального питания, а не ПН (</w:t>
      </w:r>
      <w:bookmarkStart w:id="17" w:name="btbl6"/>
      <w:r>
        <w:rPr>
          <w:rStyle w:val="Anchortext"/>
          <w:rFonts w:eastAsia="" w:eastAsiaTheme="majorEastAsia"/>
          <w:color w:val="000000"/>
          <w:sz w:val="28"/>
          <w:szCs w:val="28"/>
        </w:rPr>
        <w:t>таблица 6</w:t>
      </w:r>
      <w:bookmarkEnd w:id="17"/>
      <w:r>
        <w:rPr>
          <w:color w:val="2E2E2E"/>
          <w:sz w:val="28"/>
          <w:szCs w:val="28"/>
        </w:rPr>
        <w:t>).</w:t>
      </w:r>
    </w:p>
    <w:p>
      <w:pPr>
        <w:pStyle w:val="NormalWeb"/>
        <w:spacing w:beforeAutospacing="0" w:before="0" w:afterAutospacing="0" w:after="0"/>
        <w:rPr>
          <w:color w:val="2E2E2E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Style w:val="Label"/>
          <w:color w:val="2E2E2E"/>
          <w:sz w:val="28"/>
          <w:szCs w:val="28"/>
          <w:u w:val="single"/>
        </w:rPr>
        <w:t>Таблица 6</w:t>
      </w:r>
      <w:r>
        <w:rPr>
          <w:color w:val="2E2E2E"/>
          <w:sz w:val="28"/>
          <w:szCs w:val="28"/>
          <w:u w:val="single"/>
        </w:rPr>
        <w:t xml:space="preserve">. </w:t>
      </w:r>
      <w:r>
        <w:rPr>
          <w:color w:val="2E2E2E"/>
          <w:sz w:val="28"/>
          <w:szCs w:val="28"/>
          <w:u w:val="none"/>
        </w:rPr>
        <w:t xml:space="preserve">Рекомендации по </w:t>
      </w:r>
      <w:r>
        <w:rPr>
          <w:rStyle w:val="Style12"/>
          <w:color w:val="2E2E2E"/>
          <w:sz w:val="28"/>
          <w:szCs w:val="28"/>
          <w:u w:val="none"/>
        </w:rPr>
        <w:t xml:space="preserve">питанию </w:t>
      </w:r>
      <w:r>
        <w:rPr>
          <w:color w:val="2E2E2E"/>
          <w:sz w:val="28"/>
          <w:szCs w:val="28"/>
          <w:u w:val="none"/>
        </w:rPr>
        <w:t>недоношенных детей.</w:t>
      </w:r>
    </w:p>
    <w:tbl>
      <w:tblPr>
        <w:tblW w:w="9840" w:type="dxa"/>
        <w:jc w:val="left"/>
        <w:tblInd w:w="0" w:type="dxa"/>
        <w:tblBorders>
          <w:top w:val="single" w:sz="6" w:space="0" w:color="EBEBEB"/>
          <w:bottom w:val="single" w:sz="6" w:space="0" w:color="EBEBEB"/>
          <w:insideH w:val="single" w:sz="6" w:space="0" w:color="EBEBEB"/>
        </w:tblBorders>
        <w:tblCellMar>
          <w:top w:w="75" w:type="dxa"/>
          <w:left w:w="7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2172"/>
        <w:gridCol w:w="2357"/>
        <w:gridCol w:w="2748"/>
        <w:gridCol w:w="2562"/>
      </w:tblGrid>
      <w:tr>
        <w:trPr>
          <w:tblHeader w:val="true"/>
        </w:trPr>
        <w:tc>
          <w:tcPr>
            <w:tcW w:w="2172" w:type="dxa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creenreaderonly"/>
                <w:rFonts w:cs="Times New Roman" w:ascii="Times New Roman" w:hAnsi="Times New Roman"/>
                <w:sz w:val="28"/>
                <w:szCs w:val="28"/>
              </w:rPr>
              <w:t>Пустая ячейка</w:t>
            </w:r>
          </w:p>
        </w:tc>
        <w:tc>
          <w:tcPr>
            <w:tcW w:w="2357" w:type="dxa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Время вмешательства</w:t>
            </w:r>
          </w:p>
        </w:tc>
        <w:tc>
          <w:tcPr>
            <w:tcW w:w="2748" w:type="dxa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Форма вмешательства</w:t>
            </w:r>
          </w:p>
        </w:tc>
        <w:tc>
          <w:tcPr>
            <w:tcW w:w="2562" w:type="dxa"/>
            <w:tcBorders>
              <w:top w:val="single" w:sz="6" w:space="0" w:color="EBEBEB"/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Принципы</w:t>
            </w:r>
          </w:p>
        </w:tc>
      </w:tr>
      <w:tr>
        <w:trPr/>
        <w:tc>
          <w:tcPr>
            <w:tcW w:w="217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Энтеральное питание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можно раньше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Очень медленное состояние при 0,5–1 мл/кг/сут и повышение до 20 мл/кг/сут</w:t>
            </w:r>
          </w:p>
        </w:tc>
        <w:tc>
          <w:tcPr>
            <w:tcW w:w="25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Минимальное раннее начало приема грудного молока или грудного молока доноров</w:t>
            </w:r>
          </w:p>
        </w:tc>
      </w:tr>
      <w:tr>
        <w:trPr/>
        <w:tc>
          <w:tcPr>
            <w:tcW w:w="217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Парентеральное питание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можно скорее в первые часы жизни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Высокая первая доза инфузии аминокислот при 3–4 г/кг/сут</w:t>
            </w:r>
          </w:p>
        </w:tc>
        <w:tc>
          <w:tcPr>
            <w:tcW w:w="25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Ранний агрессивный</w:t>
            </w:r>
          </w:p>
        </w:tc>
      </w:tr>
      <w:tr>
        <w:trPr/>
        <w:tc>
          <w:tcPr>
            <w:tcW w:w="217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Липидная эмульсия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Раннее введение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0,5–1 г/кг/сут и постепенно увеличивается до 2–3 г/кг/сут</w:t>
            </w:r>
          </w:p>
        </w:tc>
        <w:tc>
          <w:tcPr>
            <w:tcW w:w="25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0,5–1 г/кг/сут, в то время как билирубин 8–10 мг/дл и альбумин 0,5–3 г/дл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en-US"/>
        </w:rPr>
        <w:t>Список литературы:</w:t>
      </w:r>
    </w:p>
    <w:p>
      <w:pPr>
        <w:pStyle w:val="Normal"/>
        <w:rPr/>
      </w:pPr>
      <w:r>
        <w:rPr>
          <w:rStyle w:val="Style12"/>
          <w:rFonts w:cs="Times New Roman" w:ascii="Times New Roman" w:hAnsi="Times New Roman"/>
          <w:sz w:val="28"/>
          <w:szCs w:val="28"/>
          <w:lang w:val="en-US"/>
        </w:rPr>
        <w:t>https://www.ped-perinatology.ru/jour/article/view/549?locale=ru_RU</w:t>
      </w:r>
    </w:p>
    <w:p>
      <w:pPr>
        <w:pStyle w:val="Normal"/>
        <w:rPr/>
      </w:pP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Trend of Nutritional Support in Preterm Infants - ScienceDirect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Optimizing Nutrition in Preterm Infants - ScienceDirect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9a140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4">
    <w:name w:val="Heading 4"/>
    <w:basedOn w:val="Normal"/>
    <w:link w:val="40"/>
    <w:uiPriority w:val="9"/>
    <w:qFormat/>
    <w:rsid w:val="009155c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bc39e2"/>
    <w:rPr>
      <w:color w:val="0000FF"/>
      <w:u w:val="single"/>
    </w:rPr>
  </w:style>
  <w:style w:type="character" w:styleId="Rynqvb" w:customStyle="1">
    <w:name w:val="rynqvb"/>
    <w:basedOn w:val="DefaultParagraphFont"/>
    <w:qFormat/>
    <w:rsid w:val="009155cb"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9155c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chortext" w:customStyle="1">
    <w:name w:val="anchor-text"/>
    <w:basedOn w:val="DefaultParagraphFont"/>
    <w:qFormat/>
    <w:rsid w:val="009155cb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a140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Label" w:customStyle="1">
    <w:name w:val="label"/>
    <w:basedOn w:val="DefaultParagraphFont"/>
    <w:qFormat/>
    <w:rsid w:val="009a1409"/>
    <w:rPr/>
  </w:style>
  <w:style w:type="character" w:styleId="Screenreaderonly" w:customStyle="1">
    <w:name w:val="screen-reader-only"/>
    <w:basedOn w:val="DefaultParagraphFont"/>
    <w:qFormat/>
    <w:rsid w:val="00914151"/>
    <w:rPr/>
  </w:style>
  <w:style w:type="character" w:styleId="ListLabel1">
    <w:name w:val="ListLabel 1"/>
    <w:qFormat/>
    <w:rPr>
      <w:rFonts w:ascii="Georgia" w:hAnsi="Georgia"/>
      <w:color w:val="0C7DBB"/>
    </w:rPr>
  </w:style>
  <w:style w:type="character" w:styleId="ListLabel2">
    <w:name w:val="ListLabel 2"/>
    <w:qFormat/>
    <w:rPr>
      <w:rFonts w:ascii="Georgia" w:hAnsi="Georgia"/>
      <w:color w:val="2E2E2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2E2E2E"/>
      <w:sz w:val="28"/>
      <w:szCs w:val="28"/>
      <w:lang w:eastAsia="ru-RU"/>
    </w:rPr>
  </w:style>
  <w:style w:type="character" w:styleId="ListLabel4">
    <w:name w:val="ListLabel 4"/>
    <w:qFormat/>
    <w:rPr>
      <w:color w:val="2E2E2E"/>
      <w:sz w:val="28"/>
      <w:szCs w:val="28"/>
    </w:rPr>
  </w:style>
  <w:style w:type="character" w:styleId="ListLabel5">
    <w:name w:val="ListLabel 5"/>
    <w:qFormat/>
    <w:rPr>
      <w:rFonts w:eastAsia="" w:eastAsiaTheme="majorEastAsia"/>
      <w:color w:val="0C7DBB"/>
      <w:sz w:val="28"/>
      <w:szCs w:val="28"/>
      <w:vertAlign w:val="superscript"/>
    </w:rPr>
  </w:style>
  <w:style w:type="character" w:styleId="ListLabel6">
    <w:name w:val="ListLabel 6"/>
    <w:qFormat/>
    <w:rPr>
      <w:rFonts w:eastAsia="" w:eastAsiaTheme="majorEastAsia"/>
      <w:color w:val="0C7DBB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2E2E2E"/>
      <w:sz w:val="28"/>
      <w:szCs w:val="28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2E2E2E"/>
      <w:sz w:val="28"/>
      <w:szCs w:val="28"/>
      <w:u w:val="single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C7DBB"/>
      <w:sz w:val="28"/>
      <w:szCs w:val="28"/>
      <w:vertAlign w:val="superscript"/>
      <w:lang w:eastAsia="ru-RU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  <w:lang w:val="en-US"/>
    </w:rPr>
  </w:style>
  <w:style w:type="character" w:styleId="Style13">
    <w:name w:val="Символ нумерации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155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iencedirect.com/science/article/pii/S1875957215001898" TargetMode="External"/><Relationship Id="rId3" Type="http://schemas.openxmlformats.org/officeDocument/2006/relationships/hyperlink" Target="https://www.sciencedirect.com/science/article/pii/S187595721300135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LibreOffice/6.0.7.3$Linux_X86_64 LibreOffice_project/00m0$Build-3</Application>
  <Pages>11</Pages>
  <Words>1424</Words>
  <Characters>9658</Characters>
  <CharactersWithSpaces>10889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2023-04-11T14:10:00Z</dcterms:created>
  <dc:creator>АДМИН</dc:creator>
  <dc:description/>
  <dc:language>ru-RU</dc:language>
  <cp:lastModifiedBy/>
  <dcterms:modified xsi:type="dcterms:W3CDTF">2023-05-12T10:35:51Z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