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7269" w14:textId="77777777" w:rsidR="00083F2F" w:rsidRDefault="00083F2F" w:rsidP="00083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14:paraId="1F0E0F32" w14:textId="77777777" w:rsidR="00083F2F" w:rsidRDefault="00083F2F" w:rsidP="00083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ВЫСШЕГО ПРОФЕССИОНАЛЬНОГО ОБРАЗОВАНИЯ «КРАСНОЯРСКИЙ</w:t>
      </w:r>
    </w:p>
    <w:p w14:paraId="7969BDF6" w14:textId="77777777" w:rsidR="00083F2F" w:rsidRDefault="00083F2F" w:rsidP="00083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ГОСУДАРСТВЕННЫЙ МЕДИЦИНСКИЙ УНИВЕРСИТЕТ ИМЕНИ</w:t>
      </w:r>
    </w:p>
    <w:p w14:paraId="68A98D89" w14:textId="77777777" w:rsidR="00083F2F" w:rsidRDefault="00083F2F" w:rsidP="00083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ПРОФЕССОРА В.Ф. ВОЙНО-ЯСЕНЕЦКОГО» МИНИСТЕРСТВА</w:t>
      </w:r>
    </w:p>
    <w:p w14:paraId="4BA7B4AF" w14:textId="77777777" w:rsidR="00083F2F" w:rsidRDefault="00083F2F" w:rsidP="00083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ЗДРАВООХРАНЕНИЯ И СОЦИАЛЬНОГО РАЗВИТИЯ РФ</w:t>
      </w:r>
    </w:p>
    <w:p w14:paraId="7BCB7756" w14:textId="77777777" w:rsidR="00083F2F" w:rsidRDefault="00083F2F" w:rsidP="00083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ВПО КРАСГМУ ИМ. ПРОФ. В.Ф. ВОЙНО-ЯСЕНЕЦКОГО МЗ и СР РФ</w:t>
      </w:r>
    </w:p>
    <w:p w14:paraId="47AE0F4F" w14:textId="77777777" w:rsidR="00083F2F" w:rsidRDefault="00083F2F" w:rsidP="00083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офтальмологии имени профессора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М.А.Дмитриева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курсом ПО</w:t>
      </w:r>
    </w:p>
    <w:p w14:paraId="7B8E2748" w14:textId="77777777" w:rsidR="00083F2F" w:rsidRDefault="00083F2F" w:rsidP="00083F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85F057" w14:textId="77777777" w:rsidR="00083F2F" w:rsidRDefault="00083F2F" w:rsidP="00083F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6204C3" w14:textId="77777777" w:rsidR="00083F2F" w:rsidRDefault="00083F2F" w:rsidP="00083F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5D676F" w14:textId="77777777" w:rsidR="00083F2F" w:rsidRDefault="00083F2F" w:rsidP="00083F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55E8D0" w14:textId="77777777" w:rsidR="00083F2F" w:rsidRDefault="00083F2F" w:rsidP="00083F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D14515" w14:textId="77777777" w:rsidR="00083F2F" w:rsidRDefault="00083F2F" w:rsidP="00083F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542872" w14:textId="77777777" w:rsidR="00083F2F" w:rsidRDefault="00083F2F" w:rsidP="00083F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A073F4" w14:textId="77777777" w:rsidR="00083F2F" w:rsidRDefault="00083F2F" w:rsidP="00083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14:paraId="638D4FF9" w14:textId="3333B9EE" w:rsidR="00083F2F" w:rsidRDefault="00083F2F" w:rsidP="00083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8074655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83F2F">
        <w:rPr>
          <w:rFonts w:ascii="Times New Roman" w:hAnsi="Times New Roman" w:cs="Times New Roman"/>
          <w:b/>
          <w:bCs/>
          <w:sz w:val="28"/>
          <w:szCs w:val="28"/>
        </w:rPr>
        <w:t>ТУБЕРКУЛЕЗНЫЙ УВЕИТ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3F41F8B8" w14:textId="77777777" w:rsidR="00083F2F" w:rsidRDefault="00083F2F" w:rsidP="00083F2F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Шаров Н.С.</w:t>
      </w:r>
    </w:p>
    <w:p w14:paraId="60EF8EF2" w14:textId="77777777" w:rsidR="00083F2F" w:rsidRDefault="00083F2F" w:rsidP="00083F2F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 2 года обучения</w:t>
      </w:r>
    </w:p>
    <w:p w14:paraId="614BCD87" w14:textId="77777777" w:rsidR="00083F2F" w:rsidRDefault="00083F2F" w:rsidP="00083F2F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ассистент кафедры</w:t>
      </w:r>
    </w:p>
    <w:p w14:paraId="3418984C" w14:textId="77777777" w:rsidR="00083F2F" w:rsidRDefault="00083F2F" w:rsidP="00083F2F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П.М.</w:t>
      </w:r>
    </w:p>
    <w:p w14:paraId="2E9776CC" w14:textId="77777777" w:rsidR="00083F2F" w:rsidRDefault="00083F2F" w:rsidP="00083F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B54C20" w14:textId="77777777" w:rsidR="00083F2F" w:rsidRDefault="00083F2F" w:rsidP="00083F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361D33" w14:textId="77777777" w:rsidR="00083F2F" w:rsidRDefault="00083F2F" w:rsidP="00083F2F">
      <w:pPr>
        <w:rPr>
          <w:rFonts w:ascii="Times New Roman" w:hAnsi="Times New Roman" w:cs="Times New Roman"/>
          <w:sz w:val="28"/>
          <w:szCs w:val="28"/>
        </w:rPr>
      </w:pPr>
    </w:p>
    <w:p w14:paraId="000B0280" w14:textId="2AA90516" w:rsidR="00083F2F" w:rsidRDefault="00083F2F" w:rsidP="00083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2024</w:t>
      </w:r>
    </w:p>
    <w:p w14:paraId="3134D604" w14:textId="53032215" w:rsidR="00037A8C" w:rsidRDefault="00037A8C" w:rsidP="00083F2F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2664736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2A91EE6" w14:textId="6B78712E" w:rsidR="00037A8C" w:rsidRPr="00037A8C" w:rsidRDefault="00037A8C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  <w:r w:rsidRPr="00037A8C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4E1CC17F" w14:textId="250F58FD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37A8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37A8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37A8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8316100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Определение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_Toc168316100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3806FE" w14:textId="16F5CFF0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01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Этиология и патогенез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_Toc168316101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7120A8" w14:textId="29975544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02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Эпидемиология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_Toc168316102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FE9377" w14:textId="2564C0A9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03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Классификация туберкулезных увеитов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_Toc168316103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6C0C2F" w14:textId="1D0D500B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04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_Toc168316104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1C1349" w14:textId="68FFDFB9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05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Жалобы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_Toc168316105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1C9170" w14:textId="3C4EAC2E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06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Анамнез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_Toc168316106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045F31" w14:textId="23A774DC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07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Клинические формы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_Toc168316107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C484AF" w14:textId="710A617F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08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Диагностика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_Toc168316108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231C05" w14:textId="7C601E03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09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Лечение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_Toc168316109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F6BB9E" w14:textId="6A54AA7A" w:rsidR="00037A8C" w:rsidRPr="00037A8C" w:rsidRDefault="00037A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10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Хирургическое лечение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_Toc168316110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886108" w14:textId="69E2599F" w:rsidR="00037A8C" w:rsidRDefault="00037A8C">
          <w:pPr>
            <w:pStyle w:val="11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</w:pPr>
          <w:hyperlink w:anchor="_Toc168316111" w:history="1">
            <w:r w:rsidRPr="00037A8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_Toc168316111 \h </w:instrTex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37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A78098" w14:textId="66FD3EA7" w:rsidR="00037A8C" w:rsidRDefault="00037A8C">
          <w:pPr>
            <w:spacing w:line="259" w:lineRule="auto"/>
            <w:rPr>
              <w:noProof/>
            </w:rPr>
          </w:pPr>
          <w:r>
            <w:rPr>
              <w:noProof/>
            </w:rPr>
            <w:br w:type="page"/>
          </w:r>
        </w:p>
        <w:p w14:paraId="1C597B0A" w14:textId="77777777" w:rsidR="00037A8C" w:rsidRPr="00037A8C" w:rsidRDefault="00037A8C" w:rsidP="00037A8C">
          <w:pPr>
            <w:rPr>
              <w:noProof/>
            </w:rPr>
          </w:pPr>
        </w:p>
        <w:p w14:paraId="78EB7E11" w14:textId="2B9525BE" w:rsidR="00083F2F" w:rsidRPr="00037A8C" w:rsidRDefault="00037A8C" w:rsidP="00037A8C">
          <w:r w:rsidRPr="00037A8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DC7ADC2" w14:textId="77777777" w:rsidR="00083F2F" w:rsidRPr="0080223C" w:rsidRDefault="00083F2F" w:rsidP="0080223C">
      <w:pPr>
        <w:pStyle w:val="1"/>
      </w:pPr>
      <w:bookmarkStart w:id="1" w:name="_Toc168316100"/>
      <w:r w:rsidRPr="0080223C">
        <w:t>Определение</w:t>
      </w:r>
      <w:bookmarkEnd w:id="1"/>
      <w:r w:rsidRPr="0080223C">
        <w:t xml:space="preserve"> </w:t>
      </w:r>
    </w:p>
    <w:p w14:paraId="6EC202E5" w14:textId="5082EA93" w:rsidR="00784F3E" w:rsidRPr="0080223C" w:rsidRDefault="00083F2F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Туберкулезный увеит - одна из форм внелегочного туберкулеза, характеризующаяся поражением сосудистого тракта глаза и сетчатки, имеет полиморфную клиническую картину, длительное рецидивирующее течение.</w:t>
      </w:r>
    </w:p>
    <w:p w14:paraId="2993AE03" w14:textId="21877F09" w:rsidR="00083F2F" w:rsidRPr="0080223C" w:rsidRDefault="00083F2F" w:rsidP="0080223C">
      <w:pPr>
        <w:pStyle w:val="1"/>
      </w:pPr>
      <w:bookmarkStart w:id="2" w:name="_Toc168316101"/>
      <w:r w:rsidRPr="0080223C">
        <w:t>Этиология и патогенез</w:t>
      </w:r>
      <w:bookmarkEnd w:id="2"/>
    </w:p>
    <w:p w14:paraId="24288D6E" w14:textId="0E7F9BA6" w:rsidR="00083F2F" w:rsidRPr="0080223C" w:rsidRDefault="00083F2F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Возбудитель туберкулезного увеита -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Mycobacteriatuberculosis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, представляет собой тонкую кислотоустойчивую палочку длиной от 0,8 до 3 - 5 мкм и шириной от 0,2 до 0,5 мкм. Микобактерии самостоятельным движением не обладают, могут располагаться внутри- 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внеклеточно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>, устойчивы к физическим и химическим агентам. В зависимости от механизма развития выделяют метастатический (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гематогеннодиссеминированный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) и туберкулезно-аллергический увеит. Гематогенно-диссеминированный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увеальный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туберкулез является следствием инфекции, которая при неблагоприятных для макроорганизма условиях распространяется, в сосуды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увеального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тракта по системе кровообращения из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внеглазных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фокусов, которые могут располагаться в легких в виде рубцов или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петрификатов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, а также в других органах, где микобактерии туберкулеза находятся в неактивном состоянии в течение многих лет. Возбудитель, попадая в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увеальный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тракт и распространяясь в окружающие ткани, приводит к формированию воспалительного очага, представляющего собой туберкулезную гранулему. В основе туберкулезно-аллергического увеита лежат иммунные реакции типа антиген-антитело. Заболевание развивается у пациентов, организм и ткани глаза которых имеют сенсибилизацию к туберкулезному антигену, причем аллергическое воспаление может носить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гиперергический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характер. Этот тип увеита всегда возникает на фоне активной туберкулезной инфекции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внеглазной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локализации (в лимфатических узлах или в легких) и не содержит морфологических элементов туберкулезной гранулемы. Встречается, как правило, у детей. Следует отметить, что изолированная глазная форма туберкулезного увеита встречается крайне редко</w:t>
      </w:r>
    </w:p>
    <w:p w14:paraId="021B2A73" w14:textId="67382B42" w:rsidR="00083F2F" w:rsidRPr="0080223C" w:rsidRDefault="00083F2F" w:rsidP="0080223C">
      <w:pPr>
        <w:pStyle w:val="1"/>
      </w:pPr>
      <w:bookmarkStart w:id="3" w:name="_Toc168316102"/>
      <w:r w:rsidRPr="0080223C">
        <w:t>Эпидемиология</w:t>
      </w:r>
      <w:bookmarkEnd w:id="3"/>
    </w:p>
    <w:p w14:paraId="6BCE35A8" w14:textId="6029AD52" w:rsidR="00083F2F" w:rsidRPr="0080223C" w:rsidRDefault="00083F2F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На воспалительные поражения сосудистого тракта приходится 7 - 30%. Туберкулезная этиология увеитов выявляется в 0,2 - 20,5%. Такой большой разброс полученных результатов объясняется различной эпидемиологической ситуацией в регионах в отношении туберкулеза, а также значительными трудностями в диагностике и интерпретации данных. В клинической структуре туберкулезного воспаления сосудистой оболочки </w:t>
      </w:r>
      <w:r w:rsidRPr="0080223C">
        <w:rPr>
          <w:rFonts w:ascii="Times New Roman" w:hAnsi="Times New Roman" w:cs="Times New Roman"/>
          <w:sz w:val="28"/>
          <w:szCs w:val="28"/>
        </w:rPr>
        <w:lastRenderedPageBreak/>
        <w:t>наиболее часто встречается задний и генерализованный увеит (78%), значительно реже - передний увеит. Туберкулезное поражение органа зрения может развиваться в любом возрасте</w:t>
      </w:r>
    </w:p>
    <w:p w14:paraId="28F16B07" w14:textId="50A3B486" w:rsidR="00083F2F" w:rsidRPr="0080223C" w:rsidRDefault="00083F2F" w:rsidP="0080223C">
      <w:pPr>
        <w:pStyle w:val="1"/>
      </w:pPr>
      <w:bookmarkStart w:id="4" w:name="_Toc168316103"/>
      <w:r w:rsidRPr="0080223C">
        <w:t>Классификация туберкулезных увеитов</w:t>
      </w:r>
      <w:bookmarkEnd w:id="4"/>
    </w:p>
    <w:p w14:paraId="0DD35AC2" w14:textId="33514F5F" w:rsidR="00083F2F" w:rsidRPr="0080223C" w:rsidRDefault="00083F2F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Предложена классификация туберкулезных увеитов по анатомической локализации, механизму развития, преобладающему типу воспалительной реакции, течению, фазам и отношению к микобактериям туберкулеза при различных формах</w:t>
      </w:r>
    </w:p>
    <w:p w14:paraId="515ECF6B" w14:textId="3D4828E4" w:rsidR="00083F2F" w:rsidRPr="0080223C" w:rsidRDefault="00083F2F">
      <w:pPr>
        <w:rPr>
          <w:rFonts w:ascii="Times New Roman" w:hAnsi="Times New Roman" w:cs="Times New Roman"/>
          <w:sz w:val="28"/>
          <w:szCs w:val="28"/>
        </w:rPr>
      </w:pPr>
    </w:p>
    <w:p w14:paraId="145597AF" w14:textId="47043599" w:rsidR="00083F2F" w:rsidRPr="0080223C" w:rsidRDefault="00083F2F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A7AA4CC" wp14:editId="0D830D89">
            <wp:extent cx="5191125" cy="7513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6719" cy="756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17B6" w14:textId="35E74F1B" w:rsidR="007627BA" w:rsidRPr="0080223C" w:rsidRDefault="007627BA" w:rsidP="0080223C">
      <w:pPr>
        <w:pStyle w:val="1"/>
      </w:pPr>
      <w:bookmarkStart w:id="5" w:name="_Toc168316104"/>
      <w:r w:rsidRPr="0080223C">
        <w:t>Клиническая картина</w:t>
      </w:r>
      <w:bookmarkEnd w:id="5"/>
    </w:p>
    <w:p w14:paraId="78373488" w14:textId="77777777" w:rsidR="007627BA" w:rsidRPr="0080223C" w:rsidRDefault="007627BA" w:rsidP="007627BA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Туберкулезные поражения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увеального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тракта отличаются большим полиморфизмом, который зависит от различной вирулентности возбудителя, резистентности к нему пациента, а также той или иной степени выраженности аллергического компонента. </w:t>
      </w:r>
    </w:p>
    <w:p w14:paraId="05D28266" w14:textId="78E73618" w:rsidR="007627BA" w:rsidRPr="0080223C" w:rsidRDefault="007627BA" w:rsidP="007627BA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достоверный диагноз туберкулезного увеита в обычной поликлинической и клинической практике устанавливается относительно редко, пациенты, перед тем как они поступают в специализированные лечебные учреждения, получают широкий спектр препаратов (антибиотики, сульфаниламиды, массивные дозы кортикостероидов и др.) и клиническая картина изменений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теряет свою специфичность. Считавшиеся ранее в определенной мере патогномоничными для опытного клинициста черты туберкулезного увеита, сейчас в значительной степени утрачены и диагноз, основывающийся только на биомикроскопических или офтальмоскопических данных, должен вызывать обоснованные сомнения. Однако, обнаружение во внутриглазных жидкостях и тканях глаза микобактерий туберкулеза позволяет со стопроцентной уверенностью поставить этиологический диагноз</w:t>
      </w:r>
    </w:p>
    <w:p w14:paraId="59133E1D" w14:textId="5242C111" w:rsidR="007627BA" w:rsidRPr="0080223C" w:rsidRDefault="007627BA" w:rsidP="007627BA">
      <w:pPr>
        <w:rPr>
          <w:rFonts w:ascii="Times New Roman" w:hAnsi="Times New Roman" w:cs="Times New Roman"/>
          <w:sz w:val="28"/>
          <w:szCs w:val="28"/>
        </w:rPr>
      </w:pPr>
    </w:p>
    <w:p w14:paraId="4B485EEC" w14:textId="52195EC4" w:rsidR="007627BA" w:rsidRPr="0080223C" w:rsidRDefault="007627BA" w:rsidP="0080223C">
      <w:pPr>
        <w:pStyle w:val="1"/>
      </w:pPr>
      <w:bookmarkStart w:id="6" w:name="_Toc168316105"/>
      <w:r w:rsidRPr="0080223C">
        <w:t>Жалобы</w:t>
      </w:r>
      <w:bookmarkEnd w:id="6"/>
    </w:p>
    <w:p w14:paraId="65F57D8B" w14:textId="32557872" w:rsidR="007627BA" w:rsidRPr="0080223C" w:rsidRDefault="007627BA" w:rsidP="007627BA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Обусловлены стадией процесса, его выраженностью и анатомической локализацией. Так при остром переднем увеите пациенты предъявляют жалобы на покраснение глаза, затуманивание, боли в области цилиарного тела, при повышении внутриглазного давления - в лобно-височной области, при вовлечении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зоны отмечают снижение остроты зрения. При заднем увеите с локализацией воспалительных фокусов в заднем полюсе пациенты отмечают появление тумана и быстрое снижение зрения. При периферических воспалительных очагах пациенты могут предъявлять длительно жалобы на плавающие точки перед глазом. Резкое снижение зрения нередко обусловлено появлением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интравитреальных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геморрагий, окклюзией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ретинальных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вен и развитием неврита зрительного нерва. Таким образом, можно констатировать, что при туберкулезных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увеальных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процессах специфические жалобы отсутствуют.</w:t>
      </w:r>
    </w:p>
    <w:p w14:paraId="13FA6ED4" w14:textId="097A8473" w:rsidR="007627BA" w:rsidRPr="0080223C" w:rsidRDefault="007627BA" w:rsidP="007627BA">
      <w:pPr>
        <w:rPr>
          <w:rFonts w:ascii="Times New Roman" w:hAnsi="Times New Roman" w:cs="Times New Roman"/>
          <w:sz w:val="28"/>
          <w:szCs w:val="28"/>
        </w:rPr>
      </w:pPr>
    </w:p>
    <w:p w14:paraId="69665E96" w14:textId="2E016B79" w:rsidR="007627BA" w:rsidRPr="0080223C" w:rsidRDefault="007627BA" w:rsidP="0080223C">
      <w:pPr>
        <w:pStyle w:val="1"/>
      </w:pPr>
      <w:bookmarkStart w:id="7" w:name="_Toc168316106"/>
      <w:r w:rsidRPr="0080223C">
        <w:t>Анамнез</w:t>
      </w:r>
      <w:bookmarkEnd w:id="7"/>
    </w:p>
    <w:p w14:paraId="3C37E38E" w14:textId="0784C6CB" w:rsidR="007627BA" w:rsidRPr="0080223C" w:rsidRDefault="007627BA" w:rsidP="007627BA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При сборе анамнеза необходимо обращать внимание на наличие у пациента туберкулеза в прошлом, длительный контакт с пациентами туберкулезом, особенно с открытой формой, имеющиеся сопутствующие заболевания (ВИЧ, сахарный диабет, язвенная болезнь желудка и 12-перстной кишки, воспалительные поражения печени и почек, а также неблагоприятные социально-экономические факторы, курение, наркомания, алкоголизм). Необходимо уточнить, получал ли ранее пациент длительную кортикостероидную или иную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иммуносупрессивную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терапию. Также следует отметить не входит ли пациент в группу риска заболевания туберкулезом </w:t>
      </w:r>
      <w:r w:rsidRPr="0080223C">
        <w:rPr>
          <w:rFonts w:ascii="Times New Roman" w:hAnsi="Times New Roman" w:cs="Times New Roman"/>
          <w:sz w:val="28"/>
          <w:szCs w:val="28"/>
        </w:rPr>
        <w:lastRenderedPageBreak/>
        <w:t>(бывший заключенный, шахтер, медицинский работник и др.), не находился ли в регионах эндемичных по туберкулезу.</w:t>
      </w:r>
    </w:p>
    <w:p w14:paraId="0BCB1851" w14:textId="0A63A17D" w:rsidR="007627BA" w:rsidRPr="0080223C" w:rsidRDefault="00926407" w:rsidP="0080223C">
      <w:pPr>
        <w:pStyle w:val="1"/>
      </w:pPr>
      <w:bookmarkStart w:id="8" w:name="_Toc168316107"/>
      <w:r w:rsidRPr="0080223C">
        <w:t>Клинические формы</w:t>
      </w:r>
      <w:bookmarkEnd w:id="8"/>
    </w:p>
    <w:p w14:paraId="2B36F8DA" w14:textId="791B7705" w:rsidR="00926407" w:rsidRPr="0080223C" w:rsidRDefault="00926407" w:rsidP="007627BA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Передний увеит. Включает в себя ирит, передний циклит (при страдании передней порции цилиарного тела) и иридоциклит. Для острого туберкулезного иридоциклита характерна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перикорнеальная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инъекция, мощные роговичные преципитаты, сочетающиеся с множественными маленькими серовато-желтыми узелками на радужке, особенно вблизи ее корня. Иногда воспалительный процесс начинается с диффузного ирита, который трудно дифференцировать с неспецифическим, лишь позже могут появиться характерные узелки. Хронический туберкулез радужной оболочки имеет длительное и относительно доброкачественное течение. Строма радужки покрыта множественными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нодулярными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гранулемами, которые часто собираются в области малого артериального круга, вблизи зрачкового края или угла передней камеры глаза. Их появлению обычно предшествует диффузный экссудативный ирит, иногда с геморрагическими экстравазатами. Может наблюдаться диффузная экссудация, которая иногда переходит в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гипопион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. В легких случаях воспалительный процесс определяется с трудом. Так, на фоне почти бессимптомного начала появляются небольшие серые образования в строме радужной оболочки, которые постепенно увеличиваются в диаметре до 1 - 2 мм. При этом цвет их изменяется до желтого и развивается поверхностная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неоваскуляризация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. Процесс может оканчиваться разрешением (узелки подвергаются полному рассасыванию) или потерей глаза как функционального органа через несколько месяцев. При значительной деструкции ткани выявляются атрофические участки стромы и мелкие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гиалинизированные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или фиброзные рубцы (пятна Михеля). Иногда заболевание начинается с выраженного пластического ирита, но чаще симптомы выражены слабо и процесс не диагностируется до тех пор, пока не станет клинически очевидным, однако это соответствует уже далеко зашедшей стадии. При исследовании определяются легкая цилиарная инъекция, немного больших жирных роговичных преципитатов и обычно 1 - 2 полупрозрачных узелка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Кеппе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по зрачковому краю. Заболевание имеет вялое течение, вызывая небольшое снижение зрения, осложняется вторичной глаукомой.</w:t>
      </w:r>
    </w:p>
    <w:p w14:paraId="2809474C" w14:textId="5C4BADC1" w:rsidR="00926407" w:rsidRPr="0080223C" w:rsidRDefault="00926407" w:rsidP="007627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Конглобированный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туберкул клинически выявляется в виде желтой массы, растущей из стромы радужной оболочки. Представлен пролиферирующими и сливающимися между собой туберкулезными узелками, образующими значительных размеров гранулему, которая может быть ошибочно принята за злокачественную опухоль.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Конглобированный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туберкул интенсивно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васкуляризируется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поверхностными сосудами и медленно прогрессирует, постепенно заполняя переднюю камеру. Появляется серозно-фибринозный </w:t>
      </w:r>
      <w:r w:rsidRPr="0080223C">
        <w:rPr>
          <w:rFonts w:ascii="Times New Roman" w:hAnsi="Times New Roman" w:cs="Times New Roman"/>
          <w:sz w:val="28"/>
          <w:szCs w:val="28"/>
        </w:rPr>
        <w:lastRenderedPageBreak/>
        <w:t xml:space="preserve">экссудат, геморрагии и казеозный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гипопион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. При вовлечении в процесс угла передней камеры развивается резистентная к лечению вторичная глаукома. Процесс может остановиться даже в выраженной стадии. Гранулема частично рассасывается, оставляя после себя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атрофичную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радужную оболочку. Однако чаще заболевание продолжает развиваться. Направление его движения почти всегда вперед, так как цилиарная мышца играет роль барьера для его задней экспансии и таким образом защищает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хориоидею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и супрахориоидальное пространство. При таком распространении инфекции происходит инфильтрация каналов дренирования внутриглазной жидкости.</w:t>
      </w:r>
    </w:p>
    <w:p w14:paraId="7CF5F187" w14:textId="4D3E4AA4" w:rsidR="00926407" w:rsidRPr="0080223C" w:rsidRDefault="00926407" w:rsidP="007627BA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Аллергический передний туберкулезный увеит. Эта форма вызывает сомнения при диагностике. Обычно поражаются оба глаза. По характеру клинического течения различают острый пластический увеит, встречающийся главным образом в возрасте до 30 лет и хронический рецидивирующий увеит, типичный для лиц более старшей возрастной группы. Для острого переднего пластического увеита характерен симптомокомплекс иридоциклита, но с наличием пластического экссудата и быстрым развитием задних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синехий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. Гранулематозные узелки отсутствуют. Хронический рецидивирующий передний увеит типичен для людей пожилого возраста, особенно женщин старше 50 лет. Иридоциклит протекает со значительной экссудацией, крупными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хлопкообразными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преципитатами на задней поверхности роговицы, массивными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синехиями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. Отмечается тенденция к развитию окклюзии зрачка. Если в процесс вовлекается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хориоидея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>, то в ней, как правило, обнаруживаются диссеминированные фокусы и заболевание становится генерализованным.</w:t>
      </w:r>
    </w:p>
    <w:p w14:paraId="5FFD1B91" w14:textId="77777777" w:rsidR="00926407" w:rsidRPr="0080223C" w:rsidRDefault="00926407" w:rsidP="007627BA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Срединный увеит (задний циклит,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парспланит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). Цилиарное тело является анатомической зоной локализации относительно доброкачественных хронических форм туберкулеза. Обычно заболевание начинается во внутреннем слое сосудов, находящихся на внутренней поверхности цилиарной мышцы в районе плоской части или короны цилиарного тела. Туберкулезные узелки при их росте разрушают эпителий и проникают в заднюю камеру глаза. Их распространение может проходить по двум направлениям. Движение инфекции вперед во влагу передней камеры глаза с образованием роговичных преципитатов и появлением картины прогрессирующего иридоциклита, при переходе процесса на радужную оболочку. При распространении инфекции в заднем направлении через стекловидное тело 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периваскулярные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ретинальных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вен формируется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периваскулит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с повторяющимися геморрагиями. Процесс может переходить и на зрительный нерв, тогда развивается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папиллит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. Поскольку в ранних стадиях заболевания туберкулезные узелки не видны, диагностика может быть осуществлена только при распространении инфекции на другие участки глаза. </w:t>
      </w:r>
    </w:p>
    <w:p w14:paraId="374E9234" w14:textId="0C1765B1" w:rsidR="00926407" w:rsidRPr="0080223C" w:rsidRDefault="00926407" w:rsidP="007627BA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lastRenderedPageBreak/>
        <w:t>Задний увеит (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хориоидит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, хориоретинит, ретинит,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ретиноваскулит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ретинохориоидит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эндофтальмит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). При туберкулезе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видны туберкулезные узелки в виде единичных или множественных серо-белых пятен со стушеванными краями под отечной сетчаткой. Сосуды, проходя по их поверхности,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проминируют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. Узелки варьируют от точечных до 0,5 - 2 мм в диаметре. Иногда мелкие фокусы сливаются, формируя большие образования. Поражение может захватывать любую часть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, при распространении инфекционного процесса на сетчатку формируется хориоретинит. Наиболее типично наличие узелков в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перипапиллярной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области. При успешном лечении зона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перифокального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отека уменьшается, края узелков становятся четкими, принимают желтый оттенок, на них скапливается пигмент. Известны случаи туберкулеза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с поражением сетчатки и развитием панофтальмита. В таких случаях в тканях были обнаружены микобактерии туберкулеза. При заднем туберкулезном увеите возможно появление больших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солитарных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туберкулов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, которые встречаются довольно редко.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Солитарный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туберкул может локализоваться в различных отделах глазного дна, иногда в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области или около диска зрительного нерва, но чаще - на крайней периферии. В начальной фазе развития он виден как очаг серовато-белого цвета со стушеванными границами. Затем туберкул постепенно растет и принимает вид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проминирующей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опухоли белого или желтого цвета. Туберкул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иногда похож на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меланобластому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>. Однако, круглая форма этой белой, как бы пористой массы, указывает на воспалительное происхождение. На поверхности туберкула могут быть небольшие геморрагии, сетчатка натягивается, образуя складки, что приводит к ее отслойке. Прогрессирование медленное, сопровождается воспалительными изменениями стекловидного тела и слабо выраженным хроническим передним увеитом с небольшим количеством роговичных преципитатов. Гранулема может прогрессировать в течение нескольких месяцев, а затем подвергаться обратному развитию, образуя белый хориоретинальный рубец, окруженный зоной пигмента; при рецидивах по краям рубца появляются свежие узелки.</w:t>
      </w:r>
    </w:p>
    <w:p w14:paraId="78A4ECDF" w14:textId="362A78BF" w:rsidR="00926407" w:rsidRPr="0080223C" w:rsidRDefault="00926407" w:rsidP="007627BA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При диссеминированном туберкулезном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хориоидите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хориоидее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определяются множественные серо-желтые круглые фокусы, сетчатка над ними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некротизируется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. Заболевание часто ассоциируется с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витреальными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помутнениями и воспалительной реакцией цилиарного тела. При разрешении процесса на глазном дне остаются атрофические пигментные участки. Такое поражение обычно встречается во втором и третьем десятилетии жизни, редко позже. Как правило, в процесс вовлекаются оба глаза. Если диссеминированный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хориоидит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начинается в юности, то может протекать относительно стационарно при достижении среднего возраста (иногда позднее), происходит внезапная активизация, с появлением свежих очаговых </w:t>
      </w:r>
      <w:r w:rsidRPr="0080223C">
        <w:rPr>
          <w:rFonts w:ascii="Times New Roman" w:hAnsi="Times New Roman" w:cs="Times New Roman"/>
          <w:sz w:val="28"/>
          <w:szCs w:val="28"/>
        </w:rPr>
        <w:lastRenderedPageBreak/>
        <w:t>изменений, что свидетельствует о снижении общей резистентности организма.</w:t>
      </w:r>
    </w:p>
    <w:p w14:paraId="1666FD39" w14:textId="526279EB" w:rsidR="00926407" w:rsidRPr="0080223C" w:rsidRDefault="00926407" w:rsidP="00037A8C">
      <w:pPr>
        <w:pStyle w:val="1"/>
      </w:pPr>
      <w:bookmarkStart w:id="9" w:name="_Toc168316108"/>
      <w:r w:rsidRPr="0080223C">
        <w:t>Диагностика</w:t>
      </w:r>
      <w:bookmarkEnd w:id="9"/>
    </w:p>
    <w:p w14:paraId="26EC18CB" w14:textId="5A7CDA3F" w:rsidR="00926407" w:rsidRPr="0080223C" w:rsidRDefault="00926407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- Консультация фтизиатра для исключения других внелегочных форм туберкулеза рекомендуется всем пациентам</w:t>
      </w:r>
    </w:p>
    <w:p w14:paraId="02CD82F3" w14:textId="2DEDE2E6" w:rsidR="00926407" w:rsidRPr="0080223C" w:rsidRDefault="00926407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- Стандартные лабораторные гематологические и биохимические исследования рекомендуются всем пациентам</w:t>
      </w:r>
    </w:p>
    <w:p w14:paraId="1A266673" w14:textId="13FB4871" w:rsidR="00926407" w:rsidRPr="0080223C" w:rsidRDefault="00926407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</w:p>
    <w:p w14:paraId="2A16C55C" w14:textId="52271B5A" w:rsidR="00926407" w:rsidRPr="0080223C" w:rsidRDefault="00926407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Визометрия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рекомендуется всем пациентам</w:t>
      </w:r>
    </w:p>
    <w:p w14:paraId="415123BC" w14:textId="54AD4C4E" w:rsidR="00926407" w:rsidRPr="0080223C" w:rsidRDefault="00926407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- Периметрия рекомендуется всем пациентам (исключение составляют пациенты, которые из-за низкой остроты зрения не могут фиксировать светящийся объект)</w:t>
      </w:r>
    </w:p>
    <w:p w14:paraId="17553F0E" w14:textId="43ECC39B" w:rsidR="00926407" w:rsidRPr="0080223C" w:rsidRDefault="00926407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- Тонометрия рекомендуется всем пациентам</w:t>
      </w:r>
    </w:p>
    <w:p w14:paraId="6D18DE7B" w14:textId="197C068E" w:rsidR="00926407" w:rsidRPr="0080223C" w:rsidRDefault="00926407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Биомикроскопия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переднего отдела глаза рекомендуется всем пациентам</w:t>
      </w:r>
    </w:p>
    <w:p w14:paraId="461426F7" w14:textId="0FC4F527" w:rsidR="00926407" w:rsidRPr="0080223C" w:rsidRDefault="00926407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Офтальмоскопия глазного дна прямая при максимальном медикаментозном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мидриазе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рекомендуется всем пациентам</w:t>
      </w:r>
    </w:p>
    <w:p w14:paraId="11FD842E" w14:textId="2E06D064" w:rsidR="00926407" w:rsidRPr="0080223C" w:rsidRDefault="0080223C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Офтальмоскопия обратная или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биомикроскопия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глазного дна при максимальном медикаментозном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мидриазе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рекомендуется всем пациентам</w:t>
      </w:r>
    </w:p>
    <w:p w14:paraId="56755D06" w14:textId="42280D0A" w:rsidR="0080223C" w:rsidRPr="0080223C" w:rsidRDefault="0080223C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- Флюоресцентная ангиография глазного дна, рекомендуется пациентам с сосудистыми воспалительными изменениями глазного дна (исключение составляют пациенты с непрозрачными средами глаза)</w:t>
      </w:r>
    </w:p>
    <w:p w14:paraId="15890DD4" w14:textId="50B32342" w:rsidR="0080223C" w:rsidRPr="0080223C" w:rsidRDefault="0080223C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Оптическая когерентная томография сетчатки рекомендуется пациентам с наличием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макулярных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изменений (исключение составляют пациенты с непрозрачными средами глаза)</w:t>
      </w:r>
    </w:p>
    <w:p w14:paraId="035C83A8" w14:textId="51434FD6" w:rsidR="0080223C" w:rsidRPr="0080223C" w:rsidRDefault="0080223C" w:rsidP="00926407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- Ультразвуковое исследование оболочек, сред глаза и окружающих тканей рекомендуется всем пациентам</w:t>
      </w:r>
    </w:p>
    <w:p w14:paraId="1E5A9CDC" w14:textId="774A92C7" w:rsidR="0080223C" w:rsidRPr="0080223C" w:rsidRDefault="0080223C" w:rsidP="00037A8C">
      <w:pPr>
        <w:pStyle w:val="1"/>
      </w:pPr>
      <w:bookmarkStart w:id="10" w:name="_Toc168316109"/>
      <w:r w:rsidRPr="0080223C">
        <w:t>Лечение</w:t>
      </w:r>
      <w:bookmarkEnd w:id="10"/>
    </w:p>
    <w:p w14:paraId="02EDDC80" w14:textId="55332E4B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Необходимо лечение туберкулезных увеитов проводить в условиях стационара, дневного стационара, амбулаторно. Регламентируется Приказом МЗ РФ N 109 от 21 марта 2003 г. (ред. от 29.10.2009) "О совершенствовании противотуберкулезных мероприятий в Российской Федерации"</w:t>
      </w:r>
    </w:p>
    <w:p w14:paraId="2783CC43" w14:textId="4FB6B8C1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Основные принципы терапии пациентов с туберкулезными увеитами: комплексное длительное лечение пациентов, основу которого должно составлять сочетание препаратов, подавляющих микобактерии туберкулеза, угнетающих воспалительную реакцию, а также нормализующих иммунный </w:t>
      </w:r>
      <w:r w:rsidRPr="0080223C">
        <w:rPr>
          <w:rFonts w:ascii="Times New Roman" w:hAnsi="Times New Roman" w:cs="Times New Roman"/>
          <w:sz w:val="28"/>
          <w:szCs w:val="28"/>
        </w:rPr>
        <w:lastRenderedPageBreak/>
        <w:t xml:space="preserve">статус; индивидуальный подход к лечению пациентов с туберкулезными увеитами, который обусловлен локализацией, распространенностью и активностью как глазных, так 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внеглазных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очагов; снижение количества общих и глазных осложнений в ходе проводимого лечения.</w:t>
      </w:r>
    </w:p>
    <w:p w14:paraId="6448FD5E" w14:textId="77777777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Местная терапия </w:t>
      </w:r>
    </w:p>
    <w:p w14:paraId="57E903EF" w14:textId="77777777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В активную фазу и фазу обратного развития туберкулезного увеита: </w:t>
      </w:r>
    </w:p>
    <w:p w14:paraId="65D377B9" w14:textId="2148C14A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мидриатики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в инстилляциях или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субконъюнктивально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рекомендуются всем пациентам с поражением переднего отдела глаза</w:t>
      </w:r>
    </w:p>
    <w:p w14:paraId="7F2C0913" w14:textId="4BD5CDFB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кортикостероиды в инстилляциях или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субконъюнктивально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рекомендуются</w:t>
      </w:r>
      <w:r w:rsidRPr="0080223C">
        <w:rPr>
          <w:rFonts w:ascii="Times New Roman" w:hAnsi="Times New Roman" w:cs="Times New Roman"/>
          <w:sz w:val="28"/>
          <w:szCs w:val="28"/>
        </w:rPr>
        <w:t xml:space="preserve"> </w:t>
      </w:r>
      <w:r w:rsidRPr="0080223C">
        <w:rPr>
          <w:rFonts w:ascii="Times New Roman" w:hAnsi="Times New Roman" w:cs="Times New Roman"/>
          <w:sz w:val="28"/>
          <w:szCs w:val="28"/>
        </w:rPr>
        <w:t>всем пациентам с поражением переднего отдела глаза</w:t>
      </w:r>
    </w:p>
    <w:p w14:paraId="644BFE08" w14:textId="7A8A0E47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кортикостероиды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периокулярно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рекомендуются всем пациентам с поражением заднего отдела глаза</w:t>
      </w:r>
    </w:p>
    <w:p w14:paraId="1D52C4B6" w14:textId="68B15C78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Изониазид#**3% 0,3 - 0,5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периокулярно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рекомендуется всем пациентам с туберкулезными увеитами</w:t>
      </w:r>
    </w:p>
    <w:p w14:paraId="7735658C" w14:textId="653E3DC9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Рекомендовано всем пациентам с повышением внутриглазного давления при любой стадии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увеального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процесса при наличии глаукомы или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офтальмогипертензии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>:</w:t>
      </w:r>
    </w:p>
    <w:p w14:paraId="1FD52D06" w14:textId="6947BF66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β -блокаторы, ингибиторы карбоангидразы, комбинированные препараты</w:t>
      </w:r>
    </w:p>
    <w:p w14:paraId="00869F26" w14:textId="62A3BB7F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простагландинового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ряда при лечении не применяются.</w:t>
      </w:r>
    </w:p>
    <w:p w14:paraId="4D81DC79" w14:textId="09F3FB0E" w:rsidR="0080223C" w:rsidRPr="0080223C" w:rsidRDefault="0080223C" w:rsidP="00037A8C">
      <w:pPr>
        <w:pStyle w:val="1"/>
      </w:pPr>
      <w:bookmarkStart w:id="11" w:name="_Toc168316110"/>
      <w:r w:rsidRPr="0080223C">
        <w:t>Хирургическое лечение</w:t>
      </w:r>
      <w:bookmarkEnd w:id="11"/>
    </w:p>
    <w:p w14:paraId="5C2B821A" w14:textId="6FF30D8B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Витрэктомия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рекомендуется всем пациентам в неактивную фазу туберкулезного увеита с фиброзными изменениями стекловидного тела и низкой остротой зрения, обусловленной фиброзом стекловидного тела</w:t>
      </w:r>
    </w:p>
    <w:p w14:paraId="5A5B75F2" w14:textId="761AA056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Экстракция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увеальной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катаракты рекомендуется всем пациентам с осложненной катарактой, снижение зрения у которых обусловлено помутнением хрусталика</w:t>
      </w:r>
    </w:p>
    <w:p w14:paraId="7685FCC6" w14:textId="24C5551E" w:rsidR="0080223C" w:rsidRPr="0080223C" w:rsidRDefault="0080223C" w:rsidP="0080223C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- Лазерная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иридотомия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рекомендуется в любую фазу туберкулезного увеита пациентам, у которых повышение внутриглазного давления обусловлено окклюзией зрачка и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иридохрусталиковым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блоком</w:t>
      </w:r>
    </w:p>
    <w:p w14:paraId="415F158C" w14:textId="1FA150B8" w:rsidR="0080223C" w:rsidRPr="0080223C" w:rsidRDefault="0080223C" w:rsidP="00037A8C">
      <w:pPr>
        <w:pStyle w:val="1"/>
      </w:pPr>
      <w:bookmarkStart w:id="12" w:name="_Toc168316111"/>
      <w:r w:rsidRPr="0080223C">
        <w:t>Список литературы</w:t>
      </w:r>
      <w:bookmarkEnd w:id="12"/>
    </w:p>
    <w:p w14:paraId="0AA26BC1" w14:textId="4437929F" w:rsidR="0080223C" w:rsidRPr="0080223C" w:rsidRDefault="0080223C" w:rsidP="00802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Л.А,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Танковский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В.Э. Увеиты (клиника, лечение) // М., 4-й филиал Воениздата, 2003 263 с.</w:t>
      </w:r>
    </w:p>
    <w:p w14:paraId="4EC705D5" w14:textId="6C89422F" w:rsidR="0080223C" w:rsidRPr="0080223C" w:rsidRDefault="0080223C" w:rsidP="00802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Устинова Е. И Туберкулез глаз и сходные с ним заболевания / Руководство для врачей // СПб. 2011. - 420 с</w:t>
      </w:r>
    </w:p>
    <w:p w14:paraId="68BCEFEB" w14:textId="2E488275" w:rsidR="0080223C" w:rsidRPr="0080223C" w:rsidRDefault="0080223C" w:rsidP="00802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Ченцова О.Б. Туберкулез глаз // М., "Медицина", 1990 - 256 с.</w:t>
      </w:r>
    </w:p>
    <w:sectPr w:rsidR="0080223C" w:rsidRPr="0080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13FD"/>
    <w:multiLevelType w:val="hybridMultilevel"/>
    <w:tmpl w:val="35D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A4"/>
    <w:rsid w:val="00037A8C"/>
    <w:rsid w:val="00083F2F"/>
    <w:rsid w:val="00491390"/>
    <w:rsid w:val="007627BA"/>
    <w:rsid w:val="00784F3E"/>
    <w:rsid w:val="0080223C"/>
    <w:rsid w:val="00926407"/>
    <w:rsid w:val="00F52CA4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104"/>
  <w15:chartTrackingRefBased/>
  <w15:docId w15:val="{16729BE7-405C-4CE0-B7C6-6A8DCB85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2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02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37A8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37A8C"/>
    <w:pPr>
      <w:spacing w:after="100"/>
    </w:pPr>
  </w:style>
  <w:style w:type="character" w:styleId="a5">
    <w:name w:val="Hyperlink"/>
    <w:basedOn w:val="a0"/>
    <w:uiPriority w:val="99"/>
    <w:unhideWhenUsed/>
    <w:rsid w:val="00037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2BEE-1D54-4C79-88ED-0C654DC3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2024-06-03T09:16:00Z</dcterms:created>
  <dcterms:modified xsi:type="dcterms:W3CDTF">2024-06-03T10:09:00Z</dcterms:modified>
</cp:coreProperties>
</file>