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lang w:val="en-US"/>
        </w:rPr>
        <w:t>"</w:t>
      </w:r>
      <w:r>
        <w:rPr>
          <w:lang w:val="ru-RU"/>
        </w:rPr>
        <w:t>Красноярский государственный медицинский университет имени профессора В</w:t>
      </w:r>
      <w:r>
        <w:rPr>
          <w:lang w:val="en-US"/>
        </w:rPr>
        <w:t xml:space="preserve">. </w:t>
      </w:r>
      <w:r>
        <w:rPr>
          <w:lang w:val="ru-RU"/>
        </w:rPr>
        <w:t>Ф</w:t>
      </w:r>
      <w:r>
        <w:rPr>
          <w:lang w:val="en-US"/>
        </w:rPr>
        <w:t xml:space="preserve">. </w:t>
      </w:r>
      <w:r>
        <w:rPr>
          <w:lang w:val="ru-RU"/>
        </w:rPr>
        <w:t xml:space="preserve">Войно </w:t>
      </w:r>
      <w:r>
        <w:rPr>
          <w:lang w:val="en-US"/>
        </w:rPr>
        <w:t xml:space="preserve">- </w:t>
      </w:r>
      <w:r>
        <w:rPr>
          <w:lang w:val="ru-RU"/>
        </w:rPr>
        <w:t>Ясенецкого</w:t>
      </w:r>
      <w:r>
        <w:rPr>
          <w:lang w:val="en-US"/>
        </w:rPr>
        <w:t xml:space="preserve">" </w:t>
      </w:r>
      <w:r>
        <w:rPr>
          <w:lang w:val="ru-RU"/>
        </w:rPr>
        <w:t>Министерства здравоохранения России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lang w:val="ru-RU"/>
        </w:rPr>
        <w:t>Кафедра нервных болезней с курсом ПО</w:t>
      </w:r>
    </w:p>
    <w:p>
      <w:pPr>
        <w:pStyle w:val="style0"/>
        <w:jc w:val="center"/>
        <w:rPr/>
      </w:pPr>
    </w:p>
    <w:p>
      <w:pPr>
        <w:pStyle w:val="style0"/>
        <w:jc w:val="right"/>
        <w:rPr/>
      </w:pPr>
      <w:r>
        <w:rPr>
          <w:b/>
          <w:bCs/>
          <w:lang w:val="ru-RU"/>
        </w:rPr>
        <w:t xml:space="preserve">    Зав</w:t>
      </w:r>
      <w:r>
        <w:rPr>
          <w:b/>
          <w:bCs/>
          <w:lang w:val="en-US"/>
        </w:rPr>
        <w:t xml:space="preserve">. </w:t>
      </w:r>
      <w:r>
        <w:rPr>
          <w:b/>
          <w:bCs/>
          <w:lang w:val="ru-RU"/>
        </w:rPr>
        <w:t>кафедрой</w:t>
      </w:r>
      <w:r>
        <w:rPr>
          <w:lang w:val="en-US"/>
        </w:rPr>
        <w:t>:</w:t>
      </w:r>
      <w:r>
        <w:rPr>
          <w:lang w:val="ru-RU"/>
        </w:rPr>
        <w:t>д</w:t>
      </w:r>
      <w:r>
        <w:rPr>
          <w:lang w:val="en-US"/>
        </w:rPr>
        <w:t xml:space="preserve">. </w:t>
      </w:r>
      <w:r>
        <w:rPr>
          <w:lang w:val="ru-RU"/>
        </w:rPr>
        <w:t>м</w:t>
      </w:r>
      <w:r>
        <w:rPr>
          <w:lang w:val="en-US"/>
        </w:rPr>
        <w:t xml:space="preserve">. </w:t>
      </w:r>
      <w:r>
        <w:rPr>
          <w:lang w:val="ru-RU"/>
        </w:rPr>
        <w:t>н</w:t>
      </w:r>
      <w:r>
        <w:rPr>
          <w:lang w:val="en-US"/>
        </w:rPr>
        <w:t xml:space="preserve">., </w:t>
      </w:r>
      <w:r>
        <w:rPr>
          <w:lang w:val="ru-RU"/>
        </w:rPr>
        <w:t>проф. Прокопенко С</w:t>
      </w:r>
      <w:r>
        <w:rPr>
          <w:lang w:val="en-US"/>
        </w:rPr>
        <w:t xml:space="preserve">. </w:t>
      </w:r>
      <w:r>
        <w:rPr>
          <w:lang w:val="ru-RU"/>
        </w:rPr>
        <w:t>В</w:t>
      </w:r>
      <w:r>
        <w:rPr>
          <w:lang w:val="en-US"/>
        </w:rPr>
        <w:t>.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left"/>
        <w:rPr/>
      </w:pPr>
    </w:p>
    <w:p>
      <w:pPr>
        <w:pStyle w:val="style0"/>
        <w:jc w:val="center"/>
        <w:rPr>
          <w:b/>
          <w:bCs/>
        </w:rPr>
      </w:pPr>
      <w:r>
        <w:rPr>
          <w:b/>
          <w:bCs/>
          <w:lang w:val="ru-RU"/>
        </w:rPr>
        <w:t>Реферат на тему</w:t>
      </w:r>
      <w:r>
        <w:rPr>
          <w:b/>
          <w:bCs/>
          <w:lang w:val="en-US"/>
        </w:rPr>
        <w:t>:</w:t>
      </w:r>
    </w:p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  <w:lang w:val="en-US"/>
        </w:rPr>
        <w:t>"</w:t>
      </w:r>
      <w:r>
        <w:rPr>
          <w:b/>
          <w:bCs/>
          <w:lang w:val="ru-RU"/>
        </w:rPr>
        <w:t xml:space="preserve">Болезнь Вильсона </w:t>
      </w:r>
      <w:r>
        <w:rPr>
          <w:b/>
          <w:bCs/>
          <w:lang w:val="en-US"/>
        </w:rPr>
        <w:t xml:space="preserve">- </w:t>
      </w:r>
      <w:r>
        <w:rPr>
          <w:b/>
          <w:bCs/>
          <w:lang w:val="ru-RU"/>
        </w:rPr>
        <w:t>Коновалова</w:t>
      </w:r>
      <w:r>
        <w:rPr>
          <w:b/>
          <w:bCs/>
          <w:lang w:val="en-US"/>
        </w:rPr>
        <w:t>"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left"/>
        <w:rPr/>
      </w:pPr>
    </w:p>
    <w:p>
      <w:pPr>
        <w:pStyle w:val="style0"/>
        <w:spacing w:lineRule="auto" w:line="180"/>
        <w:jc w:val="right"/>
        <w:rPr>
          <w:lang w:val="ru-RU"/>
        </w:rPr>
      </w:pPr>
      <w:r>
        <w:rPr>
          <w:lang w:val="en-US"/>
        </w:rPr>
        <w:t xml:space="preserve"> </w:t>
      </w:r>
      <w:r>
        <w:rPr>
          <w:b/>
          <w:bCs/>
          <w:lang w:val="ru-RU"/>
        </w:rPr>
        <w:t>Выполнила</w:t>
      </w:r>
      <w:r>
        <w:rPr>
          <w:b/>
          <w:bCs/>
          <w:lang w:val="en-US"/>
        </w:rPr>
        <w:t xml:space="preserve">: </w:t>
      </w:r>
      <w:r>
        <w:rPr>
          <w:lang w:val="ru-RU"/>
        </w:rPr>
        <w:t xml:space="preserve">ординатор </w:t>
      </w:r>
      <w:r>
        <w:rPr>
          <w:lang w:val="en-US"/>
        </w:rPr>
        <w:t xml:space="preserve">1 </w:t>
      </w:r>
      <w:r>
        <w:rPr>
          <w:lang w:val="ru-RU"/>
        </w:rPr>
        <w:t>года</w:t>
      </w:r>
    </w:p>
    <w:p>
      <w:pPr>
        <w:pStyle w:val="style0"/>
        <w:spacing w:lineRule="auto" w:line="180"/>
        <w:jc w:val="right"/>
        <w:rPr>
          <w:lang w:val="ru-RU"/>
        </w:rPr>
      </w:pPr>
      <w:r>
        <w:rPr>
          <w:lang w:val="ru-RU"/>
        </w:rPr>
        <w:t xml:space="preserve"> Кафедры нервных болезней с курсом ПО</w:t>
      </w:r>
    </w:p>
    <w:p>
      <w:pPr>
        <w:pStyle w:val="style0"/>
        <w:spacing w:lineRule="auto" w:line="180"/>
        <w:jc w:val="right"/>
        <w:rPr>
          <w:lang w:val="ru-RU"/>
        </w:rPr>
      </w:pPr>
      <w:r>
        <w:rPr>
          <w:lang w:val="ru-RU"/>
        </w:rPr>
        <w:t xml:space="preserve"> специальность </w:t>
      </w:r>
      <w:r>
        <w:rPr>
          <w:lang w:val="en-US"/>
        </w:rPr>
        <w:t xml:space="preserve">31.08.42 </w:t>
      </w:r>
      <w:r>
        <w:rPr>
          <w:lang w:val="ru-RU"/>
        </w:rPr>
        <w:t xml:space="preserve">Неврология </w:t>
      </w:r>
    </w:p>
    <w:p>
      <w:pPr>
        <w:pStyle w:val="style0"/>
        <w:spacing w:lineRule="auto" w:line="180"/>
        <w:jc w:val="right"/>
        <w:rPr>
          <w:b/>
          <w:bCs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Григоль Мария Игоревна</w:t>
      </w:r>
    </w:p>
    <w:p>
      <w:pPr>
        <w:pStyle w:val="style0"/>
        <w:spacing w:lineRule="auto" w:line="180"/>
        <w:jc w:val="right"/>
        <w:rPr/>
      </w:pPr>
    </w:p>
    <w:p>
      <w:pPr>
        <w:pStyle w:val="style0"/>
        <w:spacing w:lineRule="auto" w:line="18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bCs/>
        </w:rPr>
      </w:pPr>
      <w:r>
        <w:rPr>
          <w:b/>
          <w:bCs/>
          <w:lang w:val="ru-RU"/>
        </w:rPr>
        <w:t xml:space="preserve">Красноярск </w:t>
      </w:r>
      <w:r>
        <w:rPr>
          <w:b/>
          <w:bCs/>
          <w:lang w:val="en-US"/>
        </w:rPr>
        <w:t>2023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ru-RU"/>
        </w:rPr>
        <w:t>Оглавление</w:t>
      </w:r>
      <w:r>
        <w:rPr>
          <w:b/>
          <w:bCs/>
          <w:lang w:val="en-US"/>
        </w:rPr>
        <w:t>:</w:t>
      </w: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 xml:space="preserve">Общие сведения </w:t>
      </w:r>
      <w:r>
        <w:rPr>
          <w:b w:val="false"/>
          <w:bCs w:val="false"/>
          <w:lang w:val="en-US"/>
        </w:rPr>
        <w:t>.............................................................................................................................3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Историческая справка</w:t>
      </w:r>
      <w:r>
        <w:rPr>
          <w:b w:val="false"/>
          <w:bCs w:val="false"/>
          <w:lang w:val="en-US"/>
        </w:rPr>
        <w:t>.................................................................................................................3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Распространенность и тип наследования</w:t>
      </w:r>
      <w:r>
        <w:rPr>
          <w:b w:val="false"/>
          <w:bCs w:val="false"/>
          <w:lang w:val="en-US"/>
        </w:rPr>
        <w:t>............................................................................4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Клиническая картина</w:t>
      </w:r>
      <w:r>
        <w:rPr>
          <w:b w:val="false"/>
          <w:bCs w:val="false"/>
          <w:lang w:val="en-US"/>
        </w:rPr>
        <w:t>................................................................................................................5-7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Диагностика</w:t>
      </w:r>
      <w:r>
        <w:rPr>
          <w:b w:val="false"/>
          <w:bCs w:val="false"/>
          <w:lang w:val="en-US"/>
        </w:rPr>
        <w:t>..................................................................................................................................7-8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Лечение</w:t>
      </w:r>
      <w:r>
        <w:rPr>
          <w:b w:val="false"/>
          <w:bCs w:val="false"/>
          <w:lang w:val="en-US"/>
        </w:rPr>
        <w:t>...........................................................................................................................................8-9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Прогноз</w:t>
      </w:r>
      <w:r>
        <w:rPr>
          <w:b w:val="false"/>
          <w:bCs w:val="false"/>
          <w:lang w:val="en-US"/>
        </w:rPr>
        <w:t>..............................................................................................................................................9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ru-RU"/>
        </w:rPr>
        <w:t>Список литературы</w:t>
      </w:r>
      <w:r>
        <w:rPr>
          <w:b w:val="false"/>
          <w:bCs w:val="false"/>
          <w:lang w:val="en-US"/>
        </w:rPr>
        <w:t>:.....................................................................................................................10</w:t>
      </w: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both"/>
        <w:rPr>
          <w:b/>
          <w:bCs/>
        </w:rPr>
      </w:pPr>
      <w:r>
        <w:rPr>
          <w:b/>
          <w:bCs/>
          <w:lang w:val="ru-RU"/>
        </w:rPr>
        <w:t>Общие сведения</w:t>
        <w:br/>
        <w:br/>
      </w:r>
      <w:r>
        <w:rPr>
          <w:b/>
          <w:bCs/>
          <w:lang w:val="en-US"/>
        </w:rPr>
        <w:t xml:space="preserve">   </w:t>
      </w:r>
      <w:r>
        <w:rPr>
          <w:b/>
          <w:bCs/>
          <w:lang w:val="ru-RU"/>
        </w:rPr>
        <w:t xml:space="preserve">Болезнь Вильсона-Коновалова — </w:t>
      </w:r>
      <w:r>
        <w:rPr>
          <w:b w:val="false"/>
          <w:bCs w:val="false"/>
          <w:lang w:val="ru-RU"/>
        </w:rPr>
        <w:t>редкое тяжёлое наследственное мультисистемное заболевание, проявляющееся преимущественно печёночными, неврологическими и психиатрическими нарушениями вследствие чрезмерного отложения меди в органах и тканях. Это заболевание относится к числу трудно диагностируемых в связи с длительным латентным течением и полиморфизмом клинической симптоматики. БВ может клинически манифестировать как в детском и подростковом, так и в более старшем возрасте. При отсутствии медь-элиминирующей терапии это заболевание является фатальным</w:t>
      </w:r>
      <w:r>
        <w:rPr>
          <w:b w:val="false"/>
          <w:bCs w:val="false"/>
          <w:lang w:val="en-US"/>
        </w:rPr>
        <w:t>.</w:t>
      </w:r>
    </w:p>
    <w:p>
      <w:pPr>
        <w:pStyle w:val="style0"/>
        <w:spacing w:after="0" w:lineRule="auto" w:line="240"/>
        <w:ind w:left="0" w:leftChars="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 </w:t>
      </w: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ru-RU"/>
        </w:rPr>
        <w:t>Историческая справка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Английский невролог Сэмюель Вильсон (англ. S. Wilson — более нормативная передача У́илсон) (1878 — 1937) в 1912 году описал типичные для гепато-церебральной дистонии изменения в головном мозгу, установил постоянное наличие цирроза печени и дал описание клиники нового заболевания, названного им прогрессивной лентикулярной дегенерацией (лат. lenticularis чечевицеобразный).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В качестве основных симптомов заболевания были отмечены разнообразные непроизвольные движения конечностей и туловища, мышечная ригидность, приводящая к скованности, дисфагия и дизартрия, аффективные вспышки, иногда психические расстройства, но признаки поражения пирамидных путей отсутствовали. Ещё раньше К. Вестфалем (1883) и А. Штрюмпелем (1898) было описано заболевание, которое по клиническому сходству с рассеянным склерозом получило название «псевдосклероз». Заболевание характеризовалось распространёнными, размашистыми, ритмичными непроизвольными движениями, повышением мышечного тонуса, амимией, дизартрией и выраженными психическими нарушениями вплоть до такого расстройства интеллекта, как слабоумие.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В дальнейшем оказалось, что прогрессивная лентикулярная дегенерация и псевдосклероз являются разными формами одного и того же заболевания, которое Галль (1921) назвал гепатолентикулярной дегенерацией. Однако изменения в мозгу при нём никогда не ограничиваются лентикулярными ядрами и нередко бывают даже сильнее выражены в других отделах мозга.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В 1960 году советский невропатолог Н. В. Коновалов предложил название «гепатоцеребральная дистрофия», значительно расширил представления о патофизиологии, патогенезе и клинике этой болезни и выделил 4 формы поражения нервной системы и одну абдоминальную.</w:t>
      </w:r>
    </w:p>
    <w:p>
      <w:pPr>
        <w:pStyle w:val="style0"/>
        <w:jc w:val="both"/>
        <w:rPr>
          <w:b w:val="false"/>
          <w:bCs w:val="false"/>
        </w:rPr>
      </w:pP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both"/>
        <w:rPr>
          <w:b/>
          <w:bCs/>
        </w:rPr>
      </w:pPr>
      <w:r>
        <w:rPr>
          <w:b/>
          <w:bCs/>
          <w:lang w:val="ru-RU"/>
        </w:rPr>
        <w:t>Распространенность и тип наследования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Диагностируется у 5-10 % больных циррозом печени дошкольного и школьного возраста, </w:t>
      </w:r>
      <w:r>
        <w:rPr>
          <w:b w:val="false"/>
          <w:bCs w:val="false"/>
          <w:lang w:val="ru-RU"/>
        </w:rPr>
        <w:t>так же может проявляться в более старшем возрасте</w:t>
      </w:r>
      <w:r>
        <w:rPr>
          <w:b w:val="false"/>
          <w:bCs w:val="false"/>
          <w:lang w:val="en-US"/>
        </w:rPr>
        <w:t>. Заболевание передаётся по аутосомнорецессивному типу. Ген ATP7B, мутации которого вызывают заболевание, расположен на 13-й хромосоме (участок 13q14-q21).</w:t>
      </w:r>
    </w:p>
    <w:p>
      <w:pPr>
        <w:pStyle w:val="style0"/>
        <w:jc w:val="left"/>
        <w:rPr>
          <w:b w:val="false"/>
          <w:bCs w:val="false"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ru-RU"/>
        </w:rPr>
        <w:t>Молекулярный механизм и патоморфология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Ген ATP7B кодирует одноимённый медь-транспортирующий белок из группы АТФаз Р-типа, который располагается в транс-Гольджи аппарате, обеспечивает транспорт меди через мембраны органелл гепатоцитов, способствуя выведению её с жёлчью, а также включению в молекулу апоцерулоплазмина (церулоплазмин без меди) с образованием голоцерулоплазмина (церулоплазмин с 6 молекулами меди). Наиболее высокая экспрессия гена ATP7B наблюдается в печени, однако он также экспрессируется в почках, плаценте, молочных железах, головном мозге и лёгких.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Тип наследования </w:t>
      </w:r>
      <w:r>
        <w:rPr>
          <w:b w:val="false"/>
          <w:bCs w:val="false"/>
          <w:lang w:val="ru-RU"/>
        </w:rPr>
        <w:t xml:space="preserve">болезни Вильсона </w:t>
      </w:r>
      <w:r>
        <w:rPr>
          <w:b w:val="false"/>
          <w:bCs w:val="false"/>
          <w:lang w:val="en-US"/>
        </w:rPr>
        <w:t>аутосомно-рецессивный. К настоящему времени в гене АТР7В описано более 700 патогенных варианто</w:t>
      </w:r>
      <w:r>
        <w:rPr>
          <w:b w:val="false"/>
          <w:bCs w:val="false"/>
          <w:lang w:val="ru-RU"/>
        </w:rPr>
        <w:t>в</w:t>
      </w:r>
      <w:r>
        <w:rPr>
          <w:b w:val="false"/>
          <w:bCs w:val="false"/>
          <w:lang w:val="en-US"/>
        </w:rPr>
        <w:t>, большая часть из которых являются миссенс, однако нонсенс, инсерции/делеции и мутации сайтов сплайсинга также встречаются. Наиболее распространённым патогенным вариантом в гене АТР7В среди европеоидной расы является H1069Q. Около 50–80 % пациентов с БВ, проживающих в странах Центральной, Восточной и Северной Европы являются носителями по крайней мере одного аллеля с таким вариантом. По данным ряда исследователей, в России среди пациентов с подтверждённым диагнозом БВ доля больных с вариантом H1069Q в гетерозиготном состоянии составляет 50 %, а доля пациентов с этим вариантом в гомозиготном состоянии — 26,3 %. В настоящее время чётких корреляций между патогенными вариантами и фенотипами неизвестно.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Снижение функции медь-транспортирующей АТФазы в результате патогенных вариантов в гене АТР7В в компаунд-гетерозиготном или гомозиготном состоянии приводит к нарушению гепатобилиарной экскреции меди и нарушению её встраивания в церулоплазмин. Поскольку период полужизни апоцерулоплазмина значительно короче такового у церулоплазмина, нагруженного медью (5 ч против 5,5 сут), при БВ, как правило, в крови наблюдется снижение содержания церулоплазмина. Вместе с тем примерно у трети пациентов с БВ уровень церулоплазмина в крови может быть в пределах нормальных значений. Необходимо отметить, что использование метода определения медь-зависимой оксидазной активности позволяет точнее определить содержания апоцерулоплазмина, в то время как иммунологические тесты могут завышать получаемые значения, т.к. не способны дифференцировать апо- и голоцерулоплазмин.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Несмотря на важнейшую роль меди во многих физиологических процессах, её избыток является губительным для организма. Патогенные эффекты избытка меди в клетке опосредованы образованием свободных радикалов с развитием перекисного окисления липидов, повреждением белков, нуклеиновых кислот, митохондрий в сочетании с истощением антиоксидантных систем. Медь может также ингибировать функции многих белков, напрямую связываясь с их тиоловыми и аминогруппами. Кроме того, избыток меди активирует проапоптотические механизмы. Всё это в конечном счёте приводит к разрушению перегруженных медью клеток, преимущественно гепатоцитов. Лизис таких гепатоцитов обусловливает повышение содержания свободной меди в сыворотке и, следовательно, компенсаторному повышению её суточной экскреции с мочой и накоплению в других органах-мишенях]. Помимо этого, избыток свободной меди в сыворотке может приводить к гемолитическим кризам.</w:t>
      </w:r>
    </w:p>
    <w:p>
      <w:pPr>
        <w:pStyle w:val="style0"/>
        <w:jc w:val="left"/>
        <w:rPr>
          <w:b w:val="false"/>
          <w:bCs w:val="false"/>
        </w:rPr>
      </w:pPr>
      <w:r>
        <w:rPr/>
        <w:drawing>
          <wp:inline distL="0" distT="0" distB="0" distR="0">
            <wp:extent cx="358708" cy="24807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 flipH="1" flipV="1">
                      <a:off x="0" y="0"/>
                      <a:ext cx="358708" cy="248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 w:val="false"/>
          <w:bCs w:val="false"/>
          <w:lang w:val="ru-RU"/>
        </w:rPr>
      </w:pPr>
      <w:r>
        <w:rPr>
          <w:b/>
          <w:bCs/>
          <w:lang w:val="ru-RU"/>
        </w:rPr>
        <w:t>Клиническая картина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Неврологическая симптоматика манифестирует позже, чем поражение печени, в большинстве случаев на втором–третьем десятилетии жизни, но может проявляться и в детском возрасте до 10 лет. Наиболее часто клиническая картина включает в себя дистонию, атаксию, постурально-кинетический и интенционный тремор, паркинсонизм,  сопровождающиеся на более поздних стадиях слюнотечением, дизартрией и дисфагией; реже наблюдаются хорея , атетоз , эпилепсия...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Дистония при </w:t>
      </w:r>
      <w:r>
        <w:rPr>
          <w:b w:val="false"/>
          <w:bCs w:val="false"/>
          <w:lang w:val="ru-RU"/>
        </w:rPr>
        <w:t xml:space="preserve">болезни Вильсона </w:t>
      </w:r>
      <w:r>
        <w:rPr>
          <w:b w:val="false"/>
          <w:bCs w:val="false"/>
          <w:lang w:val="en-US"/>
        </w:rPr>
        <w:t xml:space="preserve"> может затрагивать разные части тела. По мере прогрессирования болезни в случае отсутствия лечения фокальная или сегментарная форма дистонии может переходить в генерализованную. Паркинсонизм при</w:t>
      </w:r>
      <w:r>
        <w:rPr>
          <w:b w:val="false"/>
          <w:bCs w:val="false"/>
          <w:lang w:val="ru-RU"/>
        </w:rPr>
        <w:t xml:space="preserve"> болезни Вильсона</w:t>
      </w:r>
      <w:r>
        <w:rPr>
          <w:b w:val="false"/>
          <w:bCs w:val="false"/>
          <w:lang w:val="en-US"/>
        </w:rPr>
        <w:t xml:space="preserve"> характеризуется брадикинезией, ригидностью и постуральной неустойчивостью, при этом эти явления нередко имеют симметричный характер. Тремор является одним из частых неврологических проявлени</w:t>
      </w:r>
      <w:r>
        <w:rPr>
          <w:b w:val="false"/>
          <w:bCs w:val="false"/>
          <w:lang w:val="ru-RU"/>
        </w:rPr>
        <w:t>й</w:t>
      </w:r>
      <w:r>
        <w:rPr>
          <w:b w:val="false"/>
          <w:bCs w:val="false"/>
          <w:lang w:val="en-US"/>
        </w:rPr>
        <w:t xml:space="preserve">. Тремор может быть постуральным, интенционным, отмечаться в покое или иметь все перечисленные условия возникновения (тремор Холмса) Мозжечковая атаксия наблюдается почти у 30 % пациентов. Дизартрия является наиболее частым неврологическим симптомом БВ. Основываясь на преобладающей характеристике нарушения речи, можно выделить несколько типов дизартрии, включая гипокинетическую, псевдобульбарную (спастическую), гиперкинетическую (дистоническую), атактическую и смешанную. Дисфагия, определяемая как затруднение в любой фазе глотания, встречается примерно у 18 % пациентов с ВД и у 50 % пациентов с неврологическими симптомами Может быть затронута любая фаза акта глотания, включая пероральный приём, приготовление/жевание, пероральный транзит и само глотание. Дисфагия может возникнуть из-за нарушения мышечного тонуса (например, при орофациальной дистонии), нарушения координации акта глотания, медлительности и слабости мышц. Слюнотечение относится к наиболее заметным и частым симптомам и наблюдается примерно у 70 % пациентов с неврологическими проявлениями заболевания. 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У детей ранние неврологические признаки болезни выражаются в поведенческих нарушениях, отставании в учёбе, проблемах при выполнении заданий, требующих сочетанной координации работы рук и глаз, ухудшении мелкой моторики, изменяется почерк.</w:t>
      </w:r>
    </w:p>
    <w:p>
      <w:pPr>
        <w:pStyle w:val="style0"/>
        <w:jc w:val="both"/>
        <w:rPr>
          <w:b w:val="false"/>
          <w:bCs w:val="false"/>
        </w:rPr>
      </w:pPr>
    </w:p>
    <w:p>
      <w:pPr>
        <w:pStyle w:val="style0"/>
        <w:jc w:val="both"/>
        <w:rPr>
          <w:b w:val="false"/>
          <w:bCs w:val="false"/>
          <w:u w:val="thick"/>
        </w:rPr>
      </w:pPr>
      <w:r>
        <w:rPr>
          <w:b/>
          <w:bCs/>
          <w:lang w:val="ru-RU"/>
        </w:rPr>
        <w:t>Дифференциальная диагностика</w:t>
      </w:r>
      <w:r>
        <w:rPr>
          <w:b/>
          <w:bCs/>
          <w:lang w:val="en-US"/>
        </w:rPr>
        <w:br/>
        <w:br/>
        <w:t xml:space="preserve">   </w:t>
      </w:r>
      <w:r>
        <w:rPr>
          <w:b w:val="false"/>
          <w:bCs w:val="false"/>
          <w:lang w:val="en-US"/>
        </w:rPr>
        <w:t>Диагноз основывается на сочетании клинических симптомов, лабораторных данных и молекулярно-генетического тестирования. Ни один лабораторный тест, за исключением определения болезнетворного гена АТР7В на молекулярном уровне, не обеспечивает 100 % гарантию диагностики.</w:t>
      </w:r>
    </w:p>
    <w:p>
      <w:pPr>
        <w:pStyle w:val="style0"/>
        <w:jc w:val="both"/>
        <w:rPr>
          <w:b w:val="false"/>
          <w:bCs w:val="false"/>
          <w:u w:val="thick"/>
        </w:rPr>
      </w:pPr>
      <w:r>
        <w:rPr>
          <w:b w:val="false"/>
          <w:bCs w:val="false"/>
          <w:u w:val="thick"/>
          <w:lang w:val="en-US"/>
        </w:rPr>
        <w:t>Основные диагностические показатели болезни Вильсона — Коновалова: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Церулоплазмин: снижение на 50 %. Может быть нормальным. По другим данным — менее 20 мг/дл. По ряду причин (болезнь Менкеса, печёночная недостаточность, нефротический синдром, длительное парентеральное питание и др.) анализ может быть ложноотрицальным.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Суточная экскреция меди с мочой: &gt;100 мкг/сут., или &gt; 40 мкг/сут. у детей. При бессимптомном течении показатели не превышают норму 40 мкг/сут.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"Свободная" медь сыворотки: &gt; 1,6 мкМ/л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Медь в ткани печени: &gt; 4 мкМ/г или &gt; 250 мкг/г сухого веса.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u w:val="thick"/>
          <w:lang w:val="en-US"/>
        </w:rPr>
        <w:t>Симптомы</w:t>
      </w:r>
      <w:r>
        <w:rPr>
          <w:b w:val="false"/>
          <w:bCs w:val="false"/>
          <w:lang w:val="en-US"/>
        </w:rPr>
        <w:tab/>
        <w:br/>
        <w:t>1)Лабораторные тесты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1. Кольца Кайзера-Флейшера: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присутствуют (0 баллов)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отсутствуют (2 балла)</w:t>
        <w:tab/>
        <w:t>1. Экскреция (выделение) меди с мочой: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норма (0 баллов)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1-2 нормы (1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более 2 норм (2 балла)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норма, но увеличение более 5 норм при пробе с купренилом (2 балла)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2.Нейропсихиатрическая симптоматика: (изменения на МРТ)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присутствует (2 балла)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отсутствует (0 баллов)</w:t>
        <w:tab/>
        <w:t>2. Количественное определение меди в биоптатах печени: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норма (-1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50-250 мкг/г (1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Более 250 мкг/г (2 балла)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3. Кумбс-негативная гемолитическая анемия: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присутствует (1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отсутствует (0 баллов)</w:t>
        <w:tab/>
        <w:t>3. Родамин – позитивные гепатоциты (при невозможности количественного определения меди в печени):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присутствуют (0 баллов)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отсутствуют (1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4. Уровень церулоплазмина в сыворотке крови (при норме более 20 мг/дл):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норма (0 баллов)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10-20 (1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менее 10 (2 балла)</w:t>
      </w:r>
    </w:p>
    <w:p>
      <w:pPr>
        <w:pStyle w:val="style0"/>
        <w:jc w:val="both"/>
        <w:rPr>
          <w:b w:val="false"/>
          <w:bCs w:val="false"/>
          <w:u w:val="thick"/>
        </w:rPr>
      </w:pPr>
      <w:r>
        <w:rPr>
          <w:b w:val="false"/>
          <w:bCs w:val="false"/>
          <w:u w:val="thick"/>
          <w:lang w:val="en-US"/>
        </w:rPr>
        <w:t>Молекулярно-генетическое исследование (выявление мутаций гена АТР7В)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гомозигота (два одинаковых гена определяющих в данном случае проявление болезни) или компаунд-гетерозигота, (из пары генов оба имеют разные мутации, приводящие к болезни, но они не идентичны друг другу) (4 балла)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гетерозигота (один ген из пары является нормальным, один с мутацией) (1 балл)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• мутаций не обнаружено (0 баллов)</w:t>
      </w:r>
    </w:p>
    <w:p>
      <w:pPr>
        <w:pStyle w:val="style0"/>
        <w:jc w:val="both"/>
        <w:rPr>
          <w:b w:val="false"/>
          <w:bCs w:val="false"/>
        </w:rPr>
      </w:pPr>
    </w:p>
    <w:p>
      <w:pPr>
        <w:pStyle w:val="style0"/>
        <w:jc w:val="both"/>
        <w:rPr>
          <w:b w:val="false"/>
          <w:bCs w:val="false"/>
        </w:rPr>
      </w:pPr>
    </w:p>
    <w:p>
      <w:pPr>
        <w:pStyle w:val="style0"/>
        <w:jc w:val="both"/>
        <w:rPr>
          <w:b w:val="false"/>
          <w:bCs w:val="false"/>
          <w:u w:val="thick"/>
        </w:rPr>
      </w:pPr>
      <w:r>
        <w:rPr>
          <w:b w:val="false"/>
          <w:bCs w:val="false"/>
          <w:u w:val="thick"/>
          <w:lang w:val="en-US"/>
        </w:rPr>
        <w:t>Суммарные баллы: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4 и более — высокая вероятность болезни;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2-3 — болезнь вероятна, но требуется дальнейшее обследование пациента;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0-1 — болезнь сомнительна.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Для уточнения степени поражения и формы заболевания используются МРТ головного мозга, хотя только на основании МРТ диагноз поставить нельзя. При МРТ исследовании сразу видны характерные очаги и уменьшение объёма головного мозга. Специфичным, но более редко встречающимся симптомом при данном заболевании на МРТ снимке является картина, напоминающая "лицо гигантской панды". КТ- и МРТ-проявления могут опережать клиническую симптоматику.</w:t>
      </w:r>
    </w:p>
    <w:p>
      <w:pPr>
        <w:pStyle w:val="style0"/>
        <w:jc w:val="both"/>
        <w:rPr>
          <w:b/>
          <w:bCs/>
        </w:rPr>
      </w:pPr>
      <w:r>
        <w:rPr/>
        <w:drawing>
          <wp:inline distL="114300" distT="0" distB="0" distR="114300">
            <wp:extent cx="3756245" cy="1959507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56245" cy="195950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b/>
          <w:bCs/>
        </w:rPr>
      </w:pPr>
    </w:p>
    <w:p>
      <w:pPr>
        <w:pStyle w:val="style0"/>
        <w:jc w:val="left"/>
        <w:rPr>
          <w:b w:val="false"/>
          <w:bCs w:val="false"/>
          <w:u w:val="thick"/>
        </w:rPr>
      </w:pPr>
      <w:r>
        <w:rPr>
          <w:b/>
          <w:bCs/>
          <w:lang w:val="ru-RU"/>
        </w:rPr>
        <w:t>Лечение</w:t>
      </w:r>
      <w:r>
        <w:rPr>
          <w:b/>
          <w:bCs/>
          <w:lang w:val="en-US"/>
        </w:rPr>
        <w:br/>
        <w:br/>
      </w:r>
      <w:r>
        <w:rPr>
          <w:b w:val="false"/>
          <w:bCs w:val="false"/>
          <w:u w:val="thick"/>
          <w:lang w:val="en-US"/>
        </w:rPr>
        <w:t xml:space="preserve">1. </w:t>
      </w:r>
      <w:r>
        <w:rPr>
          <w:b w:val="false"/>
          <w:bCs w:val="false"/>
          <w:u w:val="thick"/>
          <w:lang w:val="ru-RU"/>
        </w:rPr>
        <w:t>Д</w:t>
      </w:r>
      <w:r>
        <w:rPr>
          <w:b w:val="false"/>
          <w:bCs w:val="false"/>
          <w:u w:val="thick"/>
          <w:lang w:val="en-US"/>
        </w:rPr>
        <w:t>иетотерапия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Рекомендовано ограничение употребления продуктов, богатых медью, до наступления ремиссии симптомов и нормализации функции печени всем пациентам, в том числе, получающим хелатирующую терапию с целью ограничения поступления меди в организм и предотвращения её токсических эффектов</w:t>
      </w:r>
    </w:p>
    <w:p>
      <w:pPr>
        <w:pStyle w:val="style0"/>
        <w:jc w:val="both"/>
        <w:rPr>
          <w:b w:val="false"/>
          <w:bCs w:val="false"/>
          <w:u w:val="thick"/>
        </w:rPr>
      </w:pPr>
      <w:r>
        <w:rPr>
          <w:b w:val="false"/>
          <w:bCs w:val="false"/>
          <w:u w:val="thick"/>
          <w:lang w:val="en-US"/>
        </w:rPr>
        <w:t>2. Медикаментозная терапия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   </w:t>
      </w:r>
      <w:r>
        <w:rPr>
          <w:b w:val="false"/>
          <w:bCs w:val="false"/>
          <w:lang w:val="ru-RU"/>
        </w:rPr>
        <w:t>Р</w:t>
      </w:r>
      <w:r>
        <w:rPr>
          <w:b w:val="false"/>
          <w:bCs w:val="false"/>
          <w:lang w:val="en-US"/>
        </w:rPr>
        <w:t>екомендовано назначение пеницилламина , доза подбирается индивидуально, у детей (по инструкции с 3 лет):- 20 мг/кг веса, , у взрослых -   до 1500-2000 мг с целью связывания свободной меди и ускорения её экскреции с мочой.</w:t>
      </w:r>
      <w:r>
        <w:rPr>
          <w:b w:val="false"/>
          <w:bCs w:val="false"/>
          <w:lang w:val="ru-RU"/>
        </w:rPr>
        <w:br/>
        <w:t xml:space="preserve">   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lang w:val="ru-RU"/>
        </w:rPr>
        <w:t>Рекомендована терапия второго ряда препаратами цинка (#цинка сульфат) пациентам с БВ при непереносимости пеницилламина** с целью снижения всасывания меди в кишечнике в дозе 150 мг в сутки элементарного цинка в три приёма у взрослых, у детей младше 5 лет — 25 мг элементарного цинка 2 раза в сутки, у детей старше 5 лет — 75 мг/сутки (если ребенок весит менее 50 кг) или 150 мг/сутки (если масса тела более 50 кг) в 3 приёма за 30 минут до приёма пищи</w:t>
      </w:r>
      <w:r>
        <w:rPr>
          <w:b w:val="false"/>
          <w:bCs w:val="false"/>
          <w:lang w:val="en-US"/>
        </w:rPr>
        <w:t>.</w:t>
        <w:br/>
        <w:t xml:space="preserve">   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ru-RU"/>
        </w:rPr>
        <w:t>Прогноз</w:t>
      </w:r>
      <w:r>
        <w:rPr>
          <w:b/>
          <w:bCs/>
          <w:lang w:val="en-US"/>
        </w:rPr>
        <w:br/>
        <w:br/>
        <w:t xml:space="preserve">  </w:t>
      </w:r>
      <w:r>
        <w:rPr>
          <w:b w:val="false"/>
          <w:bCs w:val="false"/>
          <w:lang w:val="en-US"/>
        </w:rPr>
        <w:t>Болезнь Вильсона — Коновалова — это прогрессирующие заболевание, поэтому при отсутствии своевременного лечения больные умирают от цирроза печени или от инфекционно-токсических осложнений (редко). На фоне прогрессирующей неврологической симптоматики пациент может находиться в обездвиженном состоянии. При лечении выводящими медь препаратами и трансплантации печени длительная выживаемость пациентов является нормой.</w:t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br/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br/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br/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br/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br/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br/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 w:val="false"/>
          <w:bCs w:val="false"/>
        </w:rPr>
      </w:pPr>
      <w:r>
        <w:rPr>
          <w:b/>
          <w:bCs/>
          <w:lang w:val="en-US"/>
        </w:rPr>
        <w:t>Список литературы:</w:t>
        <w:br/>
        <w:br/>
      </w:r>
      <w:r>
        <w:rPr>
          <w:b w:val="false"/>
          <w:bCs w:val="false"/>
          <w:lang w:val="en-US"/>
        </w:rPr>
        <w:t>1.Тулузановская И.Г., Жученко Н.А. Болезнь Вильсона-Коновалова: внутрисемейный клинический полиморфизм // Педиатрия —2017.-N 6.-С.215-216.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>2.Подзолков В.И., Покровская А.Е.,Трудности диагностики и лечения болезни Вильсона — Коновалова =// Клиническая медицина. 2017.-N 5.-С.465-470.</w:t>
        <w:br/>
        <w:br/>
        <w:t>3.Циммерман Я.С. Болезнь вильсона — гепатоцеребральная дистрофия // Клиническая медицина. 2017.-N 4.-С.310-315.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>4.Корой П.В. Болезнь Вильсона. Часть I. Этиология, патогенез, клинические проявления и скрининг // Вестник молодого ученого 2014.-N 3.-С.56-63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>5.</w:t>
      </w:r>
      <w:r>
        <w:rPr>
          <w:b w:val="false"/>
          <w:bCs w:val="false"/>
          <w:lang w:val="ru-RU"/>
        </w:rPr>
        <w:t>К</w:t>
      </w:r>
      <w:r>
        <w:rPr>
          <w:b w:val="false"/>
          <w:bCs w:val="false"/>
          <w:lang w:val="en-US"/>
        </w:rPr>
        <w:t>орой П.В. Болезнь Вильсона. Часть II. Этиология, патогенез, клинические проявления и скрининг // Вестник молодого ученого 2015. -N 1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>6.</w:t>
      </w:r>
      <w:r>
        <w:rPr>
          <w:b w:val="false"/>
          <w:bCs w:val="false"/>
          <w:lang w:val="ru-RU"/>
        </w:rPr>
        <w:t>К</w:t>
      </w:r>
      <w:r>
        <w:rPr>
          <w:b w:val="false"/>
          <w:bCs w:val="false"/>
          <w:lang w:val="en-US"/>
        </w:rPr>
        <w:t>орой П.В. Болезнь Вильсона. часть III. Общие принципы терапии, лечение в специальных ситуациях, мониторинг терапии и прогноз // Вестник молодого ученого 2015.-N 2.-С.35-44.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>7.</w:t>
      </w:r>
      <w:r>
        <w:rPr>
          <w:b w:val="false"/>
          <w:bCs w:val="false"/>
          <w:lang w:val="ru-RU"/>
        </w:rPr>
        <w:t>Аснов А.Ю., Соколов А.А. Федеральные клинические рекомендации по диагностике и лечению болезни Вильсона-Коновалова (гепатолентикулярная дегенерация) С-Пб.: Литография СПб. 2015. 60 с.</w:t>
      </w:r>
    </w:p>
    <w:p>
      <w:pPr>
        <w:pStyle w:val="style0"/>
        <w:jc w:val="left"/>
        <w:rPr>
          <w:b w:val="false"/>
          <w:bCs w:val="false"/>
        </w:rPr>
      </w:pPr>
      <w:r>
        <w:rPr>
          <w:b w:val="false"/>
          <w:bCs w:val="false"/>
          <w:lang w:val="en-US"/>
        </w:rPr>
        <w:t>8.</w:t>
      </w:r>
      <w:r>
        <w:rPr>
          <w:b w:val="false"/>
          <w:bCs w:val="false"/>
          <w:lang w:val="ru-RU"/>
        </w:rPr>
        <w:t>Профессиональные ассоциации: Союз педиатров России. Нарушения обмене меди (болезнь Вильсона) у детей. Год утверждения (частота пересмотра): 2016</w:t>
      </w:r>
    </w:p>
    <w:p>
      <w:pPr>
        <w:pStyle w:val="style0"/>
        <w:jc w:val="left"/>
        <w:rPr>
          <w:b/>
          <w:bCs/>
        </w:rPr>
      </w:pPr>
    </w:p>
    <w:sectPr>
      <w:headerReference w:type="default" r:id="rId3"/>
      <w:footerReference w:type="default" r:id="rId4"/>
      <w:pgSz w:w="11906" w:h="16838" w:orient="portrait"/>
      <w:pgMar w:top="1440" w:right="1800" w:bottom="1440" w:left="1800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6bb7bf33-5ae4-4292-830e-b522f056b77f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Words>1741</Words>
  <Characters>13189</Characters>
  <Application>WPS Office</Application>
  <Paragraphs>151</Paragraphs>
  <CharactersWithSpaces>14966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2023-12-09T09:08:22Z</dcterms:created>
  <dc:creator>AGS5-W09</dc:creator>
  <lastModifiedBy>AGS5-W09</lastModifiedBy>
  <dcterms:modified xsi:type="dcterms:W3CDTF">2023-12-09T09:09:00Z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71f868fc62be453a8a15f66c2445c4c9</vt:lpwstr>
  </property>
</Properties>
</file>