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5721838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E0465" w:rsidRDefault="00EE0465">
          <w:pPr>
            <w:pStyle w:val="a6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</w:p>
        <w:p w:rsidR="00EE0465" w:rsidRDefault="00EE0465">
          <w:pPr>
            <w:pStyle w:val="a6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 xml:space="preserve">ФГБОУ  ВО ''Красноярский государственный медицинский университет им. проф. В.Ф. </w:t>
          </w:r>
          <w:proofErr w:type="spellStart"/>
          <w:r w:rsidRPr="00100EF3">
            <w:rPr>
              <w:rFonts w:ascii="Times New Roman" w:hAnsi="Times New Roman" w:cs="Times New Roman"/>
              <w:sz w:val="24"/>
              <w:szCs w:val="24"/>
            </w:rPr>
            <w:t>Войно-Ясенецкого</w:t>
          </w:r>
          <w:proofErr w:type="spellEnd"/>
          <w:r w:rsidRPr="00663E44">
            <w:rPr>
              <w:rFonts w:ascii="Times New Roman" w:hAnsi="Times New Roman" w:cs="Times New Roman"/>
              <w:sz w:val="24"/>
              <w:szCs w:val="24"/>
            </w:rPr>
            <w:t>"</w:t>
          </w:r>
          <w:r w:rsidRPr="00100EF3">
            <w:rPr>
              <w:rFonts w:ascii="Times New Roman" w:hAnsi="Times New Roman" w:cs="Times New Roman"/>
              <w:sz w:val="24"/>
              <w:szCs w:val="24"/>
            </w:rPr>
            <w:t xml:space="preserve"> Министерства Здравоохранения РФ</w:t>
          </w: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 xml:space="preserve">Кафедра </w:t>
          </w:r>
          <w:proofErr w:type="spellStart"/>
          <w:r w:rsidRPr="00100EF3">
            <w:rPr>
              <w:rFonts w:ascii="Times New Roman" w:hAnsi="Times New Roman" w:cs="Times New Roman"/>
              <w:sz w:val="24"/>
              <w:szCs w:val="24"/>
            </w:rPr>
            <w:t>дерматовенерологии</w:t>
          </w:r>
          <w:proofErr w:type="spellEnd"/>
          <w:r w:rsidRPr="00100EF3">
            <w:rPr>
              <w:rFonts w:ascii="Times New Roman" w:hAnsi="Times New Roman" w:cs="Times New Roman"/>
              <w:sz w:val="24"/>
              <w:szCs w:val="24"/>
            </w:rPr>
            <w:t xml:space="preserve"> с курсом косметологии и ПО им. проф. </w:t>
          </w:r>
          <w:proofErr w:type="spellStart"/>
          <w:r w:rsidRPr="00100EF3">
            <w:rPr>
              <w:rFonts w:ascii="Times New Roman" w:hAnsi="Times New Roman" w:cs="Times New Roman"/>
              <w:sz w:val="24"/>
              <w:szCs w:val="24"/>
            </w:rPr>
            <w:t>В.И.Прохоренкова</w:t>
          </w:r>
          <w:proofErr w:type="spellEnd"/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Зав.кафедрой: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д.м.н., проф. Ю.В.Карачева</w:t>
          </w: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Реферат</w:t>
          </w:r>
        </w:p>
        <w:p w:rsidR="00EE0465" w:rsidRPr="00100EF3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33C29">
            <w:rPr>
              <w:rFonts w:ascii="Times New Roman" w:hAnsi="Times New Roman" w:cs="Times New Roman"/>
              <w:sz w:val="24"/>
              <w:szCs w:val="24"/>
            </w:rPr>
            <w:t xml:space="preserve">Синдром </w:t>
          </w:r>
          <w:proofErr w:type="spellStart"/>
          <w:r w:rsidRPr="00133C29">
            <w:rPr>
              <w:rFonts w:ascii="Times New Roman" w:hAnsi="Times New Roman" w:cs="Times New Roman"/>
              <w:sz w:val="24"/>
              <w:szCs w:val="24"/>
            </w:rPr>
            <w:t>Пейтца-Егерса</w:t>
          </w:r>
          <w:proofErr w:type="spellEnd"/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Выполнила: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Ординатор 1 года обучения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Сафина Екатерина Олеговна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Проверила: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 xml:space="preserve">д.м.н., проф.. Карачева 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Юлия Викторовна</w:t>
          </w: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100EF3" w:rsidRDefault="00EE0465" w:rsidP="00EE0465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EE0465" w:rsidRPr="00AA7AAB" w:rsidRDefault="00EE0465" w:rsidP="00EE0465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00EF3">
            <w:rPr>
              <w:rFonts w:ascii="Times New Roman" w:hAnsi="Times New Roman" w:cs="Times New Roman"/>
              <w:sz w:val="24"/>
              <w:szCs w:val="24"/>
            </w:rPr>
            <w:t>Красноярск 2019</w:t>
          </w:r>
        </w:p>
        <w:p w:rsidR="00EE0465" w:rsidRDefault="00EE0465">
          <w:pPr>
            <w:pStyle w:val="a6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</w:p>
        <w:p w:rsidR="00EE0465" w:rsidRDefault="00EE0465" w:rsidP="00EE0465">
          <w:pPr>
            <w:rPr>
              <w:lang w:val="en-US"/>
            </w:rPr>
          </w:pPr>
        </w:p>
        <w:p w:rsidR="00EE0465" w:rsidRPr="00EE0465" w:rsidRDefault="00EE0465" w:rsidP="00EE0465">
          <w:pPr>
            <w:rPr>
              <w:lang w:val="en-US"/>
            </w:rPr>
          </w:pPr>
        </w:p>
        <w:p w:rsidR="00133C29" w:rsidRPr="00EE0465" w:rsidRDefault="00133C29">
          <w:pPr>
            <w:pStyle w:val="a6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  <w:r>
            <w:lastRenderedPageBreak/>
            <w:t>Оглавление</w:t>
          </w:r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261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33C29" w:rsidRPr="003922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261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05820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_Toc6405820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1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Эпидемиология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_Toc6405821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2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Этиология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_Toc6405822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3" w:history="1">
            <w:r w:rsidR="0039228C" w:rsidRPr="0039228C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Патогенез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_Toc6405823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4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Клиника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_Toc6405824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5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Осложнения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_Toc6405825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05826" w:history="1">
            <w:r w:rsidR="0039228C" w:rsidRPr="0039228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Диагностика</w:t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_Toc6405826 \h </w:instrTex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28C"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9228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228C" w:rsidRPr="0039228C" w:rsidRDefault="00A2615E" w:rsidP="0039228C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228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39228C" w:rsidRPr="0039228C">
            <w:rPr>
              <w:rFonts w:ascii="Times New Roman" w:hAnsi="Times New Roman" w:cs="Times New Roman"/>
              <w:bCs/>
              <w:sz w:val="24"/>
              <w:szCs w:val="24"/>
            </w:rPr>
            <w:t>Лече</w:t>
          </w:r>
          <w:r w:rsidR="0039228C">
            <w:rPr>
              <w:rFonts w:ascii="Times New Roman" w:hAnsi="Times New Roman" w:cs="Times New Roman"/>
              <w:bCs/>
              <w:sz w:val="24"/>
              <w:szCs w:val="24"/>
            </w:rPr>
            <w:t>ние</w:t>
          </w:r>
          <w:r w:rsidR="0039228C" w:rsidRPr="0039228C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……………………………………………………………………</w:t>
          </w:r>
          <w:r w:rsidR="0039228C">
            <w:rPr>
              <w:rFonts w:ascii="Times New Roman" w:hAnsi="Times New Roman" w:cs="Times New Roman"/>
              <w:bCs/>
              <w:sz w:val="24"/>
              <w:szCs w:val="24"/>
            </w:rPr>
            <w:t>...</w:t>
          </w:r>
          <w:r w:rsidR="0039228C" w:rsidRPr="0039228C">
            <w:rPr>
              <w:rFonts w:ascii="Times New Roman" w:hAnsi="Times New Roman" w:cs="Times New Roman"/>
              <w:bCs/>
              <w:sz w:val="24"/>
              <w:szCs w:val="24"/>
            </w:rPr>
            <w:t>……………………8</w:t>
          </w:r>
        </w:p>
        <w:p w:rsidR="00133C29" w:rsidRPr="0039228C" w:rsidRDefault="0039228C" w:rsidP="0039228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228C">
            <w:rPr>
              <w:rFonts w:ascii="Times New Roman" w:hAnsi="Times New Roman" w:cs="Times New Roman"/>
              <w:bCs/>
              <w:sz w:val="24"/>
              <w:szCs w:val="24"/>
            </w:rPr>
            <w:t>Список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литературы</w:t>
          </w:r>
          <w:r w:rsidRPr="0039228C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………………………………………………………………………………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  <w:r w:rsidRPr="0039228C">
            <w:rPr>
              <w:rFonts w:ascii="Times New Roman" w:hAnsi="Times New Roman" w:cs="Times New Roman"/>
              <w:bCs/>
              <w:sz w:val="24"/>
              <w:szCs w:val="24"/>
            </w:rPr>
            <w:t>…….9</w:t>
          </w:r>
        </w:p>
      </w:sdtContent>
    </w:sdt>
    <w:p w:rsidR="00133C29" w:rsidRDefault="00133C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1C3EA7" w:rsidRPr="00133C29" w:rsidRDefault="001C3EA7" w:rsidP="00133C29">
      <w:pPr>
        <w:pStyle w:val="1"/>
        <w:rPr>
          <w:rFonts w:ascii="Times New Roman" w:hAnsi="Times New Roman" w:cs="Times New Roman"/>
          <w:color w:val="auto"/>
        </w:rPr>
      </w:pPr>
      <w:bookmarkStart w:id="1" w:name="_Toc6405820"/>
      <w:r w:rsidRPr="00133C29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является аутосомно-доминантным наследственным расстройством, которое характеризуется развитием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полипоза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желудка и кишечника в сочетании с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пигминтацией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кожи и осаждением меланина в слизистой оболочке. Пациенты, с синдромом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имеют повышенный (более чем в 15 раз) риск развития рака кишечника по сравнению с здоровым человеком. Синдром был описан в 1921 году Яном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Пейтцем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(1886-1957), голландским врачом, который отметил связь между кишечными полипами и слизистыми макулами среди членов одной голландской семьи. Гарольд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Егерс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(1904-1990), американский врач, его считают автором окончательных описательных отчетов синдрома. Желудочно-кишечные полипы, которые развиваются при синдроме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являются типичными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гамартомами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. Их гистология характеризуется широким разветвлением гладких мышц в течение всего полипа. 48% пациентов, с синдромом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развивают и умирают от рака в возрасте около 57 лет. Другие могут иметь нормальную продолжительность жизни. Средний возраст диагностики рака – 42,9 лет, ± 10,2 лет. В течение первых 3 лет жизни, анемия, кровотечения из прямой кишки, боли в животе, обструкции, и / или инвагинации являются общими осложнениями у пациентов с синдромом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. Почти 50% пациентов испытывают инвагинации в течение своей жизни, чаще всего в тонком кишечнике.</w:t>
      </w:r>
    </w:p>
    <w:p w:rsidR="00E45B56" w:rsidRPr="00133C29" w:rsidRDefault="00E45B56" w:rsidP="00133C29">
      <w:pPr>
        <w:pStyle w:val="1"/>
        <w:rPr>
          <w:rFonts w:ascii="Times New Roman" w:hAnsi="Times New Roman" w:cs="Times New Roman"/>
          <w:color w:val="auto"/>
        </w:rPr>
      </w:pPr>
      <w:bookmarkStart w:id="2" w:name="_Toc6405821"/>
      <w:r w:rsidRPr="00133C29">
        <w:rPr>
          <w:rFonts w:ascii="Times New Roman" w:hAnsi="Times New Roman" w:cs="Times New Roman"/>
          <w:color w:val="auto"/>
        </w:rPr>
        <w:t>Эпидемиология</w:t>
      </w:r>
      <w:bookmarkEnd w:id="2"/>
      <w:r w:rsidRPr="00133C29">
        <w:rPr>
          <w:rFonts w:ascii="Times New Roman" w:hAnsi="Times New Roman" w:cs="Times New Roman"/>
          <w:color w:val="auto"/>
        </w:rPr>
        <w:t xml:space="preserve"> </w:t>
      </w:r>
    </w:p>
    <w:p w:rsidR="00E45B56" w:rsidRPr="00133C29" w:rsidRDefault="00E45B56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Гамартомный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— редкое (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орфанное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) заболевание: ежегодно синдром регистрируется у 1 пациента на 25 000-300 000 населения. Одинаково часто выявляется у мужчин и женщин независимо от этнических или расовых отличий. Описание характерных признаков синдрома было впервые представлено в 1921 году в работах голландского врача Я.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и позднее дополнено в трудах американского доктора Г.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. Заболевание чаще всего диагностируется в 30-40-летнем возрасте, нередко ассоциируется с опухолями ЖКТ, яичника, молочной железы и шейки матки. Полипы могут развиваться в любом отделе желудочно-кишечного тракта. Около 48% пациентов, страдающих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гамартомным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полипозом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, умирают до 57 лет.</w:t>
      </w:r>
    </w:p>
    <w:p w:rsidR="00EB5F5F" w:rsidRPr="00133C29" w:rsidRDefault="001C3EA7" w:rsidP="00133C29">
      <w:pPr>
        <w:pStyle w:val="1"/>
        <w:rPr>
          <w:rFonts w:ascii="Times New Roman" w:hAnsi="Times New Roman" w:cs="Times New Roman"/>
          <w:color w:val="auto"/>
        </w:rPr>
      </w:pPr>
      <w:bookmarkStart w:id="3" w:name="_Toc6405822"/>
      <w:r w:rsidRPr="00133C29">
        <w:rPr>
          <w:rFonts w:ascii="Times New Roman" w:hAnsi="Times New Roman" w:cs="Times New Roman"/>
          <w:color w:val="auto"/>
        </w:rPr>
        <w:t>Этиология</w:t>
      </w:r>
      <w:bookmarkEnd w:id="3"/>
      <w:r w:rsidRPr="00133C29">
        <w:rPr>
          <w:rFonts w:ascii="Times New Roman" w:hAnsi="Times New Roman" w:cs="Times New Roman"/>
          <w:color w:val="auto"/>
        </w:rPr>
        <w:t xml:space="preserve"> 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Причиной развития синдрома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, в большинстве случаев (66-94%), являются мутации в гене STK11 / LKB1 (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треонин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11). Этот ген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супрессора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опухоли расположен в полосе 19p13.3. STK11 является геном опухолевой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, его избыточная экспрессия может вызвать нарушение кле</w:t>
      </w:r>
      <w:r w:rsidR="001C3EA7" w:rsidRPr="00133C29">
        <w:rPr>
          <w:rFonts w:ascii="Times New Roman" w:hAnsi="Times New Roman" w:cs="Times New Roman"/>
          <w:sz w:val="24"/>
          <w:szCs w:val="24"/>
        </w:rPr>
        <w:t>точного цикла клетки в фазе G1.</w:t>
      </w:r>
    </w:p>
    <w:p w:rsidR="001C3EA7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lastRenderedPageBreak/>
        <w:t xml:space="preserve">STK11/LKB1 кодирует белок, состоящий из 433 аминокислот с центральным каталитическим доменом и N-и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С-концевыми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доменами. Биологическая функция белка LKB1 заключается в регулировании нижестоящих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киназ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в том числе AMPK и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киназ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Mark1, которые участвуют в клеточных метаболических реакциях регулирования стресса и клеточной полярности. В результате мутаций в этом гене, у человека может развиваться целый спектр фенотипических про</w:t>
      </w:r>
      <w:r w:rsidR="001C3EA7" w:rsidRPr="00133C29">
        <w:rPr>
          <w:rFonts w:ascii="Times New Roman" w:hAnsi="Times New Roman" w:cs="Times New Roman"/>
          <w:sz w:val="24"/>
          <w:szCs w:val="24"/>
        </w:rPr>
        <w:t xml:space="preserve">явлений синдрома </w:t>
      </w:r>
      <w:proofErr w:type="spellStart"/>
      <w:r w:rsidR="001C3EA7"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="001C3EA7" w:rsidRPr="00133C29">
        <w:rPr>
          <w:rFonts w:ascii="Times New Roman" w:hAnsi="Times New Roman" w:cs="Times New Roman"/>
          <w:sz w:val="24"/>
          <w:szCs w:val="24"/>
        </w:rPr>
        <w:t>.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Другие гены также могут играть роль в развитии этого синдрома, например ген MARK. Однако, стоит подчеркнуть, что именно дефекты в белке LKB1 остаются основной причиной р</w:t>
      </w:r>
      <w:r w:rsidR="00E45B56" w:rsidRPr="00133C29">
        <w:rPr>
          <w:rFonts w:ascii="Times New Roman" w:hAnsi="Times New Roman" w:cs="Times New Roman"/>
          <w:sz w:val="24"/>
          <w:szCs w:val="24"/>
        </w:rPr>
        <w:t xml:space="preserve">азвития синдрома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>.</w:t>
      </w:r>
    </w:p>
    <w:p w:rsidR="00E45B56" w:rsidRPr="00133C29" w:rsidRDefault="00E45B56" w:rsidP="00133C29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4" w:name="_Toc6405823"/>
      <w:r w:rsidRPr="00133C29">
        <w:rPr>
          <w:rFonts w:ascii="Times New Roman" w:eastAsia="Times New Roman" w:hAnsi="Times New Roman" w:cs="Times New Roman"/>
          <w:color w:val="auto"/>
        </w:rPr>
        <w:t>Патогенез</w:t>
      </w:r>
      <w:bookmarkEnd w:id="4"/>
    </w:p>
    <w:p w:rsidR="00E45B56" w:rsidRPr="00E45B56" w:rsidRDefault="00E45B56" w:rsidP="00133C2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развития синдрома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Пейтца-Егерса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несостоятельности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серин-треониновой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протеинкиназы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синтез которой кодируется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мутировавшим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 STK11. За счет снижения функциональной активности энзима ускоряется пролиферация и клеточный рост, нарушаются межклеточные взаимодействия, угнетается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к формированию полипов в желудочно-кишечном тракте. Ситуация усугубляется высоким риском малигнизации при наличии у пациента двух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мутировавших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аллелей или утрате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гетерозиготности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дополнительной соматической мутации.</w:t>
      </w:r>
    </w:p>
    <w:p w:rsidR="00E45B56" w:rsidRPr="00133C29" w:rsidRDefault="00E45B56" w:rsidP="00133C2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классических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аденоматозных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полипов,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болезнью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Пейтца-Егерса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нарушением нормального соотношения основных тканевых элементов желудочной или кишечной стенки. Гладкомышечные волокна собственной пластинки эпителиального слоя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пролабируют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строму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полипозного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разветвляются, создавая ложный эффект инвазии эпителия. При этом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эпителиоциты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нормальную цитологическую структуру, отсутствуют признаки их активной пролиферации. В тонкокишечных полипах, кроме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энтероцитов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выявляют</w:t>
      </w:r>
      <w:r w:rsidRPr="0013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бокаловидные клетки и клетки </w:t>
      </w:r>
      <w:proofErr w:type="spellStart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Панета</w:t>
      </w:r>
      <w:proofErr w:type="spellEnd"/>
      <w:r w:rsidRPr="00E45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56" w:rsidRPr="00133C29" w:rsidRDefault="00E45B56" w:rsidP="00133C29">
      <w:pPr>
        <w:pStyle w:val="1"/>
        <w:rPr>
          <w:rFonts w:ascii="Times New Roman" w:hAnsi="Times New Roman" w:cs="Times New Roman"/>
          <w:color w:val="auto"/>
        </w:rPr>
      </w:pPr>
      <w:bookmarkStart w:id="5" w:name="_Toc6405824"/>
      <w:r w:rsidRPr="00133C29">
        <w:rPr>
          <w:rFonts w:ascii="Times New Roman" w:hAnsi="Times New Roman" w:cs="Times New Roman"/>
          <w:color w:val="auto"/>
        </w:rPr>
        <w:t>Клиника</w:t>
      </w:r>
      <w:bookmarkEnd w:id="5"/>
      <w:r w:rsidRPr="00133C29">
        <w:rPr>
          <w:rFonts w:ascii="Times New Roman" w:hAnsi="Times New Roman" w:cs="Times New Roman"/>
          <w:color w:val="auto"/>
        </w:rPr>
        <w:t xml:space="preserve"> 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характеризуется сочетанием пигментных поражений в слизистой оболочке щек и желудочно-кишечными полипами. Число, а также размер и расположение полипов может отличаться от пациента к пациенту. Пигментные пятна на конечностях могут исчезнуть внезапно, хотя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буккальные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поражения слизистой оболочки, как правило, сохраняются. Симптомы и проявления с</w:t>
      </w:r>
      <w:r w:rsidR="00E45B56" w:rsidRPr="00133C29">
        <w:rPr>
          <w:rFonts w:ascii="Times New Roman" w:hAnsi="Times New Roman" w:cs="Times New Roman"/>
          <w:sz w:val="24"/>
          <w:szCs w:val="24"/>
        </w:rPr>
        <w:t xml:space="preserve">индрома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B5F5F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Повторные приступы боли в животе у больных моложе 25 лет</w:t>
      </w:r>
    </w:p>
    <w:p w:rsidR="00EB5F5F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Необъяснимое кишечное кровотечение у молодого пациента</w:t>
      </w:r>
    </w:p>
    <w:p w:rsidR="00EB5F5F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lastRenderedPageBreak/>
        <w:t>Выпадение ткани из прямой кишки</w:t>
      </w:r>
    </w:p>
    <w:p w:rsidR="00EB5F5F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Нарушения менструального цикла у женщин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Гинекомастия у мужчин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Преждевременное половое созревание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Желудочно-кишечные инвагинации с непроходимостью кишечника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Пигментация слизистой щек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Мелена или кровотечение из прямой кишки</w:t>
      </w:r>
    </w:p>
    <w:p w:rsidR="00E45B56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Кровавая рвота</w:t>
      </w:r>
    </w:p>
    <w:p w:rsidR="00EB5F5F" w:rsidRPr="00133C29" w:rsidRDefault="00EB5F5F" w:rsidP="00133C29">
      <w:pPr>
        <w:pStyle w:val="a9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Слабость из-за анемии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Наиболее частыми симптомами являются рецидивирующие колики и боли в животе, которые вызываются непроходимостью кишечника из-за полипов. Мелена и ректальное кровотечение встречаются реже, также как и кровавая рвота. Некоторые исследователи предполагают, что почти 50% пациентов испытывают инвагинации,</w:t>
      </w:r>
      <w:r w:rsidR="00E45B56" w:rsidRPr="00133C29">
        <w:rPr>
          <w:rFonts w:ascii="Times New Roman" w:hAnsi="Times New Roman" w:cs="Times New Roman"/>
          <w:sz w:val="24"/>
          <w:szCs w:val="24"/>
        </w:rPr>
        <w:t xml:space="preserve"> чаще всего в тонком кишечнике.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Гиперпигментированность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может наблюдаться на губах, слизистой оболочки рта и вокруг рта, глаз и ноздрей, а также (редко) на пальцах, ступнях ног, ладонях, в анальной области и в слизистой оболочке кишечника.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Гиперпигментированные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области – плоские, от сине-серого до коричнево-черного цвета, эти поражения, как правило, имеют размер 2-4 мм в диаметре. Они имеют тенденцию к развитию в возрасте от 5 лет, но иногда, редко, они присутствуют уже при рождении. Некоторые из них могут исчезнуть в период наступления половой зрелости, но поражения на слизистой, как правило, сами не проходят.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>Рак</w:t>
      </w:r>
    </w:p>
    <w:p w:rsidR="00EB5F5F" w:rsidRPr="00133C29" w:rsidRDefault="00EB5F5F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влечет за собой значительное повышение риска развития кишечной и внекишечной злокачественности в молодом возрасте. Общий относительный риск развития рака, выше у женщин, чем у мужчин, и самый большой для желудочно-кишечного тракта, поджелудочной железы и шейки матки. Кроме того, другие виды рака также были связаны с синдромом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в том числе аденомы шейки матки, опухоли клеток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и опухоли кольцевых канальцев. Рак молочной железы, у пациенток с синдромом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может развиться в молодом возрасте и он может быть двусторонним. В связи с повышенным риском развития рака поджелудочной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скрининг эндоскопической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ультрасонографией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стал относительно новым и очень полезным инструментом ранней диагностики.</w:t>
      </w:r>
    </w:p>
    <w:p w:rsidR="00E45B56" w:rsidRPr="00133C29" w:rsidRDefault="00E45B56" w:rsidP="00133C29">
      <w:pPr>
        <w:pStyle w:val="1"/>
        <w:rPr>
          <w:rFonts w:ascii="Times New Roman" w:hAnsi="Times New Roman" w:cs="Times New Roman"/>
          <w:color w:val="auto"/>
        </w:rPr>
      </w:pPr>
      <w:bookmarkStart w:id="6" w:name="_Toc6405825"/>
      <w:r w:rsidRPr="00133C29">
        <w:rPr>
          <w:rFonts w:ascii="Times New Roman" w:hAnsi="Times New Roman" w:cs="Times New Roman"/>
          <w:color w:val="auto"/>
        </w:rPr>
        <w:lastRenderedPageBreak/>
        <w:t>Осложнения</w:t>
      </w:r>
      <w:bookmarkEnd w:id="6"/>
    </w:p>
    <w:p w:rsidR="00E45B56" w:rsidRPr="00133C29" w:rsidRDefault="00E45B56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Вследствие постоянной мацерации поверхности полипов каловыми массами отмечаются хронические кровотечения различной интенсивности. При незначительной кровопотере формируется анемический синдром, о чем свидетельствует одышка, бледность, проявления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сидеропении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(изменение вкусовых пристрастий, ломкость волос и ногтей). В редких случаях при патологии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возникают обильные кровотечения, представляющие опасность для жизни больного из-за быстрого развития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коллаптоидного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E45B56" w:rsidRPr="00133C29" w:rsidRDefault="00E45B56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Почти у 50% пациентов наблюдается инвагинация участка кишечника, которая проявляется очень сильными болями, может приводить к ишемии и некрозу кишки. Изменение нормальной структуры тонкого кишечника способствует появлению синдромов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мальдигестии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сопровождающихся значительной потерей веса. Наиболее опасное осложнение — малигнизация полипов. Распространенность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озлокачествления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, по разным источникам, составляет от 10% до 24% всех случаев заболевания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.</w:t>
      </w:r>
    </w:p>
    <w:p w:rsidR="00E45B56" w:rsidRPr="00133C29" w:rsidRDefault="00E45B56" w:rsidP="00133C29">
      <w:pPr>
        <w:pStyle w:val="1"/>
        <w:rPr>
          <w:rFonts w:ascii="Times New Roman" w:hAnsi="Times New Roman" w:cs="Times New Roman"/>
          <w:color w:val="auto"/>
        </w:rPr>
      </w:pPr>
      <w:bookmarkStart w:id="7" w:name="_Toc6405826"/>
      <w:r w:rsidRPr="00133C29">
        <w:rPr>
          <w:rFonts w:ascii="Times New Roman" w:hAnsi="Times New Roman" w:cs="Times New Roman"/>
          <w:color w:val="auto"/>
        </w:rPr>
        <w:t>Диагностика</w:t>
      </w:r>
      <w:bookmarkEnd w:id="7"/>
    </w:p>
    <w:p w:rsidR="00E45B56" w:rsidRPr="00133C29" w:rsidRDefault="00E45B56" w:rsidP="00133C29">
      <w:pPr>
        <w:pStyle w:val="aa"/>
        <w:spacing w:before="0" w:beforeAutospacing="0" w:after="0" w:afterAutospacing="0" w:line="360" w:lineRule="auto"/>
        <w:textAlignment w:val="baseline"/>
      </w:pPr>
      <w:r w:rsidRPr="00133C29">
        <w:t xml:space="preserve">Постановка диагноза зачастую затруднена, что обусловлено низкой распространенностью синдрома </w:t>
      </w:r>
      <w:proofErr w:type="spellStart"/>
      <w:r w:rsidRPr="00133C29">
        <w:t>Пейтца-Егерса</w:t>
      </w:r>
      <w:proofErr w:type="spellEnd"/>
      <w:r w:rsidRPr="00133C29">
        <w:t xml:space="preserve"> и </w:t>
      </w:r>
      <w:proofErr w:type="spellStart"/>
      <w:r w:rsidRPr="00133C29">
        <w:t>неспецифичностью</w:t>
      </w:r>
      <w:proofErr w:type="spellEnd"/>
      <w:r w:rsidRPr="00133C29">
        <w:t xml:space="preserve"> диспепсических симптомов. Заподозрить заболевание можно при обнаружении у пациента выраженной пигментации, которая появляется уже в раннем возрасте, наличии данных о наследственной отягощенности. Диагностический поиск предполагает проведение комплексного обследования пищеварительной системы. Наиболее информативными являются:</w:t>
      </w:r>
    </w:p>
    <w:p w:rsidR="00E45B56" w:rsidRPr="00133C29" w:rsidRDefault="00E45B56" w:rsidP="00133C29">
      <w:pPr>
        <w:numPr>
          <w:ilvl w:val="0"/>
          <w:numId w:val="4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33C2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Сонография</w:t>
      </w:r>
      <w:proofErr w:type="spellEnd"/>
      <w:r w:rsidRPr="00133C2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брюшной полости</w:t>
      </w:r>
      <w:r w:rsidRPr="00133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Неинвазивное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ультразвуковое сканирование применяется для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синдрома. </w:t>
      </w:r>
      <w:hyperlink r:id="rId8" w:history="1">
        <w:r w:rsidRPr="00133C29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УЗИ органов брюшной полости</w:t>
        </w:r>
      </w:hyperlink>
      <w:r w:rsidRPr="00133C29">
        <w:rPr>
          <w:rFonts w:ascii="Times New Roman" w:hAnsi="Times New Roman" w:cs="Times New Roman"/>
          <w:sz w:val="24"/>
          <w:szCs w:val="24"/>
        </w:rPr>
        <w:t xml:space="preserve"> позволяет обнаружить объемные образования в просвете кишечника и патологию других органов ЖКТ.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Сонография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может быть недостаточно информативной при небольших размерах полипов (до 5 мм).</w:t>
      </w:r>
    </w:p>
    <w:p w:rsidR="00E45B56" w:rsidRPr="00133C29" w:rsidRDefault="00A2615E" w:rsidP="00133C29">
      <w:pPr>
        <w:numPr>
          <w:ilvl w:val="0"/>
          <w:numId w:val="4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5B56" w:rsidRPr="00133C2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Контрастная рентгенография</w:t>
        </w:r>
      </w:hyperlink>
      <w:r w:rsidR="00E45B56" w:rsidRPr="00133C2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E45B56" w:rsidRPr="00133C29">
        <w:rPr>
          <w:rFonts w:ascii="Times New Roman" w:hAnsi="Times New Roman" w:cs="Times New Roman"/>
          <w:sz w:val="24"/>
          <w:szCs w:val="24"/>
        </w:rPr>
        <w:t xml:space="preserve"> Выполнение рентгенограмм после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введения густой бариевой взвеси необходимо для выявления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полиповидных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разрастаний. При аномалии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просматриваются дефекты наполнения округлой формы.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неблагоприятно обнаружение нечетких контуров или локального нарушения перистальтики.</w:t>
      </w:r>
    </w:p>
    <w:p w:rsidR="00E45B56" w:rsidRPr="00133C29" w:rsidRDefault="00E45B56" w:rsidP="00133C29">
      <w:pPr>
        <w:numPr>
          <w:ilvl w:val="0"/>
          <w:numId w:val="4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Эндоскопическое исследование</w:t>
      </w:r>
      <w:r w:rsidRPr="00133C29">
        <w:rPr>
          <w:rFonts w:ascii="Times New Roman" w:hAnsi="Times New Roman" w:cs="Times New Roman"/>
          <w:sz w:val="24"/>
          <w:szCs w:val="24"/>
        </w:rPr>
        <w:t>. Для визуализации слизистой оболочки верхних отделов пищеварительной трубки осуществляют </w:t>
      </w:r>
      <w:hyperlink r:id="rId10" w:history="1">
        <w:r w:rsidRPr="00133C29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ЭГДС</w:t>
        </w:r>
      </w:hyperlink>
      <w:r w:rsidRPr="00133C29">
        <w:rPr>
          <w:rFonts w:ascii="Times New Roman" w:hAnsi="Times New Roman" w:cs="Times New Roman"/>
          <w:sz w:val="24"/>
          <w:szCs w:val="24"/>
        </w:rPr>
        <w:t xml:space="preserve">, для изучения состояния толстой </w:t>
      </w:r>
      <w:r w:rsidRPr="00133C29">
        <w:rPr>
          <w:rFonts w:ascii="Times New Roman" w:hAnsi="Times New Roman" w:cs="Times New Roman"/>
          <w:sz w:val="24"/>
          <w:szCs w:val="24"/>
        </w:rPr>
        <w:lastRenderedPageBreak/>
        <w:t>кишки проводят </w:t>
      </w:r>
      <w:proofErr w:type="spellStart"/>
      <w:r w:rsidR="00A2615E">
        <w:fldChar w:fldCharType="begin"/>
      </w:r>
      <w:r w:rsidR="00A2615E">
        <w:instrText>HYPERLINK "https://www.krasotaimedicina.ru/treatment/endoscopic-proctology/colonoscopy"</w:instrText>
      </w:r>
      <w:r w:rsidR="00A2615E">
        <w:fldChar w:fldCharType="separate"/>
      </w:r>
      <w:r w:rsidRPr="00133C29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колоноскопию</w:t>
      </w:r>
      <w:proofErr w:type="spellEnd"/>
      <w:r w:rsidR="00A2615E">
        <w:fldChar w:fldCharType="end"/>
      </w:r>
      <w:r w:rsidRPr="00133C29">
        <w:rPr>
          <w:rFonts w:ascii="Times New Roman" w:hAnsi="Times New Roman" w:cs="Times New Roman"/>
          <w:sz w:val="24"/>
          <w:szCs w:val="24"/>
        </w:rPr>
        <w:t xml:space="preserve">. Полипы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Пейтца-Егерса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по внешнему виду напоминают аденомы, могут достигать нескольких сантиметров и иметь ножку. Иногда отмечают гиперемию и эрозии эпителия.</w:t>
      </w:r>
    </w:p>
    <w:p w:rsidR="00E45B56" w:rsidRPr="00133C29" w:rsidRDefault="00A2615E" w:rsidP="00133C29">
      <w:pPr>
        <w:numPr>
          <w:ilvl w:val="0"/>
          <w:numId w:val="4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5B56" w:rsidRPr="00133C2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Гистологический анализ</w:t>
        </w:r>
      </w:hyperlink>
      <w:r w:rsidR="00E45B56" w:rsidRPr="00133C29">
        <w:rPr>
          <w:rFonts w:ascii="Times New Roman" w:hAnsi="Times New Roman" w:cs="Times New Roman"/>
          <w:sz w:val="24"/>
          <w:szCs w:val="24"/>
        </w:rPr>
        <w:t xml:space="preserve">. Цитоморфологическое изучение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необходимо для дифференцировки с другими новообразованиями. Для заболевания характерно сохранение всех слоев слизистой оболочки, отсутствие клеточной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атипии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 xml:space="preserve"> и патологических митозов, разрастание стромы и гладкомышечных волокон. По тканевой структуре полипы являются </w:t>
      </w:r>
      <w:proofErr w:type="spellStart"/>
      <w:r w:rsidR="00E45B56" w:rsidRPr="00133C29">
        <w:rPr>
          <w:rFonts w:ascii="Times New Roman" w:hAnsi="Times New Roman" w:cs="Times New Roman"/>
          <w:sz w:val="24"/>
          <w:szCs w:val="24"/>
        </w:rPr>
        <w:t>гамартомами</w:t>
      </w:r>
      <w:proofErr w:type="spellEnd"/>
      <w:r w:rsidR="00E45B56" w:rsidRPr="00133C29">
        <w:rPr>
          <w:rFonts w:ascii="Times New Roman" w:hAnsi="Times New Roman" w:cs="Times New Roman"/>
          <w:sz w:val="24"/>
          <w:szCs w:val="24"/>
        </w:rPr>
        <w:t>.</w:t>
      </w:r>
    </w:p>
    <w:p w:rsidR="00E45B56" w:rsidRPr="00133C29" w:rsidRDefault="00E45B56" w:rsidP="00133C29">
      <w:pPr>
        <w:pStyle w:val="aa"/>
        <w:spacing w:before="0" w:beforeAutospacing="0" w:after="0" w:afterAutospacing="0" w:line="360" w:lineRule="auto"/>
        <w:textAlignment w:val="baseline"/>
      </w:pPr>
      <w:r w:rsidRPr="00133C29">
        <w:t xml:space="preserve">В общем анализе крови обнаруживают признаки анемического синдрома – уменьшение количества гемоглобина и числа эритроцитов. В биохимическом анализе крови выявляют снижение уровня общего белка. Всем пациентам выполняют </w:t>
      </w:r>
      <w:proofErr w:type="spellStart"/>
      <w:r w:rsidRPr="00133C29">
        <w:t>копрограмму</w:t>
      </w:r>
      <w:proofErr w:type="spellEnd"/>
      <w:r w:rsidRPr="00133C29">
        <w:t xml:space="preserve">, для подтверждения кровотечений из ЖКТ проводят реакцию </w:t>
      </w:r>
      <w:proofErr w:type="spellStart"/>
      <w:r w:rsidRPr="00133C29">
        <w:t>Грегерсена</w:t>
      </w:r>
      <w:proofErr w:type="spellEnd"/>
      <w:r w:rsidRPr="00133C29">
        <w:t xml:space="preserve"> на скрытую кровь. По показаниям производят цитологический анализ кожных </w:t>
      </w:r>
      <w:proofErr w:type="spellStart"/>
      <w:r w:rsidRPr="00133C29">
        <w:t>биоптатов</w:t>
      </w:r>
      <w:proofErr w:type="spellEnd"/>
      <w:r w:rsidRPr="00133C29">
        <w:t xml:space="preserve"> из пигментированных участков.</w:t>
      </w:r>
    </w:p>
    <w:p w:rsidR="0039228C" w:rsidRDefault="00E45B56" w:rsidP="00133C29">
      <w:pPr>
        <w:pStyle w:val="aa"/>
        <w:spacing w:before="0" w:beforeAutospacing="0" w:after="0" w:afterAutospacing="0" w:line="360" w:lineRule="auto"/>
        <w:textAlignment w:val="baseline"/>
      </w:pPr>
      <w:r w:rsidRPr="00133C29">
        <w:t xml:space="preserve">Дифференциальный диагноз при </w:t>
      </w:r>
      <w:proofErr w:type="spellStart"/>
      <w:r w:rsidRPr="00133C29">
        <w:t>симптомокомплексе</w:t>
      </w:r>
      <w:proofErr w:type="spellEnd"/>
      <w:r w:rsidRPr="00133C29">
        <w:t xml:space="preserve"> </w:t>
      </w:r>
      <w:proofErr w:type="spellStart"/>
      <w:r w:rsidRPr="00133C29">
        <w:t>Пейтца-Егерса</w:t>
      </w:r>
      <w:proofErr w:type="spellEnd"/>
      <w:r w:rsidRPr="00133C29">
        <w:t xml:space="preserve"> в первую очередь осуществляют с другими формами </w:t>
      </w:r>
      <w:proofErr w:type="spellStart"/>
      <w:r w:rsidRPr="00133C29">
        <w:t>полипоза</w:t>
      </w:r>
      <w:proofErr w:type="spellEnd"/>
      <w:r w:rsidRPr="00133C29">
        <w:t xml:space="preserve"> (</w:t>
      </w:r>
      <w:hyperlink r:id="rId12" w:history="1">
        <w:r w:rsidRPr="00133C29">
          <w:rPr>
            <w:rStyle w:val="a3"/>
            <w:color w:val="auto"/>
            <w:bdr w:val="none" w:sz="0" w:space="0" w:color="auto" w:frame="1"/>
          </w:rPr>
          <w:t>диффузным семейным</w:t>
        </w:r>
      </w:hyperlink>
      <w:r w:rsidRPr="00133C29">
        <w:t xml:space="preserve">, </w:t>
      </w:r>
      <w:proofErr w:type="spellStart"/>
      <w:r w:rsidRPr="00133C29">
        <w:t>ювенильным</w:t>
      </w:r>
      <w:proofErr w:type="spellEnd"/>
      <w:r w:rsidRPr="00133C29">
        <w:t xml:space="preserve">). Основными диагностическими отличиями являются наличие гиперпигментации отдельных участков кожного покрова и специфическое гистологическое строение полипов. Также нужно дифференцировать заболевание с множественным </w:t>
      </w:r>
      <w:proofErr w:type="spellStart"/>
      <w:r w:rsidRPr="00133C29">
        <w:t>лентиго</w:t>
      </w:r>
      <w:proofErr w:type="spellEnd"/>
      <w:r w:rsidRPr="00133C29">
        <w:t xml:space="preserve">. Для обследования пациента с признаками </w:t>
      </w:r>
      <w:proofErr w:type="spellStart"/>
      <w:r w:rsidRPr="00133C29">
        <w:t>полипозного</w:t>
      </w:r>
      <w:proofErr w:type="spellEnd"/>
      <w:r w:rsidRPr="00133C29">
        <w:t xml:space="preserve"> синдрома привлекаются </w:t>
      </w:r>
      <w:hyperlink r:id="rId13" w:history="1">
        <w:r w:rsidRPr="00133C29">
          <w:rPr>
            <w:rStyle w:val="a3"/>
            <w:color w:val="auto"/>
            <w:bdr w:val="none" w:sz="0" w:space="0" w:color="auto" w:frame="1"/>
          </w:rPr>
          <w:t>специалист-гастроэнтеролог</w:t>
        </w:r>
      </w:hyperlink>
      <w:r w:rsidRPr="00133C29">
        <w:t>, проктолог, дерматолог.</w:t>
      </w:r>
    </w:p>
    <w:p w:rsidR="00133C29" w:rsidRPr="00133C29" w:rsidRDefault="00E45B56" w:rsidP="00133C29">
      <w:pPr>
        <w:pStyle w:val="aa"/>
        <w:spacing w:before="0" w:beforeAutospacing="0" w:after="0" w:afterAutospacing="0" w:line="360" w:lineRule="auto"/>
        <w:textAlignment w:val="baseline"/>
      </w:pPr>
      <w:r w:rsidRPr="00133C29">
        <w:rPr>
          <w:bdr w:val="none" w:sz="0" w:space="0" w:color="auto" w:frame="1"/>
        </w:rPr>
        <w:br/>
      </w:r>
      <w:r w:rsidR="00133C29" w:rsidRPr="0039228C">
        <w:rPr>
          <w:rStyle w:val="10"/>
          <w:rFonts w:ascii="Times New Roman" w:hAnsi="Times New Roman" w:cs="Times New Roman"/>
          <w:color w:val="auto"/>
        </w:rPr>
        <w:t>Лечение</w:t>
      </w:r>
    </w:p>
    <w:p w:rsidR="00133C29" w:rsidRPr="00133C29" w:rsidRDefault="00133C29" w:rsidP="00133C2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Этиопатогенетическая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не предложена. Из медикаментозных средств применяют нестероидные противовоспалительные препараты группы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коксибов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ингибируют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циклооксигеназу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2-го типа и замедляют развитие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полипоза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качестве потенциально эффективной терапии рассматривается назначение производных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рапамицина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продемонстрировавших хорошие результаты при сочетании </w:t>
      </w:r>
      <w:hyperlink r:id="rId14" w:history="1">
        <w:r w:rsidRPr="00133C2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рака поджелудочной железы</w:t>
        </w:r>
      </w:hyperlink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патологией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Пейтца-Егерса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распространенным способом лечения является удаление образовавшихся полипов:</w:t>
      </w:r>
    </w:p>
    <w:p w:rsidR="00133C29" w:rsidRPr="00133C29" w:rsidRDefault="00133C29" w:rsidP="00133C29">
      <w:pPr>
        <w:numPr>
          <w:ilvl w:val="0"/>
          <w:numId w:val="5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размерах новообразований до 15 мм</w:t>
      </w:r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рекомендована </w:t>
      </w:r>
      <w:hyperlink r:id="rId15" w:history="1">
        <w:r w:rsidRPr="00133C2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эндоскопическая </w:t>
        </w:r>
        <w:proofErr w:type="spellStart"/>
        <w:r w:rsidRPr="00133C2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полипэктомия</w:t>
        </w:r>
        <w:proofErr w:type="spellEnd"/>
      </w:hyperlink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Полипы желудка и двенадцатиперстной кишки удаляются в ходе ЭГДС, для иссечения полипов тонкого кишечника с учетом их локализации проводят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интраоперационную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двойную баллонную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энтероскопию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C29" w:rsidRPr="00133C29" w:rsidRDefault="00133C29" w:rsidP="00133C29">
      <w:pPr>
        <w:numPr>
          <w:ilvl w:val="0"/>
          <w:numId w:val="5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полипах размерами больше 15 мм</w:t>
      </w:r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показано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лапаротомное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хирургическое вмешательство с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интраоперационной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эндоскопической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полипэктомией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Больным с множественным кишечным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полипозом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классическая или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лапароскопическая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клиновидная резекция тонкого или толстого кишечника.</w:t>
      </w:r>
    </w:p>
    <w:p w:rsidR="00133C29" w:rsidRPr="00133C29" w:rsidRDefault="00133C29" w:rsidP="00133C29">
      <w:pPr>
        <w:pStyle w:val="a4"/>
        <w:spacing w:line="360" w:lineRule="auto"/>
        <w:jc w:val="left"/>
        <w:rPr>
          <w:sz w:val="24"/>
        </w:rPr>
      </w:pPr>
      <w:bookmarkStart w:id="8" w:name="h2_21"/>
      <w:bookmarkEnd w:id="8"/>
      <w:r w:rsidRPr="00133C29">
        <w:rPr>
          <w:sz w:val="24"/>
        </w:rPr>
        <w:t>Прогноз и профилактика</w:t>
      </w:r>
    </w:p>
    <w:p w:rsidR="0039228C" w:rsidRDefault="00133C29" w:rsidP="00133C2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 заболевания зависит от распространенности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полипоза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своевременности диагностических мероприятий. При диффузном поражении желудка и всех отделов кишечника прогноз относительно неблагоприятный, часто возникают кровотечения, возможна злокачественная трансформация полипов. Из-за врожденного характера синдрома меры специфической профилактики не разработаны. Для предупреждения осложнений необходимо активное динамическое наблюдение за пациентами с наследственным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полипозом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Пейтца-Егерса</w:t>
      </w:r>
      <w:proofErr w:type="spellEnd"/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C29" w:rsidRPr="00133C29" w:rsidRDefault="00133C29" w:rsidP="00133C2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C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9228C">
        <w:rPr>
          <w:rStyle w:val="10"/>
          <w:rFonts w:ascii="Times New Roman" w:hAnsi="Times New Roman" w:cs="Times New Roman"/>
          <w:color w:val="auto"/>
        </w:rPr>
        <w:t>Литература</w:t>
      </w:r>
    </w:p>
    <w:p w:rsidR="00133C29" w:rsidRPr="00133C29" w:rsidRDefault="00133C29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1. Синдром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Пейтца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Егерса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: обзор литературы и описание собственного клинического наблюдения/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Кайбышева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В.О., Ивашкин В.Т.,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Е.К. и др.// РЖГГК – 2011 - №2.</w:t>
      </w:r>
    </w:p>
    <w:p w:rsidR="00133C29" w:rsidRPr="00133C29" w:rsidRDefault="00133C29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2. Болезни поджелудочной железы, кишечника, системные заболевания с нарушением функций пищеварительного тракта/ Комаров Ф.И.,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А.Л., Бурков С.Г. и др. – 1996.</w:t>
      </w:r>
    </w:p>
    <w:p w:rsidR="001A2B79" w:rsidRPr="00133C29" w:rsidRDefault="00133C29" w:rsidP="0013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C29">
        <w:rPr>
          <w:rFonts w:ascii="Times New Roman" w:hAnsi="Times New Roman" w:cs="Times New Roman"/>
          <w:sz w:val="24"/>
          <w:szCs w:val="24"/>
        </w:rPr>
        <w:t xml:space="preserve">3. Наследственные синдромы, ассоциированные с полипами и развитием злокачественных опухолей у детей/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Казубская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Т.П., Белев Н.Ф., Козлова В.М. и др.// </w:t>
      </w:r>
      <w:proofErr w:type="spellStart"/>
      <w:r w:rsidRPr="00133C29">
        <w:rPr>
          <w:rFonts w:ascii="Times New Roman" w:hAnsi="Times New Roman" w:cs="Times New Roman"/>
          <w:sz w:val="24"/>
          <w:szCs w:val="24"/>
        </w:rPr>
        <w:t>Онкопедиатрия</w:t>
      </w:r>
      <w:proofErr w:type="spellEnd"/>
      <w:r w:rsidRPr="00133C29">
        <w:rPr>
          <w:rFonts w:ascii="Times New Roman" w:hAnsi="Times New Roman" w:cs="Times New Roman"/>
          <w:sz w:val="24"/>
          <w:szCs w:val="24"/>
        </w:rPr>
        <w:t xml:space="preserve"> — 2015 — Т.2, №4.</w:t>
      </w:r>
    </w:p>
    <w:sectPr w:rsidR="001A2B79" w:rsidRPr="00133C29" w:rsidSect="0039228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2F" w:rsidRDefault="0096672F" w:rsidP="0039228C">
      <w:pPr>
        <w:spacing w:after="0" w:line="240" w:lineRule="auto"/>
      </w:pPr>
      <w:r>
        <w:separator/>
      </w:r>
    </w:p>
  </w:endnote>
  <w:endnote w:type="continuationSeparator" w:id="0">
    <w:p w:rsidR="0096672F" w:rsidRDefault="0096672F" w:rsidP="003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805958"/>
      <w:docPartObj>
        <w:docPartGallery w:val="Page Numbers (Bottom of Page)"/>
        <w:docPartUnique/>
      </w:docPartObj>
    </w:sdtPr>
    <w:sdtContent>
      <w:p w:rsidR="0039228C" w:rsidRDefault="00A2615E">
        <w:pPr>
          <w:pStyle w:val="ae"/>
          <w:jc w:val="center"/>
        </w:pPr>
        <w:r>
          <w:fldChar w:fldCharType="begin"/>
        </w:r>
        <w:r w:rsidR="0039228C">
          <w:instrText>PAGE   \* MERGEFORMAT</w:instrText>
        </w:r>
        <w:r>
          <w:fldChar w:fldCharType="separate"/>
        </w:r>
        <w:r w:rsidR="00EE0465">
          <w:rPr>
            <w:noProof/>
          </w:rPr>
          <w:t>2</w:t>
        </w:r>
        <w:r>
          <w:fldChar w:fldCharType="end"/>
        </w:r>
      </w:p>
    </w:sdtContent>
  </w:sdt>
  <w:p w:rsidR="0039228C" w:rsidRDefault="003922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2F" w:rsidRDefault="0096672F" w:rsidP="0039228C">
      <w:pPr>
        <w:spacing w:after="0" w:line="240" w:lineRule="auto"/>
      </w:pPr>
      <w:r>
        <w:separator/>
      </w:r>
    </w:p>
  </w:footnote>
  <w:footnote w:type="continuationSeparator" w:id="0">
    <w:p w:rsidR="0096672F" w:rsidRDefault="0096672F" w:rsidP="0039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E48"/>
    <w:multiLevelType w:val="hybridMultilevel"/>
    <w:tmpl w:val="6CB2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2BBC"/>
    <w:multiLevelType w:val="hybridMultilevel"/>
    <w:tmpl w:val="19E0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2633"/>
    <w:multiLevelType w:val="multilevel"/>
    <w:tmpl w:val="698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23DB"/>
    <w:multiLevelType w:val="multilevel"/>
    <w:tmpl w:val="9F3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D527B"/>
    <w:multiLevelType w:val="hybridMultilevel"/>
    <w:tmpl w:val="B7F0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3B"/>
    <w:rsid w:val="00133C29"/>
    <w:rsid w:val="001A2B79"/>
    <w:rsid w:val="001C3EA7"/>
    <w:rsid w:val="001F023B"/>
    <w:rsid w:val="0039228C"/>
    <w:rsid w:val="0064451A"/>
    <w:rsid w:val="0096672F"/>
    <w:rsid w:val="00A2615E"/>
    <w:rsid w:val="00B13CD4"/>
    <w:rsid w:val="00C34E67"/>
    <w:rsid w:val="00D214BE"/>
    <w:rsid w:val="00D2765F"/>
    <w:rsid w:val="00E45B56"/>
    <w:rsid w:val="00E8462D"/>
    <w:rsid w:val="00EB5F5F"/>
    <w:rsid w:val="00EC14C8"/>
    <w:rsid w:val="00E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BE"/>
  </w:style>
  <w:style w:type="paragraph" w:styleId="1">
    <w:name w:val="heading 1"/>
    <w:basedOn w:val="a"/>
    <w:next w:val="a"/>
    <w:link w:val="10"/>
    <w:uiPriority w:val="9"/>
    <w:qFormat/>
    <w:rsid w:val="001C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2D"/>
    <w:rPr>
      <w:color w:val="0000FF"/>
      <w:u w:val="single"/>
    </w:rPr>
  </w:style>
  <w:style w:type="paragraph" w:styleId="a4">
    <w:name w:val="Title"/>
    <w:basedOn w:val="a"/>
    <w:link w:val="a5"/>
    <w:qFormat/>
    <w:rsid w:val="00E846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846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C3EA7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3C29"/>
    <w:pPr>
      <w:spacing w:after="100"/>
    </w:pPr>
  </w:style>
  <w:style w:type="character" w:styleId="ab">
    <w:name w:val="line number"/>
    <w:basedOn w:val="a0"/>
    <w:uiPriority w:val="99"/>
    <w:semiHidden/>
    <w:unhideWhenUsed/>
    <w:rsid w:val="0039228C"/>
  </w:style>
  <w:style w:type="paragraph" w:styleId="ac">
    <w:name w:val="header"/>
    <w:basedOn w:val="a"/>
    <w:link w:val="ad"/>
    <w:uiPriority w:val="99"/>
    <w:unhideWhenUsed/>
    <w:rsid w:val="003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28C"/>
  </w:style>
  <w:style w:type="paragraph" w:styleId="ae">
    <w:name w:val="footer"/>
    <w:basedOn w:val="a"/>
    <w:link w:val="af"/>
    <w:uiPriority w:val="99"/>
    <w:unhideWhenUsed/>
    <w:rsid w:val="003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2D"/>
    <w:rPr>
      <w:color w:val="0000FF"/>
      <w:u w:val="single"/>
    </w:rPr>
  </w:style>
  <w:style w:type="paragraph" w:styleId="a4">
    <w:name w:val="Title"/>
    <w:basedOn w:val="a"/>
    <w:link w:val="a5"/>
    <w:qFormat/>
    <w:rsid w:val="00E846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846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C3EA7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E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3C29"/>
    <w:pPr>
      <w:spacing w:after="100"/>
    </w:pPr>
  </w:style>
  <w:style w:type="character" w:styleId="ab">
    <w:name w:val="line number"/>
    <w:basedOn w:val="a0"/>
    <w:uiPriority w:val="99"/>
    <w:semiHidden/>
    <w:unhideWhenUsed/>
    <w:rsid w:val="0039228C"/>
  </w:style>
  <w:style w:type="paragraph" w:styleId="ac">
    <w:name w:val="header"/>
    <w:basedOn w:val="a"/>
    <w:link w:val="ad"/>
    <w:uiPriority w:val="99"/>
    <w:unhideWhenUsed/>
    <w:rsid w:val="003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28C"/>
  </w:style>
  <w:style w:type="paragraph" w:styleId="ae">
    <w:name w:val="footer"/>
    <w:basedOn w:val="a"/>
    <w:link w:val="af"/>
    <w:uiPriority w:val="99"/>
    <w:unhideWhenUsed/>
    <w:rsid w:val="003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4572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ultrasound-gastroenterology/abdominal" TargetMode="External"/><Relationship Id="rId13" Type="http://schemas.openxmlformats.org/officeDocument/2006/relationships/hyperlink" Target="https://www.krasotaimedicina.ru/treatment/consultation-gastroenterology/gastroenterolog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proctology/diffuse-polypos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lab-test/histologic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treatment/gastroduodenal-neoplasm/polyp" TargetMode="External"/><Relationship Id="rId10" Type="http://schemas.openxmlformats.org/officeDocument/2006/relationships/hyperlink" Target="https://www.krasotaimedicina.ru/treatment/endoscopic-gastroenterology/esophagogastrosco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X-ray-gastroenterology/barium" TargetMode="External"/><Relationship Id="rId14" Type="http://schemas.openxmlformats.org/officeDocument/2006/relationships/hyperlink" Target="https://www.krasotaimedicina.ru/diseases/zabolevanija_gastroenterologia/pancreatic-canc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0B03-BA7A-4CAD-B0C6-4F74A72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Хатира</dc:creator>
  <cp:lastModifiedBy>Admin</cp:lastModifiedBy>
  <cp:revision>3</cp:revision>
  <dcterms:created xsi:type="dcterms:W3CDTF">2019-04-21T11:43:00Z</dcterms:created>
  <dcterms:modified xsi:type="dcterms:W3CDTF">2019-04-21T11:52:00Z</dcterms:modified>
</cp:coreProperties>
</file>