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62" w:rsidRPr="00231C2F" w:rsidRDefault="006E4062" w:rsidP="006E4062">
      <w:pPr>
        <w:jc w:val="center"/>
        <w:rPr>
          <w:b/>
          <w:sz w:val="20"/>
          <w:szCs w:val="20"/>
        </w:rPr>
      </w:pPr>
      <w:r w:rsidRPr="00231C2F">
        <w:rPr>
          <w:b/>
          <w:sz w:val="20"/>
          <w:szCs w:val="20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231C2F">
        <w:rPr>
          <w:b/>
          <w:sz w:val="20"/>
          <w:szCs w:val="20"/>
        </w:rPr>
        <w:t>Войно-Ясенецкого</w:t>
      </w:r>
      <w:proofErr w:type="spellEnd"/>
      <w:r w:rsidRPr="00231C2F">
        <w:rPr>
          <w:b/>
          <w:sz w:val="20"/>
          <w:szCs w:val="20"/>
        </w:rPr>
        <w:t xml:space="preserve"> Министерства здравоохранения Российской Федерации» </w:t>
      </w:r>
    </w:p>
    <w:p w:rsidR="006E4062" w:rsidRPr="00231C2F" w:rsidRDefault="006E4062" w:rsidP="006E4062">
      <w:pPr>
        <w:jc w:val="center"/>
        <w:rPr>
          <w:b/>
        </w:rPr>
      </w:pPr>
      <w:r w:rsidRPr="00231C2F">
        <w:rPr>
          <w:b/>
        </w:rPr>
        <w:t xml:space="preserve">Кафедра общей хирургии им. проф. М.И. </w:t>
      </w:r>
      <w:proofErr w:type="spellStart"/>
      <w:r w:rsidRPr="00231C2F">
        <w:rPr>
          <w:b/>
        </w:rPr>
        <w:t>Гульмана</w:t>
      </w:r>
      <w:proofErr w:type="spellEnd"/>
    </w:p>
    <w:p w:rsidR="006E4062" w:rsidRPr="00231C2F" w:rsidRDefault="006E4062" w:rsidP="006E4062">
      <w:pPr>
        <w:jc w:val="center"/>
        <w:rPr>
          <w:b/>
        </w:rPr>
      </w:pPr>
    </w:p>
    <w:p w:rsidR="006E4062" w:rsidRPr="006E4062" w:rsidRDefault="006E4062" w:rsidP="006E4062">
      <w:pPr>
        <w:jc w:val="center"/>
        <w:rPr>
          <w:b/>
          <w:color w:val="000000"/>
        </w:rPr>
      </w:pPr>
      <w:r w:rsidRPr="006E4062">
        <w:rPr>
          <w:b/>
        </w:rPr>
        <w:t xml:space="preserve">Перечень практических умений к </w:t>
      </w:r>
      <w:proofErr w:type="gramStart"/>
      <w:r w:rsidRPr="006E4062">
        <w:rPr>
          <w:b/>
        </w:rPr>
        <w:t>экзамену</w:t>
      </w:r>
      <w:r>
        <w:rPr>
          <w:b/>
        </w:rPr>
        <w:t xml:space="preserve"> </w:t>
      </w:r>
      <w:r w:rsidRPr="006E4062">
        <w:rPr>
          <w:b/>
        </w:rPr>
        <w:t xml:space="preserve"> по</w:t>
      </w:r>
      <w:proofErr w:type="gramEnd"/>
      <w:r w:rsidRPr="006E4062">
        <w:rPr>
          <w:b/>
        </w:rPr>
        <w:t xml:space="preserve"> производственной практике </w:t>
      </w:r>
      <w:r w:rsidRPr="006E4062">
        <w:rPr>
          <w:b/>
          <w:bCs/>
          <w:color w:val="000000"/>
        </w:rPr>
        <w:t>"Помощник процедурной медицинской сестры"</w:t>
      </w:r>
      <w:r w:rsidRPr="006E4062">
        <w:rPr>
          <w:rStyle w:val="apple-converted-space"/>
          <w:b/>
          <w:color w:val="000000"/>
        </w:rPr>
        <w:t> </w:t>
      </w:r>
      <w:r w:rsidRPr="006E4062">
        <w:rPr>
          <w:b/>
          <w:color w:val="000000"/>
        </w:rPr>
        <w:t>(базовая часть)</w:t>
      </w:r>
      <w:r>
        <w:rPr>
          <w:b/>
          <w:color w:val="000000"/>
        </w:rPr>
        <w:t xml:space="preserve"> </w:t>
      </w:r>
      <w:r w:rsidRPr="006E4062">
        <w:rPr>
          <w:b/>
          <w:color w:val="000000"/>
        </w:rPr>
        <w:t>для специальности 060101 - Лечебное дело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84"/>
        <w:gridCol w:w="5107"/>
        <w:gridCol w:w="137"/>
        <w:gridCol w:w="1135"/>
        <w:gridCol w:w="1135"/>
        <w:gridCol w:w="1138"/>
      </w:tblGrid>
      <w:tr w:rsidR="006E4062" w:rsidRPr="00B65E4A" w:rsidTr="00AC5E50">
        <w:trPr>
          <w:jc w:val="center"/>
        </w:trPr>
        <w:tc>
          <w:tcPr>
            <w:tcW w:w="424" w:type="dxa"/>
            <w:vMerge w:val="restart"/>
          </w:tcPr>
          <w:p w:rsidR="006E4062" w:rsidRPr="00B65E4A" w:rsidRDefault="006E4062" w:rsidP="00AC5E50">
            <w:pPr>
              <w:widowControl w:val="0"/>
              <w:tabs>
                <w:tab w:val="right" w:leader="underscore" w:pos="9639"/>
              </w:tabs>
              <w:rPr>
                <w:b/>
                <w:bCs/>
                <w:lang w:eastAsia="en-US"/>
              </w:rPr>
            </w:pPr>
            <w:r w:rsidRPr="00B65E4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5391" w:type="dxa"/>
            <w:gridSpan w:val="2"/>
            <w:vMerge w:val="restart"/>
            <w:vAlign w:val="center"/>
          </w:tcPr>
          <w:p w:rsidR="006E4062" w:rsidRPr="00B65E4A" w:rsidRDefault="006E4062" w:rsidP="00AC5E5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  <w:r w:rsidRPr="00B65E4A">
              <w:rPr>
                <w:b/>
                <w:bCs/>
                <w:lang w:eastAsia="en-US"/>
              </w:rPr>
              <w:t>Манипуляция</w:t>
            </w:r>
          </w:p>
        </w:tc>
        <w:tc>
          <w:tcPr>
            <w:tcW w:w="3545" w:type="dxa"/>
            <w:gridSpan w:val="4"/>
          </w:tcPr>
          <w:p w:rsidR="006E4062" w:rsidRPr="00B65E4A" w:rsidRDefault="006E4062" w:rsidP="00AC5E5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B65E4A">
              <w:rPr>
                <w:bCs/>
                <w:lang w:eastAsia="en-US"/>
              </w:rPr>
              <w:t>Уровень усвоения</w:t>
            </w:r>
          </w:p>
        </w:tc>
      </w:tr>
      <w:tr w:rsidR="006E4062" w:rsidRPr="00B65E4A" w:rsidTr="00AC5E50">
        <w:trPr>
          <w:jc w:val="center"/>
        </w:trPr>
        <w:tc>
          <w:tcPr>
            <w:tcW w:w="424" w:type="dxa"/>
            <w:vMerge/>
            <w:vAlign w:val="center"/>
          </w:tcPr>
          <w:p w:rsidR="006E4062" w:rsidRPr="00B65E4A" w:rsidRDefault="006E4062" w:rsidP="00AC5E50">
            <w:pPr>
              <w:rPr>
                <w:b/>
                <w:bCs/>
                <w:lang w:eastAsia="en-US"/>
              </w:rPr>
            </w:pPr>
          </w:p>
        </w:tc>
        <w:tc>
          <w:tcPr>
            <w:tcW w:w="5391" w:type="dxa"/>
            <w:gridSpan w:val="2"/>
            <w:vMerge/>
            <w:vAlign w:val="center"/>
          </w:tcPr>
          <w:p w:rsidR="006E4062" w:rsidRPr="00B65E4A" w:rsidRDefault="006E4062" w:rsidP="00AC5E50">
            <w:pPr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6E4062" w:rsidRPr="00B65E4A" w:rsidRDefault="006E4062" w:rsidP="00AC5E50">
            <w:pPr>
              <w:widowControl w:val="0"/>
              <w:tabs>
                <w:tab w:val="right" w:leader="underscore" w:pos="9639"/>
              </w:tabs>
              <w:ind w:left="-105" w:right="-111"/>
              <w:jc w:val="center"/>
              <w:rPr>
                <w:bCs/>
                <w:lang w:eastAsia="en-US"/>
              </w:rPr>
            </w:pPr>
            <w:r w:rsidRPr="00B65E4A">
              <w:rPr>
                <w:bCs/>
                <w:lang w:eastAsia="en-US"/>
              </w:rPr>
              <w:t>Знать порядок выполнения (алгоритм)</w:t>
            </w:r>
          </w:p>
        </w:tc>
        <w:tc>
          <w:tcPr>
            <w:tcW w:w="1135" w:type="dxa"/>
          </w:tcPr>
          <w:p w:rsidR="006E4062" w:rsidRPr="00B65E4A" w:rsidRDefault="006E4062" w:rsidP="00AC5E50">
            <w:pPr>
              <w:widowControl w:val="0"/>
              <w:tabs>
                <w:tab w:val="right" w:leader="underscore" w:pos="9639"/>
              </w:tabs>
              <w:ind w:left="-105" w:right="-111"/>
              <w:jc w:val="center"/>
              <w:rPr>
                <w:bCs/>
                <w:lang w:eastAsia="en-US"/>
              </w:rPr>
            </w:pPr>
            <w:r w:rsidRPr="00B65E4A">
              <w:rPr>
                <w:bCs/>
                <w:lang w:eastAsia="en-US"/>
              </w:rPr>
              <w:t xml:space="preserve">Уметь выполнить </w:t>
            </w:r>
            <w:proofErr w:type="spellStart"/>
            <w:proofErr w:type="gramStart"/>
            <w:r w:rsidRPr="00B65E4A">
              <w:rPr>
                <w:bCs/>
                <w:lang w:eastAsia="en-US"/>
              </w:rPr>
              <w:t>самостоя-тельно</w:t>
            </w:r>
            <w:proofErr w:type="spellEnd"/>
            <w:proofErr w:type="gramEnd"/>
            <w:r w:rsidRPr="00B65E4A">
              <w:rPr>
                <w:bCs/>
                <w:lang w:eastAsia="en-US"/>
              </w:rPr>
              <w:t xml:space="preserve"> (условия)</w:t>
            </w:r>
          </w:p>
        </w:tc>
        <w:tc>
          <w:tcPr>
            <w:tcW w:w="1138" w:type="dxa"/>
          </w:tcPr>
          <w:p w:rsidR="006E4062" w:rsidRPr="00B65E4A" w:rsidRDefault="006E4062" w:rsidP="00AC5E50">
            <w:pPr>
              <w:widowControl w:val="0"/>
              <w:tabs>
                <w:tab w:val="right" w:leader="underscore" w:pos="9639"/>
              </w:tabs>
              <w:ind w:left="-105" w:right="-107"/>
              <w:jc w:val="center"/>
              <w:rPr>
                <w:bCs/>
                <w:lang w:eastAsia="en-US"/>
              </w:rPr>
            </w:pPr>
            <w:r w:rsidRPr="00B65E4A">
              <w:rPr>
                <w:bCs/>
                <w:lang w:eastAsia="en-US"/>
              </w:rPr>
              <w:t>Обладать навыками</w:t>
            </w:r>
          </w:p>
        </w:tc>
      </w:tr>
      <w:tr w:rsidR="006E4062" w:rsidRPr="00B65E4A" w:rsidTr="00AC5E50">
        <w:trPr>
          <w:jc w:val="center"/>
        </w:trPr>
        <w:tc>
          <w:tcPr>
            <w:tcW w:w="9360" w:type="dxa"/>
            <w:gridSpan w:val="7"/>
          </w:tcPr>
          <w:p w:rsidR="006E4062" w:rsidRPr="00B65E4A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B65E4A">
              <w:rPr>
                <w:b/>
              </w:rPr>
              <w:t xml:space="preserve">Помощник </w:t>
            </w:r>
            <w:r>
              <w:rPr>
                <w:b/>
              </w:rPr>
              <w:t>процедурной медицинской сестры</w:t>
            </w: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7"/>
              <w:widowControl/>
              <w:spacing w:line="240" w:lineRule="auto"/>
              <w:rPr>
                <w:rStyle w:val="FontStyle12"/>
                <w:rFonts w:eastAsia="SimSun"/>
              </w:rPr>
            </w:pPr>
            <w:r w:rsidRPr="00F35294">
              <w:rPr>
                <w:rStyle w:val="FontStyle12"/>
                <w:rFonts w:eastAsia="SimSun"/>
              </w:rPr>
              <w:t xml:space="preserve">Пособие при </w:t>
            </w:r>
            <w:proofErr w:type="spellStart"/>
            <w:r w:rsidRPr="00F35294">
              <w:rPr>
                <w:rStyle w:val="FontStyle12"/>
                <w:rFonts w:eastAsia="SimSun"/>
              </w:rPr>
              <w:t>гастростомах</w:t>
            </w:r>
            <w:proofErr w:type="spellEnd"/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2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7"/>
              <w:widowControl/>
              <w:rPr>
                <w:rStyle w:val="FontStyle12"/>
                <w:rFonts w:eastAsia="SimSun"/>
              </w:rPr>
            </w:pPr>
            <w:r w:rsidRPr="00F35294">
              <w:rPr>
                <w:rStyle w:val="FontStyle12"/>
                <w:rFonts w:eastAsia="SimSun"/>
              </w:rPr>
              <w:t xml:space="preserve">Уход за </w:t>
            </w:r>
            <w:proofErr w:type="spellStart"/>
            <w:r w:rsidRPr="00F35294">
              <w:rPr>
                <w:rStyle w:val="FontStyle12"/>
                <w:rFonts w:eastAsia="SimSun"/>
              </w:rPr>
              <w:t>назогастральным</w:t>
            </w:r>
            <w:proofErr w:type="spellEnd"/>
            <w:r w:rsidRPr="00F35294">
              <w:rPr>
                <w:rStyle w:val="FontStyle12"/>
                <w:rFonts w:eastAsia="SimSun"/>
              </w:rPr>
              <w:t xml:space="preserve"> зондом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3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7"/>
              <w:widowControl/>
              <w:spacing w:line="240" w:lineRule="auto"/>
              <w:rPr>
                <w:rStyle w:val="FontStyle12"/>
                <w:rFonts w:eastAsia="SimSun"/>
              </w:rPr>
            </w:pPr>
            <w:r w:rsidRPr="00F35294">
              <w:rPr>
                <w:rStyle w:val="FontStyle12"/>
                <w:rFonts w:eastAsia="SimSun"/>
              </w:rPr>
              <w:t xml:space="preserve">Пособие при </w:t>
            </w:r>
            <w:proofErr w:type="spellStart"/>
            <w:r w:rsidRPr="00F35294">
              <w:rPr>
                <w:rStyle w:val="FontStyle12"/>
                <w:rFonts w:eastAsia="SimSun"/>
              </w:rPr>
              <w:t>илеостоме</w:t>
            </w:r>
            <w:proofErr w:type="spellEnd"/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4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 xml:space="preserve">Пособие </w:t>
            </w:r>
            <w:proofErr w:type="spellStart"/>
            <w:r w:rsidRPr="00F35294">
              <w:rPr>
                <w:rFonts w:eastAsia="SimSun"/>
              </w:rPr>
              <w:t>стомах</w:t>
            </w:r>
            <w:proofErr w:type="spellEnd"/>
            <w:r w:rsidRPr="00F35294">
              <w:rPr>
                <w:rFonts w:eastAsia="SimSun"/>
              </w:rPr>
              <w:t xml:space="preserve"> толстого кишечника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5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нарушениях целостности кожных покровов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6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гнойных заболеваниях кожи и подкожной клетчатки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7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заболеваниях мышц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8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переломах костей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9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>Гипсование при переломах костей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10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нарушении целостности лимфатической системы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11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повреждении (ранении) сосудов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contextualSpacing/>
              <w:jc w:val="center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12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>Эластическая компрессия нижних конечностей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13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jc w:val="both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операциях на прямой кишке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14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операциях на наружных мужских половых органах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15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полостных операциях органов брюшной полости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16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полостных операциях органов грудной полости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17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Пособие по наложению бандажа и фиксирующих устройств при бедренной грыже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18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Пособие по наложению бандажа при пупочной грыже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19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 xml:space="preserve">Перевязка при пролежнях </w:t>
            </w:r>
            <w:r w:rsidRPr="00F35294">
              <w:rPr>
                <w:rFonts w:eastAsia="SimSun"/>
                <w:lang w:val="en-US"/>
              </w:rPr>
              <w:t>III</w:t>
            </w:r>
            <w:r w:rsidRPr="00F35294">
              <w:rPr>
                <w:rFonts w:eastAsia="SimSun"/>
              </w:rPr>
              <w:t xml:space="preserve"> и </w:t>
            </w:r>
            <w:r w:rsidRPr="00F35294">
              <w:rPr>
                <w:rFonts w:eastAsia="SimSun"/>
                <w:lang w:val="en-US"/>
              </w:rPr>
              <w:t>IV</w:t>
            </w:r>
            <w:r w:rsidRPr="00F35294">
              <w:rPr>
                <w:rFonts w:eastAsia="SimSun"/>
              </w:rPr>
              <w:t xml:space="preserve"> степеней тяжести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20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Перевязки при полостных операциях на органах забрюшинного пространства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21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Подкожное введение лекарственных средств и растворов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22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Взятие крови из периферической вены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23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Внутривенное введение лекарственных средств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24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Внутримышечное введение лекарственных средств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25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Взятие крови из пальца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lastRenderedPageBreak/>
              <w:t>26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Методы остановки кровотечения в ране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27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rPr>
                <w:rFonts w:eastAsia="SimSun"/>
              </w:rPr>
            </w:pPr>
            <w:r w:rsidRPr="00F35294">
              <w:rPr>
                <w:rFonts w:eastAsia="SimSun"/>
              </w:rPr>
              <w:t>Подготовка перевязочного материала к стерилизации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</w:tr>
      <w:tr w:rsidR="006E4062" w:rsidRPr="00B65E4A" w:rsidTr="00AC5E50">
        <w:trPr>
          <w:jc w:val="center"/>
        </w:trPr>
        <w:tc>
          <w:tcPr>
            <w:tcW w:w="708" w:type="dxa"/>
            <w:gridSpan w:val="2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28</w:t>
            </w:r>
          </w:p>
        </w:tc>
        <w:tc>
          <w:tcPr>
            <w:tcW w:w="5244" w:type="dxa"/>
            <w:gridSpan w:val="2"/>
          </w:tcPr>
          <w:p w:rsidR="006E4062" w:rsidRPr="00F35294" w:rsidRDefault="006E4062" w:rsidP="00AC5E50">
            <w:pPr>
              <w:pStyle w:val="Style3"/>
              <w:widowControl/>
              <w:spacing w:line="240" w:lineRule="auto"/>
              <w:jc w:val="left"/>
              <w:rPr>
                <w:rFonts w:eastAsia="SimSun"/>
              </w:rPr>
            </w:pPr>
            <w:r w:rsidRPr="00F35294">
              <w:rPr>
                <w:rFonts w:eastAsia="SimSun"/>
              </w:rPr>
              <w:t>Подготовка хирургического инструментария к стерилизации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5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  <w:tc>
          <w:tcPr>
            <w:tcW w:w="1138" w:type="dxa"/>
          </w:tcPr>
          <w:p w:rsidR="006E4062" w:rsidRPr="00F35294" w:rsidRDefault="006E4062" w:rsidP="00AC5E50">
            <w:pPr>
              <w:jc w:val="center"/>
              <w:outlineLvl w:val="1"/>
              <w:rPr>
                <w:spacing w:val="-10"/>
              </w:rPr>
            </w:pPr>
            <w:r w:rsidRPr="00F35294">
              <w:rPr>
                <w:spacing w:val="-10"/>
              </w:rPr>
              <w:t>+</w:t>
            </w:r>
          </w:p>
        </w:tc>
      </w:tr>
    </w:tbl>
    <w:p w:rsidR="006E4062" w:rsidRPr="00B65E4A" w:rsidRDefault="006E4062" w:rsidP="006E4062">
      <w:pPr>
        <w:ind w:right="126"/>
        <w:rPr>
          <w:b/>
          <w:sz w:val="28"/>
          <w:szCs w:val="28"/>
        </w:rPr>
      </w:pPr>
    </w:p>
    <w:p w:rsidR="006E4062" w:rsidRPr="00975936" w:rsidRDefault="006E4062" w:rsidP="006E4062">
      <w:pPr>
        <w:jc w:val="right"/>
      </w:pPr>
    </w:p>
    <w:p w:rsidR="006E4062" w:rsidRPr="00975936" w:rsidRDefault="006E4062" w:rsidP="006E4062">
      <w:pPr>
        <w:suppressAutoHyphens/>
        <w:rPr>
          <w:b/>
        </w:rPr>
      </w:pPr>
      <w:r w:rsidRPr="00975936">
        <w:rPr>
          <w:b/>
        </w:rPr>
        <w:t>Утверждено на кафедральном заседании протокол № 1 от «29» августа 2014 г.</w:t>
      </w:r>
    </w:p>
    <w:p w:rsidR="006E4062" w:rsidRPr="00975936" w:rsidRDefault="006E4062" w:rsidP="006E4062">
      <w:pPr>
        <w:suppressAutoHyphens/>
        <w:ind w:firstLine="709"/>
        <w:rPr>
          <w:b/>
        </w:rPr>
      </w:pPr>
    </w:p>
    <w:p w:rsidR="006E4062" w:rsidRPr="00975936" w:rsidRDefault="006E4062" w:rsidP="006E4062">
      <w:pPr>
        <w:suppressAutoHyphens/>
        <w:ind w:firstLine="709"/>
        <w:rPr>
          <w:b/>
        </w:rPr>
      </w:pPr>
    </w:p>
    <w:p w:rsidR="006E4062" w:rsidRPr="00975936" w:rsidRDefault="006E4062" w:rsidP="006E4062">
      <w:pPr>
        <w:suppressAutoHyphens/>
        <w:rPr>
          <w:b/>
        </w:rPr>
      </w:pPr>
      <w:r w:rsidRPr="00975936">
        <w:rPr>
          <w:b/>
        </w:rPr>
        <w:t>Заведующий кафедрой</w:t>
      </w:r>
    </w:p>
    <w:p w:rsidR="006E4062" w:rsidRPr="00975936" w:rsidRDefault="006E4062" w:rsidP="006E4062">
      <w:pPr>
        <w:suppressAutoHyphens/>
        <w:rPr>
          <w:b/>
        </w:rPr>
      </w:pPr>
      <w:r w:rsidRPr="00975936">
        <w:rPr>
          <w:b/>
        </w:rPr>
        <w:t>д.м.н., профессор</w:t>
      </w:r>
      <w:r w:rsidRPr="00975936">
        <w:rPr>
          <w:b/>
        </w:rPr>
        <w:tab/>
      </w:r>
      <w:r w:rsidRPr="00975936">
        <w:rPr>
          <w:b/>
        </w:rPr>
        <w:tab/>
      </w:r>
      <w:r w:rsidRPr="00975936">
        <w:rPr>
          <w:b/>
        </w:rPr>
        <w:tab/>
      </w:r>
      <w:r w:rsidRPr="00975936">
        <w:rPr>
          <w:b/>
        </w:rPr>
        <w:tab/>
      </w:r>
      <w:r w:rsidRPr="00975936">
        <w:rPr>
          <w:b/>
        </w:rPr>
        <w:tab/>
      </w:r>
      <w:r w:rsidRPr="00975936">
        <w:rPr>
          <w:b/>
        </w:rPr>
        <w:tab/>
        <w:t xml:space="preserve">                        </w:t>
      </w:r>
      <w:r w:rsidRPr="00975936">
        <w:rPr>
          <w:b/>
        </w:rPr>
        <w:tab/>
        <w:t xml:space="preserve"> Винник Ю.С. </w:t>
      </w:r>
    </w:p>
    <w:p w:rsidR="00684DA4" w:rsidRDefault="00684DA4">
      <w:bookmarkStart w:id="0" w:name="_GoBack"/>
      <w:bookmarkEnd w:id="0"/>
    </w:p>
    <w:sectPr w:rsidR="006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2"/>
    <w:rsid w:val="00684DA4"/>
    <w:rsid w:val="006E4062"/>
    <w:rsid w:val="009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3044-29FA-4819-BD13-CE06C346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E4062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6E4062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3">
    <w:name w:val="Style3"/>
    <w:basedOn w:val="a"/>
    <w:rsid w:val="006E4062"/>
    <w:pPr>
      <w:widowControl w:val="0"/>
      <w:autoSpaceDE w:val="0"/>
      <w:autoSpaceDN w:val="0"/>
      <w:adjustRightInd w:val="0"/>
      <w:spacing w:line="178" w:lineRule="exact"/>
      <w:jc w:val="both"/>
    </w:pPr>
  </w:style>
  <w:style w:type="character" w:customStyle="1" w:styleId="apple-converted-space">
    <w:name w:val="apple-converted-space"/>
    <w:basedOn w:val="a0"/>
    <w:rsid w:val="006E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2014-11-05T05:23:00Z</dcterms:created>
  <dcterms:modified xsi:type="dcterms:W3CDTF">2014-11-05T05:26:00Z</dcterms:modified>
</cp:coreProperties>
</file>