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147D" w14:textId="1C4C570C" w:rsidR="00117BA4" w:rsidRDefault="00117BA4" w:rsidP="00117B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1E3AB" w14:textId="77777777" w:rsidR="00117BA4" w:rsidRDefault="00117BA4" w:rsidP="0011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им. Проф. В.Ф. Войно-</w:t>
      </w:r>
      <w:proofErr w:type="spellStart"/>
      <w:r>
        <w:rPr>
          <w:rFonts w:ascii="Times New Roman" w:hAnsi="Times New Roman" w:cs="Times New Roman"/>
          <w:sz w:val="24"/>
          <w:szCs w:val="28"/>
        </w:rPr>
        <w:t>Ясенецкого</w:t>
      </w:r>
      <w:proofErr w:type="spellEnd"/>
    </w:p>
    <w:p w14:paraId="4B87CBF2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7DEED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00609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45C3D" w14:textId="77777777" w:rsidR="00117BA4" w:rsidRPr="00117BA4" w:rsidRDefault="00FB4B74" w:rsidP="00117BA4">
      <w:pPr>
        <w:pStyle w:val="a5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hyperlink r:id="rId8" w:history="1">
        <w:r w:rsidR="00117BA4" w:rsidRPr="00117BA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Кафедра общей хирургии им. проф. М.И. </w:t>
        </w:r>
        <w:proofErr w:type="spellStart"/>
        <w:r w:rsidR="00117BA4" w:rsidRPr="00117BA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Гульмана</w:t>
        </w:r>
        <w:proofErr w:type="spellEnd"/>
      </w:hyperlink>
    </w:p>
    <w:p w14:paraId="5BA36940" w14:textId="77777777" w:rsidR="00117BA4" w:rsidRDefault="00117BA4" w:rsidP="00117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0994F8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4A3F8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7B651896" w14:textId="77777777" w:rsidR="00117BA4" w:rsidRDefault="00117BA4" w:rsidP="00117BA4">
      <w:pPr>
        <w:pStyle w:val="3"/>
        <w:shd w:val="clear" w:color="auto" w:fill="FFFFFF"/>
        <w:spacing w:before="300" w:after="15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ЗАДНЯЯ СЕПАРАЦИЯ ПРИ ВЕНТРАЛЬНЫХ ГРЫЖАХ: ПОКАЗАНИЯ, ТЕХНИКА И РЕЗУЛЬТАТЫ</w:t>
      </w:r>
    </w:p>
    <w:p w14:paraId="2E1B6F02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E79F0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8E0B4" w14:textId="77777777" w:rsidR="00117BA4" w:rsidRDefault="00117BA4" w:rsidP="00117B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11E40" w14:textId="77777777" w:rsidR="00117BA4" w:rsidRDefault="00117BA4" w:rsidP="00117B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57A25451" w14:textId="77777777" w:rsidR="00117BA4" w:rsidRDefault="00FB4B74" w:rsidP="00117BA4">
      <w:pPr>
        <w:pStyle w:val="a5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id w:val="-1626535858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17BA4">
            <w:rPr>
              <w:rFonts w:ascii="Times New Roman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14:paraId="098983D1" w14:textId="77777777" w:rsidR="00117BA4" w:rsidRDefault="00FB4B74" w:rsidP="00117B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id w:val="-213276043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17BA4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117BA4">
        <w:rPr>
          <w:rFonts w:ascii="Times New Roman" w:hAnsi="Times New Roman" w:cs="Times New Roman"/>
          <w:sz w:val="28"/>
          <w:szCs w:val="28"/>
        </w:rPr>
        <w:t>Выполнил: Ординатор 1 года обучения Красноярского государственного медицинского университета</w:t>
      </w:r>
    </w:p>
    <w:p w14:paraId="7B929AF9" w14:textId="7938934E" w:rsidR="00117BA4" w:rsidRDefault="00130CDE" w:rsidP="00117B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Сергей Владимирович</w:t>
      </w:r>
      <w:bookmarkStart w:id="0" w:name="_GoBack"/>
      <w:bookmarkEnd w:id="0"/>
    </w:p>
    <w:p w14:paraId="42504F8C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E0888E6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4878ADA1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58A9DDAB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07A9BD58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5D192BE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23F73839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5E34BB32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27FE5ADC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63F080C3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C88A6B0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6A9C9E4C" w14:textId="686A426E" w:rsidR="00117BA4" w:rsidRDefault="00117BA4" w:rsidP="0011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14:paraId="4FCB670E" w14:textId="77777777" w:rsidR="00117BA4" w:rsidRDefault="00117BA4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p w14:paraId="425D90BE" w14:textId="641D36C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Опыт оперативного лечения больных с грыжами живота к настоящему моменту измеряется сотнями лет. Внедрение в повседневную практику пластики брюшной стенки с использованием сетчатых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привело к существенному улучшению результатов лечения больных с вентральными и послеоперационными грыжами, снижению частоты рецидивов и позволило добиться хороших показателей качества жизни пациентов. Однако ряд проблем еще далек от своего разрешения. Существует особая категория пациентов с большими грыжами и редукцией истинного объема брюшной полости, лечение которых представляет собой значительные трудности. Доказана корреляция частоты рецидивов с шириной грыжевых ворот и длительностью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грыженосительства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 данным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частота неудовлетворительных исходов у пациентов с большими грыжами максимальна и достигает 53%. У этих же больных отмечены наибольшие продолжительность госпитализации, частота осложнений и летальность. Классические методики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подходят для применения в рассматриваемых ситуациях. При перемещении в брюшную полость значительных объемов грыжевого содержимого может развиться синдром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интраабдоминальной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гипертензии. Это комплекс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системных расстройств (органная дисфункция/недостаточность), развивающийся вследствие стойкого повышения ВБД более 20 мм рт. ст.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кадаверном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эксперименте установлено, что введение в брюшную полость немногим более 3 л жидкости приводит к повышению внутрибрюшного давления (ВБД) до 20 мм рт.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Таким образом, вправление грыжевого содержимого сопоставимого объема в ходе операции уже крайне опасно. У таких лиц принято использовать способ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что делает возможным осуществление действительно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ненатяжной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пластики. Тем не менее этот метод не обеспечивает восстановления брюшной стенки, полноценной в анатомическом и функциональном отношении, так как после операции сохраняется патологическая (латеральная) позиция прямых мышц. Не имеющие медиальных точек прикрепления, мышцы латерального сегмента находятся в состоянии контрактуры. Лишенные возможности адекватно функционировать, они постепенно атрофируются, кроме того, с течением времени в зоне перенесенной операции меняются структура и метаболизм как мышечной, так и соединительной ткани. На периферии имплантированного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 зоне его контакта с тканями брюшной стенки наблюдается хроническое воспаление. Прочная соединительная ткань при этом не формируется, а мышечная становится все более неполноценной. Корреляция неблагоприятных результатов с использованием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-методов, со значительными размерами грыжевых ворот, избыточной массой тела, длительным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грыженосительством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проедмонстрирована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современных работах. Не вызывает удивления, почему при лечении данной категории пациентов (лиц с большими вентральными и послеоперационными грыжами) с помощью общепринятых методик достичь приемлемых результатов сложно. Таких больных необходимо оперировать иначе.</w:t>
      </w:r>
    </w:p>
    <w:p w14:paraId="1A869BD2" w14:textId="12AA7024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качестве операции, наиболее обоснованной с точки зрения надежности и функциональности, следует рассматривать такое вмешательство, в ходе которого даже при больших и множественных дефектах брюшной стенки хирург восстанавливает последнюю в варианте, близком к естественному анатомическому строению, укрепляет зону реконструкции сеткой, не повышает внутрибрюшное давление и создает необходимый объем брюшной полости, достаточный для размещения внутренних органов. Такой подход определен как реконструкция брюшной стенки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abdominal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reconstruction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AWR). Существует ограниченное количество оперативных приемов, способных приблизить хирурга к решению проблем. Любой из вариантов основан на применении техники разделения анатомических компонентов брюшной стенки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− CST). Среди доступных решений следует различать переднюю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anterior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ACST) и заднюю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posterior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PCST) сепарацию. Первая предложена в 1990 г. (операция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ее варианты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Достоинства и недостатки передней сепарации описаны в литературе. Вторая введена в клиническую практику в последние несколько лет [15] и требует детального рассмотрения.</w:t>
      </w:r>
    </w:p>
    <w:p w14:paraId="3914961D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f0"/>
          <w:rFonts w:ascii="Arial" w:eastAsiaTheme="majorEastAsia" w:hAnsi="Arial" w:cs="Arial"/>
          <w:color w:val="333333"/>
          <w:sz w:val="21"/>
          <w:szCs w:val="21"/>
        </w:rPr>
        <w:t>Цель исследования:</w:t>
      </w:r>
      <w:r>
        <w:rPr>
          <w:rFonts w:ascii="Arial" w:hAnsi="Arial" w:cs="Arial"/>
          <w:color w:val="333333"/>
          <w:sz w:val="21"/>
          <w:szCs w:val="21"/>
        </w:rPr>
        <w:t> определить показания к задней сепарационной пластике брюшной стенки, уточнить технические аспекты выполнения операций и оценить их результаты на основе анализа данных современных литературных источников.</w:t>
      </w:r>
    </w:p>
    <w:p w14:paraId="65CFB3AB" w14:textId="21F1B4BF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 2008 г. на страницах журнала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Hernia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была опубликована работа группы авторов во главе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A.M., которые предложили технику разделения компонентов брюшной стенки, включающую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глубоких слоёв последней. Исследователи предложили называть методику задней сепарацией. После обработки грыжевых ворот, мешка и его содержимого авторы рекомендуют выполнить стандартную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пространства, как это принято в классическом варианте.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должна быть выполнена полностью, вне зависимости от конфигурации и размеров грыжевого дефекта. Это отличает технику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A.M. (2008) от типичной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протезирующей пластики, при осуществлении которой такая широкая мобилизация не всегда обязательна. Далее следует идентифицировать латеральный край влагалища прямой мышцы живота, визуализировать имеющиеся здесь сосуды и нервы и оставить 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Избегая повреждения указанных анатомических структур, необходимо рассечь задний листок влагалища прямой мышцы живота на всём его протяжении вертикально. Требуется четко идентифицировать пространство между поперечной и внутренней косой мышцами живота и войти в него.  Этот этап должен быть осуществлён без малейших технических погрешностей, в ином случае можно повредить сосудистые и нервные структуры, поперечную или внутреннюю косую мышцы живота либо оказаться в ходе манипуляций в брюшной полости. Если вход в данное пространство выполнен верно, дальнейшие шаги будут выполняться последовательно, легко и безопасно. Кровопотери при этом не отмечается.</w:t>
      </w:r>
    </w:p>
    <w:p w14:paraId="6C2C9EDB" w14:textId="6CD2376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Препарировать ткани в данной анатомической области следует в латеральном направлении, как правило, с помощью электрохирургического скальпеля. Гемостаз осуществляют с использованием биполярного коагулятора. Указанную плоскость разделения компонентов брюшной стенки в дальнейшем используют для размещения достаточно большого сетчатого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После перечисленных манипуляций слои брюшной стенки становятся подвижными, что позволит без натяжения осуществить реконструкцию брюшной стенки. На данном этапе ушивают непрерывным швом брюшину и задние листки влагалищ прямых мышц живота.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рекомендуют расположить следующим образом. В медиальном сегменте брюшной стенки сетка будет находиться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дорзальнее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прямых мышц живота, а в латеральном – позади внутренних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косых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медиальном сегменте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будет прилежать своей задней поверхностью к передней поверхности задних листков влагалищ прямых мышц живота, а в латеральных сегментах – к поперечной мышце живота. В оригинальном варианте края сетки фиксируют к тканям с помощью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трансапоневротических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швов. После размещения и фиксации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ушивают непрерывным швом синтетической нитью 0 или 1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нерассасывающейся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с длительным сроком резорбции) передние листки влагалищ прямых мышц живота, затем рану. Дренируют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пространство, зоны разделения компонентов, при необходимости – рану, для чего используют методику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Следует отметить, что описанная операция, разработанная в США, вскоре была серьезным образом усовершенствована. На Западе почти нет публикаций о широком применении техники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однако в отечественной литературе такие статьи есть [16; 18]. К текущему моменту данную операцию следует рассматривать как определенный этап в изучении и внедрении задней сепарации, который необходимо освоить многим хирургам, чтобы успешно перейти к более сложным и эффективным вмешательствам.</w:t>
      </w:r>
    </w:p>
    <w:p w14:paraId="06D71B71" w14:textId="4F90F4D6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2012–2013 гг. группой американских хирургов под руководством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Novitsky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Y.W. предложена, обоснована и введена в клиническую практику операция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transversus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abdominis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(TAR) [19]. Рассматриваемая методика в настоящее время занимает одну из ведущих позиций в сепарационной протезирующей пластике.</w:t>
      </w:r>
    </w:p>
    <w:p w14:paraId="0544767A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После обработки грыжевого мешка и его содержимого, осуществления всех требуемых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интраабдоминальных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этапов операции приступают к реконструкции брюшной стенки.</w:t>
      </w:r>
    </w:p>
    <w:p w14:paraId="2E81D12E" w14:textId="299AB4D5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мышечно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–апоневротических структур брюшной стенки авторы рекомендуют начинать с тщательной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пространства. Доступ осуществляют типично, как было описано ранее. После завершения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данной области следует четко визуализировать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эпигастральные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перфорирующие сосуды непосредственно у полулунной линии.</w:t>
      </w:r>
    </w:p>
    <w:p w14:paraId="4542A7A7" w14:textId="06E46475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Осуществление задней сепарации требует особенно тщательной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тканей на определённых этапах, технические погрешности могут привести к нарушению иннервации прямых мышц. Кроме того, анатомия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сосудисто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–нервных образований индивидуальна, имеет ряд отличий у лиц разного пола, что следует учитывать в ходе вмешательства. Это является весьма спорным моментом данного вида вмешательства и требует дальнейшего изучения. Далее задний листок влагалища прямой мышцы необходимо рассечь вертикально, в 0,5–1 см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медиальнее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его наружного края. На указанном этапе становится хорошо видна поперечная мышца живота. Её пересекают здесь же, вертикально на всем протяжении. Одни авторы считают, что выполнение данного этапа предпочтительно начинать в верхних отделах брюшной стенки, разработчики операции рекомендуют работать в направлении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снизу вверх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Затем выполняют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тканей в пространстве между поперечной и внутренней косой мышцами живота в боковом направлении максимально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латерально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Наилучшим является применение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монополярной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коагуляции – электрохирургического скальпеля. В результате выполненных шагов достигается мобильность всей совокупности мышечно-апоневротических структур медиального сегмента брюшной стенки, главным образом, его подлежащих структур – задних листков влагалищ прямых мышц и поперечной фасции. Выполняют надёжный гемостаз с помощью биполярного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электрокоагулятора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926989F" w14:textId="7495A420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Проводят пробную аппроксимацию внутренних краев задних листков влагалищ прямых мышц живота, иссекают излишки грыжевого мешка. Если сближение задних листков успешно, мешок не используют для герметизации брюшной полости. В случае натяжения тканей или повышения ВБД часть мешка применяют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ушивания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брюшной полости. Сетчатый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размещают в подготовленном пространстве, которое в медиальном сегменте соответствует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 в латеральных – непосредственно на поперечной фасции. Края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фиксируют с помощью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трансапоневротических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швов. Выполняют пробное сближение медиальных краев передних листков влагалищ прямых мышц живота. Если это удаётся выполнить без прорезывания тканей и повышения ВБД, операцию завершают полной реконструкцией (в подавляющем большинстве случаев). В иных ситуациях допустимо (хотя и нежелательно) часть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оставить в виде «моста» между влагалищами прямых мышц. В качестве альтернативного решения предложена методика PARRA – частичного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релизинга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прямых мышц живота для полного восстановления белой линии после задней сепарационной пластики. Имеются сведения о том, что PCST может быть выполнена не только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имплантацией сетки, но и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интраперитонеальной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Применение открытой задней сепарации и протезирующей пластики снижает частоту осложнений и рецидивов, приводит к желаемым результатам в функциональном отношении. Аналогичные данные продемонстрированы и в других публикациях.</w:t>
      </w:r>
    </w:p>
    <w:p w14:paraId="48B9D544" w14:textId="0CFAD05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После вмешательства поперечные мышцы атрофируются, 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компенсаторно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гипертрофируются прямые и косые, что и следует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ожидать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Подобные результаты получены и при сопоставлении задней сепарации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bridging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лапароскопическом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варианте. После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эндохирургического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вмешательства достоверных изменений мышц брюшной стенки не отмечено. При сравнении результатов ACST (вариант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и PCST (способ TAR) выявлено, что после передней сепарации наблюдают существенно больше раневых осложнений, в то же время нет достоверной разницы по частоте рецидивов. В совокупности авторы справедливо считают результаты различных вариантов CST очень хорошими.</w:t>
      </w:r>
    </w:p>
    <w:p w14:paraId="1C3772D0" w14:textId="306B6026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Таким образом, PCST следует рассматривать как совокупность хирургических приемов, реализуемых в задних (глубоких) слоях брюшной стенки, направленных на разделение компонентов последней, увеличение подвижности и эластичности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мышечно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–апоневротических структур. Это позволяет осуществить полноценную реконструкцию брюшной стенки при больших грыжах в варианте, близком к естественному анатомическому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строени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С учётом всех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особенностей  приведённых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методик можно утверждать, что это весьма совершенные в техническом отношении, но довольно сложные операции. Описанные выше варианты PCST по сути представляют собой одни из самых безопасных решений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пациентов с большими грыжами. Отсутствие излишней травмы брюшной стенки в ходе реконструкции, отказ от широкой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отсепаровки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кожно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–подкожного лоскута обеспечивают гладкое течение ближайшего послеоперационного периода и раннюю реабилитацию пациентов. Это позволяет с уверенностью применять данную технику в старших возрастных группах практически без ограничений. Есть работы, в которых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положительно оценены возможности задней сепарации даже с использованием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резорбируемых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сеток, что до настоящего времени считалось неприемлемым из–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 убедительно высокой частоты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рецидивов.</w:t>
      </w:r>
    </w:p>
    <w:p w14:paraId="163C58A0" w14:textId="103B66F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Однако возможности методики в создании дополнительного необходимого объёма брюшной полости по сравнению с операцией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выглядят существенно скромнее. Заднюю сепарацию следует применять при больших грыжах, когда редукция истинного объема брюшной полости выражена минимально. В экспериментальном исследовании российских авторов показано, что доказанное увеличение объема брюшной полости при предельно возможном (до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компартмента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увеличении внутрибрюшного давления (ВБД) в ходе операции TAR составляет 24,2+1,7%, при выполнении приема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27,8±2,7%, а при сочетании техники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 (что и есть технически правильно) – 49,8±4,6%.</w:t>
      </w:r>
    </w:p>
    <w:p w14:paraId="2420BB68" w14:textId="0AB99711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Отечественные исследователи приводят сведения о том, что пациенты, оперированные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имели большую ширину грыжевых ворот (16+5.4 см), чем лица, перенесшие PCST (13.3+4.9 см). Американские хирурги выполняли переднюю и заднюю сепарации в сопоставимых группах пациентов с площадью грыжевых ворот в 472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и 531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2 </w:t>
      </w:r>
      <w:r>
        <w:rPr>
          <w:rFonts w:ascii="Arial" w:hAnsi="Arial" w:cs="Arial"/>
          <w:color w:val="333333"/>
          <w:sz w:val="21"/>
          <w:szCs w:val="21"/>
        </w:rPr>
        <w:t>соответственно, отличия по этому показателю не являлись достоверными, p-0.28. Есть данные зарубежных авторов о выполнении TAR при средней площади ворот 235.6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и 235–260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 В США и ряде европейских клиник в последние годы операцию TAR выполняют при ширине грыжевых ворот от 7 см, то есть не только при больших, но и при средних по размеру грыжах. С другой стороны, разработчики методики TAR, обладающие к настоящему моменту максимальным опытом, приводят и другие данные. Анализируя опыт 428 операций, исследователи указывают, что TAR выполнена у лиц с размерами грыжевых ворот в среднем 606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(от 180 до 1220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Примечательно, что ряд авторов завершает вмешательство в условиях определенной внутрибрюшной гипертензии. При этом уровень ВБД достигает 18 мм рт. ст. Этот уровень ученые считают максимальным целевым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значением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что в других своих работах справедливо относят ко 2-й степени внутрибрюшной гипертензии. Другие исследователи при достижении указанной цифры не выполняют стандартное восстановление белой линии, а вполне логично и обоснованно используют специальные приемы для профилактики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компартмент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–синдрома, что представляется более безопасным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обоснованным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Следует обратить внимание, что исходный уровень ВБД у ряда пациентов превышает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норму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Повышение ВБД у большинства пациентов авторы считают допустимым и транзиторным, давление приближается к исходному уровню через сутки после операции, при этом увеличения частоты респираторных и ренальных осложнений не отмечено. Лица, которые до операции имели объем грыжевого выпячивания более 20% от объема брюшной полости, имеют несколько иную динамику изменений ВБД и существенный риск респираторных осложнений.</w:t>
      </w:r>
    </w:p>
    <w:p w14:paraId="16C250FC" w14:textId="487D4862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Заднюю сепарацию неправомочно считать излишне тяжелой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травматичной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операцией. Исследователи детально изучили профиль динамики C–реактивного белка в послеоперационном периоде. Доказано, что реконструкция брюшной стенки с помощью TAR представляет собой хирургическое вмешательство, сопоставимое по масштабам, сложности и операционной травме с правосторонней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гемиколэктомией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Пока однозначно не определено, имеет ли смысл осуществление столь обширного хирургического вмешательства в проблемной категории пациентов – у лиц старших возрастных групп, пациентов с рядом сопутствующих заболеваний, а также в ургентной ситуации. Продемонстрирована возможность такого вмешательства у пациентов старших возрастных групп и в условиях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инфицирования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определенных случаях обсуждается вопрос о выполнении симультанных вмешательств, что существенно не влияет на риск, но имеет большое медицинское, социальное и экономическое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значение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CST часто используют, если оперативное лечение пациента с вентральной или послеоперационной грыжей включает удаление жирового фартука. В современных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четко прослеживается ряд закономерностей. Больные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профиля представляют собой чрезвычайно гетерогенную группу. У лиц с большими грыжами брюшной стенки следует всегда использовать протезирующую пластику. Техника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является предпочтительной и при необходимости исключить натяжение тканей может быть дополнена CST. По данным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36 обсервационных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когортных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исследований, проведенного в 2018 г. бельгийскими авторами, сравнительная характеристика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ранних и отдаленных результатов применения различных методов сепарационной пластики представляется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следующей  (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таблица). Между различными вариантами CST нет достоверных отличий в отношении параметров качества жизни оперированных пациентов, в этом плане операции совершенно равноправны.</w:t>
      </w:r>
    </w:p>
    <w:p w14:paraId="37A9A2F9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Результаты передней и задней сепарации</w:t>
      </w:r>
    </w:p>
    <w:tbl>
      <w:tblPr>
        <w:tblW w:w="963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653"/>
        <w:gridCol w:w="1848"/>
        <w:gridCol w:w="2284"/>
        <w:gridCol w:w="1923"/>
      </w:tblGrid>
      <w:tr w:rsidR="00CE1076" w14:paraId="5AE10DE0" w14:textId="77777777" w:rsidTr="00CE1076">
        <w:trPr>
          <w:tblHeader/>
        </w:trPr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F29E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Вариант сепарационной протезирующей пластики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147CE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Передняя сепарация открытым доступом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6A5A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Задняя сепарация открытым доступом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8D83C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Передняя сепарация с помощью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лапароскопической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техники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C51F6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Передняя сепарация с сохранением перфорирующих сосудов</w:t>
            </w:r>
          </w:p>
        </w:tc>
      </w:tr>
      <w:tr w:rsidR="00CE1076" w14:paraId="3E9ED344" w14:textId="77777777" w:rsidTr="00CE1076"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3D78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События в области хирургического вмешательства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8D813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21,4 %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FC35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23,7 %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7D02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20,3 %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8407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16 %</w:t>
            </w:r>
          </w:p>
        </w:tc>
      </w:tr>
      <w:tr w:rsidR="00CE1076" w14:paraId="41954D8C" w14:textId="77777777" w:rsidTr="00CE1076"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B9F8F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Частота рецидивов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51235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11,9 %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4C68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5,25 %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7DA64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7,02 %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1966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6,47 %</w:t>
            </w:r>
          </w:p>
        </w:tc>
      </w:tr>
    </w:tbl>
    <w:p w14:paraId="17CCD87E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89A0B14" w14:textId="2F212D71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Опыт, приобретенный в названном разделе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ведущими клиниками страны, к текущему моменту весьма ограничен. В работах отечественных авторов к 2018 г. описанные серии пациентов невелики (7, 11, 13, 27, 40 и 51 больной), совокупный опубликованный опыт ведущих клиник РФ в области сепарационной пластики не превышает 200 операций. За рубежом в работы последних лет включены результаты сотен вмешательств. Разработчики операции TAR выполняют ее с 2006 г. и уже к 2014 г. произвели более 400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вмешательств.C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г. появляются первые систематические обзоры литературы по данному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вопросу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Корректное сопоставление результатов станет возможным лишь через определенное время после накопления данных. Однако уже сейчас становятся ясными вполне определенные тенденции. Очевиден переход ведущих хирургических клиник мира к осуществлению реконструкции брюшной стенки вместо ее коррекции. Доказано, что предпочтение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bridging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вместо AWR ассоциировано с достоверным увеличением частоты рецидивов грыж.</w:t>
      </w:r>
    </w:p>
    <w:p w14:paraId="38A7C5AC" w14:textId="3E84E80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Не вызывает сомнений, что оптимальным методом реконструкции брюшной стенки у лиц с большими послеоперационными грыжами является сепарационная протезирующая пластика. Размещение сетки в ходе сепарационной пластики обычно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но в исключительных ситуациях может быть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интраперитонеальным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иным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Применение методики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возможно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как в плановой, так и в неотложной хирурги. В сложных ситуациях, при значительной контаминации операционного поля закрытие дефектов брюшной стенки может быть разделено на несколько этапов: удаление источника инфекционного процесса, затем реконструкция брюшной стенки. По данным американских хирургов (2017), передняя сепарация в малоинвазивном варианте и операция TAR имеют сопоставимые (аналогичные) результаты по продолжительности вмешательства, частоте осложнений (в том числе воспалительных и связанных непосредственно с сеткой инфекционных), потребности в повторных хирургических пособиях и частоте рецидивов. Предпочтение задней сепарации вместо операции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хирургами с наибольшим опытом в России и в США убедительно демонстрирует целый ряд публикаций. PCST используют при рецидивах после передней сепарации. Относительно малые серии операций в РФ соответствуют фазе изучения методик задней сепарации и накопления опыта, исследования с десятками вмешательств – детальной отработке техники хирургического вмешательства, стандартизации операции и подробного анализа результатов. Прослеживается совершенно четкая тенденция к расширению показаний к PCST в зарубежных клиниках. Исследуются возможности применения роботизированных технологий для указанных операций, что существенно облегчает работу в ограниченных пространствах и в ряде случаев положительно влияет на результаты.</w:t>
      </w:r>
    </w:p>
    <w:p w14:paraId="1757354C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f0"/>
          <w:rFonts w:ascii="Arial" w:eastAsiaTheme="majorEastAsia" w:hAnsi="Arial" w:cs="Arial"/>
          <w:color w:val="333333"/>
          <w:sz w:val="21"/>
          <w:szCs w:val="21"/>
        </w:rPr>
        <w:t>Заключение. </w:t>
      </w:r>
      <w:r>
        <w:rPr>
          <w:rFonts w:ascii="Arial" w:hAnsi="Arial" w:cs="Arial"/>
          <w:color w:val="333333"/>
          <w:sz w:val="21"/>
          <w:szCs w:val="21"/>
        </w:rPr>
        <w:t xml:space="preserve">Анализ данных современных источников литературы убеждает в следующем. Задняя сепарация представляет собой новую категорию оперативных вмешательств,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позволяющих успешно решать задачу реконструкции брюшной стенки у пациентов с большими и трудными послеоперационными грыжами. Вариант TAR, чаще всего применяемый в последнее время, представляет собой технически сложное оперативное вмешательство, осуществление которого требует от хирурга безукоризненной техники, детального знания анатомии брюшной стенки и ее вариантов, тщательного соблюдения определенной последовательности действий и скрупулезного их выполнения. Необходимо ввести сепарационные методики в Национальные рекомендации и обозначить показания к их применению в ряде ситуаций. К настоящему моменту уже видны преимущества задней сепарации по сравнению с классическим вариантом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понятны также имеющиеся объективные трудности и ограничения субъективного характера в более широком использовании PCST. В РФ сепарационная пластика предложена для выполнения пациентам с большими и гигантскими грыжами, феноменом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редукцией истинного объема брюшной полости. Рассматриваемая категория вмешательств позиционируется как прерогатива специализированных клиник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профиля, специально предназначенных для лечения сложных, проблемных пациентов. Данная точка зрения отражена в Российских национальных рекомендациях 2017 г. по лечению больных с послеоперационными грыжами и касается только операции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К сожалению, задняя сепарация в указанном документе не рассмотрена. Результаты применения PCST продемонстрированы в целом ряде публикаций, но еще не восприняты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сообществе однозначно. Проведенные исследования свидетельствуют о высокой безопасности и надежности данной операции, диктуют необходимость ее детального изучения и широкого внедрения в повседневную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практику. Тем не менее необходимы дальнейшие исследования сепарационной пластики в соответствии с концепцией доказательной медицины, которые позволят научно обосновать их применение на соответствующем уровне.</w:t>
      </w:r>
    </w:p>
    <w:p w14:paraId="07A467F9" w14:textId="77777777" w:rsidR="00CE1076" w:rsidRDefault="00FB4B74" w:rsidP="00CE1076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 w14:anchorId="03A09415">
          <v:rect id="_x0000_i1025" style="width:0;height:0" o:hralign="center" o:hrstd="t" o:hrnoshade="t" o:hr="t" fillcolor="#333" stroked="f"/>
        </w:pict>
      </w:r>
    </w:p>
    <w:p w14:paraId="49357A3F" w14:textId="77777777" w:rsidR="00CE1076" w:rsidRDefault="00CE1076" w:rsidP="00CE1076">
      <w:pPr>
        <w:pStyle w:val="3"/>
        <w:shd w:val="clear" w:color="auto" w:fill="FFFFFF"/>
        <w:spacing w:before="300" w:after="150"/>
        <w:rPr>
          <w:rFonts w:ascii="Arial" w:hAnsi="Arial" w:cs="Arial"/>
          <w:color w:val="343434"/>
          <w:sz w:val="33"/>
          <w:szCs w:val="33"/>
        </w:rPr>
      </w:pPr>
      <w:r>
        <w:rPr>
          <w:rFonts w:ascii="Arial" w:hAnsi="Arial" w:cs="Arial"/>
          <w:b/>
          <w:bCs/>
          <w:color w:val="343434"/>
          <w:sz w:val="33"/>
          <w:szCs w:val="33"/>
        </w:rPr>
        <w:t>Библиографическая ссылка</w:t>
      </w:r>
    </w:p>
    <w:p w14:paraId="0B7C2EE7" w14:textId="239FA4F8" w:rsidR="002F3BDA" w:rsidRPr="00AE0A81" w:rsidRDefault="00CE1076" w:rsidP="00CE10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Паршиков В.В., Логинов В.И., Бабурин А.Б., Романов Р.В. ЗАДНЯЯ СЕПАРАЦИЯ: ПОКАЗАНИЯ, ТЕХНИКА И РЕЗУЛЬТАТЫ // Современные проблемы науки и образования. – 2018. – № 5.;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URL: http://science-education.ru/ru/article/view?id=28025 (дата обращения: 02.10.2019).</w:t>
      </w:r>
    </w:p>
    <w:sectPr w:rsidR="002F3BDA" w:rsidRPr="00AE0A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265F" w14:textId="77777777" w:rsidR="00FB4B74" w:rsidRDefault="00FB4B74" w:rsidP="00AE0A81">
      <w:pPr>
        <w:spacing w:after="0" w:line="240" w:lineRule="auto"/>
      </w:pPr>
      <w:r>
        <w:separator/>
      </w:r>
    </w:p>
  </w:endnote>
  <w:endnote w:type="continuationSeparator" w:id="0">
    <w:p w14:paraId="3B1689FF" w14:textId="77777777" w:rsidR="00FB4B74" w:rsidRDefault="00FB4B74" w:rsidP="00AE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47054"/>
      <w:docPartObj>
        <w:docPartGallery w:val="Page Numbers (Bottom of Page)"/>
        <w:docPartUnique/>
      </w:docPartObj>
    </w:sdtPr>
    <w:sdtEndPr/>
    <w:sdtContent>
      <w:p w14:paraId="333081B8" w14:textId="75099C4B" w:rsidR="00AE0A81" w:rsidRDefault="00AE0A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DE">
          <w:rPr>
            <w:noProof/>
          </w:rPr>
          <w:t>7</w:t>
        </w:r>
        <w:r>
          <w:fldChar w:fldCharType="end"/>
        </w:r>
      </w:p>
    </w:sdtContent>
  </w:sdt>
  <w:p w14:paraId="3F4B0BC1" w14:textId="77777777" w:rsidR="00AE0A81" w:rsidRDefault="00AE0A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07B8" w14:textId="77777777" w:rsidR="00FB4B74" w:rsidRDefault="00FB4B74" w:rsidP="00AE0A81">
      <w:pPr>
        <w:spacing w:after="0" w:line="240" w:lineRule="auto"/>
      </w:pPr>
      <w:r>
        <w:separator/>
      </w:r>
    </w:p>
  </w:footnote>
  <w:footnote w:type="continuationSeparator" w:id="0">
    <w:p w14:paraId="03240894" w14:textId="77777777" w:rsidR="00FB4B74" w:rsidRDefault="00FB4B74" w:rsidP="00AE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7DC"/>
    <w:multiLevelType w:val="hybridMultilevel"/>
    <w:tmpl w:val="712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2"/>
    <w:rsid w:val="00090345"/>
    <w:rsid w:val="000B26AC"/>
    <w:rsid w:val="001110EF"/>
    <w:rsid w:val="00117BA4"/>
    <w:rsid w:val="00130CDE"/>
    <w:rsid w:val="002F3BDA"/>
    <w:rsid w:val="0035299A"/>
    <w:rsid w:val="00365553"/>
    <w:rsid w:val="0036610A"/>
    <w:rsid w:val="00551F13"/>
    <w:rsid w:val="005811C8"/>
    <w:rsid w:val="005E1F50"/>
    <w:rsid w:val="005F09BB"/>
    <w:rsid w:val="007353EC"/>
    <w:rsid w:val="008207D6"/>
    <w:rsid w:val="008C6781"/>
    <w:rsid w:val="009E2550"/>
    <w:rsid w:val="00A973FC"/>
    <w:rsid w:val="00AE0A81"/>
    <w:rsid w:val="00C11267"/>
    <w:rsid w:val="00CD3DE0"/>
    <w:rsid w:val="00CE1076"/>
    <w:rsid w:val="00D706B2"/>
    <w:rsid w:val="00DC3A5D"/>
    <w:rsid w:val="00E52261"/>
    <w:rsid w:val="00E556CF"/>
    <w:rsid w:val="00E7480F"/>
    <w:rsid w:val="00EF29DB"/>
    <w:rsid w:val="00F4373E"/>
    <w:rsid w:val="00FB4B74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2B6"/>
  <w15:chartTrackingRefBased/>
  <w15:docId w15:val="{96821EB9-395E-40C4-9D28-4BFE774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2F3BDA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AE0A81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AE0A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E0A81"/>
    <w:rPr>
      <w:rFonts w:eastAsiaTheme="minorEastAsia"/>
      <w:color w:val="5A5A5A" w:themeColor="text1" w:themeTint="A5"/>
      <w:spacing w:val="15"/>
    </w:rPr>
  </w:style>
  <w:style w:type="paragraph" w:styleId="aa">
    <w:name w:val="TOC Heading"/>
    <w:basedOn w:val="1"/>
    <w:next w:val="a"/>
    <w:uiPriority w:val="39"/>
    <w:unhideWhenUsed/>
    <w:qFormat/>
    <w:rsid w:val="00AE0A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A81"/>
    <w:pPr>
      <w:spacing w:after="100"/>
    </w:pPr>
  </w:style>
  <w:style w:type="character" w:styleId="ab">
    <w:name w:val="Hyperlink"/>
    <w:basedOn w:val="a0"/>
    <w:uiPriority w:val="99"/>
    <w:unhideWhenUsed/>
    <w:rsid w:val="00AE0A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0A81"/>
  </w:style>
  <w:style w:type="paragraph" w:styleId="ae">
    <w:name w:val="footer"/>
    <w:basedOn w:val="a"/>
    <w:link w:val="af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0A81"/>
  </w:style>
  <w:style w:type="character" w:customStyle="1" w:styleId="a6">
    <w:name w:val="Без интервала Знак"/>
    <w:basedOn w:val="a0"/>
    <w:link w:val="a5"/>
    <w:uiPriority w:val="1"/>
    <w:rsid w:val="00AE0A81"/>
  </w:style>
  <w:style w:type="character" w:customStyle="1" w:styleId="30">
    <w:name w:val="Заголовок 3 Знак"/>
    <w:basedOn w:val="a0"/>
    <w:link w:val="3"/>
    <w:uiPriority w:val="9"/>
    <w:semiHidden/>
    <w:rsid w:val="00CE1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CE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9A11-45CD-46BF-B3AC-0FAC416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2019-10-02T03:45:00Z</dcterms:created>
  <dcterms:modified xsi:type="dcterms:W3CDTF">2022-09-29T10:56:00Z</dcterms:modified>
</cp:coreProperties>
</file>