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35" w:rsidRDefault="00AF2E35" w:rsidP="00AF2E35">
      <w:pPr>
        <w:spacing w:after="0"/>
        <w:jc w:val="center"/>
      </w:pPr>
      <w: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>" Министерства здравоохранения Российской Федерации</w:t>
      </w: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center"/>
      </w:pPr>
      <w:r>
        <w:t>Кафедра онкологии и лучевой терапии с курсом ПО</w:t>
      </w: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right"/>
      </w:pPr>
    </w:p>
    <w:p w:rsidR="00AF2E35" w:rsidRDefault="00AF2E35" w:rsidP="00AF2E35">
      <w:pPr>
        <w:spacing w:after="0"/>
        <w:jc w:val="right"/>
      </w:pPr>
    </w:p>
    <w:p w:rsidR="00AF2E35" w:rsidRDefault="00AF2E35" w:rsidP="00AF2E35">
      <w:pPr>
        <w:spacing w:after="0"/>
        <w:jc w:val="right"/>
      </w:pPr>
    </w:p>
    <w:p w:rsidR="00AF2E35" w:rsidRDefault="00AF2E35" w:rsidP="00AF2E35">
      <w:pPr>
        <w:spacing w:after="0"/>
        <w:jc w:val="right"/>
      </w:pPr>
      <w:r>
        <w:t xml:space="preserve"> Заведующий кафедрой:</w:t>
      </w:r>
    </w:p>
    <w:p w:rsidR="00AF2E35" w:rsidRDefault="00AF2E35" w:rsidP="00AF2E35">
      <w:pPr>
        <w:spacing w:after="0"/>
        <w:jc w:val="right"/>
      </w:pPr>
      <w:r>
        <w:t xml:space="preserve">ДМН, профессор </w:t>
      </w:r>
      <w:proofErr w:type="spellStart"/>
      <w:r>
        <w:t>Зуков</w:t>
      </w:r>
      <w:proofErr w:type="spellEnd"/>
      <w:r>
        <w:t xml:space="preserve"> Руслан Александрович</w:t>
      </w: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both"/>
      </w:pPr>
    </w:p>
    <w:p w:rsidR="00AF2E35" w:rsidRPr="002463DE" w:rsidRDefault="00AF2E35" w:rsidP="00AF2E35">
      <w:pPr>
        <w:spacing w:after="0"/>
        <w:jc w:val="center"/>
        <w:rPr>
          <w:sz w:val="56"/>
          <w:szCs w:val="48"/>
        </w:rPr>
      </w:pPr>
      <w:r w:rsidRPr="002463DE">
        <w:rPr>
          <w:sz w:val="56"/>
          <w:szCs w:val="48"/>
        </w:rPr>
        <w:t>РЕФЕРАТ</w:t>
      </w:r>
    </w:p>
    <w:p w:rsidR="00AF2E35" w:rsidRDefault="00AF2E35" w:rsidP="00AF2E35">
      <w:pPr>
        <w:spacing w:after="0"/>
        <w:jc w:val="both"/>
      </w:pPr>
    </w:p>
    <w:p w:rsidR="00AF2E35" w:rsidRDefault="00AF2E35" w:rsidP="00AF2E35">
      <w:pPr>
        <w:spacing w:after="0"/>
        <w:jc w:val="center"/>
      </w:pPr>
      <w:r>
        <w:t xml:space="preserve">«Синдром анорексии-кахексии онкологических больных. </w:t>
      </w:r>
      <w:proofErr w:type="spellStart"/>
      <w:r>
        <w:t>Нутритивная</w:t>
      </w:r>
      <w:proofErr w:type="spellEnd"/>
      <w:r>
        <w:t xml:space="preserve"> поддержка»</w:t>
      </w:r>
    </w:p>
    <w:p w:rsidR="00AF2E35" w:rsidRDefault="00AF2E35" w:rsidP="00412970">
      <w:pPr>
        <w:spacing w:after="0"/>
      </w:pPr>
    </w:p>
    <w:p w:rsidR="00412970" w:rsidRDefault="00412970" w:rsidP="00412970">
      <w:pPr>
        <w:rPr>
          <w:rFonts w:cs="Times New Roman"/>
          <w:szCs w:val="28"/>
        </w:rPr>
      </w:pPr>
    </w:p>
    <w:p w:rsidR="00412970" w:rsidRDefault="00412970" w:rsidP="00412970">
      <w:pPr>
        <w:spacing w:after="0"/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>Выполнил:</w:t>
      </w:r>
    </w:p>
    <w:p w:rsidR="00412970" w:rsidRDefault="00412970" w:rsidP="00412970">
      <w:pPr>
        <w:spacing w:after="0"/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>клинический ординатор 2-го года обучения</w:t>
      </w:r>
    </w:p>
    <w:p w:rsidR="00412970" w:rsidRDefault="00412970" w:rsidP="00412970">
      <w:pPr>
        <w:spacing w:after="0"/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>кафедры онкологии и лучевой терапии с курсом ПО</w:t>
      </w:r>
    </w:p>
    <w:p w:rsidR="00412970" w:rsidRDefault="00412970" w:rsidP="00412970">
      <w:pPr>
        <w:spacing w:after="0"/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Ковалев Иван Александрович </w:t>
      </w:r>
    </w:p>
    <w:p w:rsidR="00412970" w:rsidRDefault="00412970" w:rsidP="00412970">
      <w:pPr>
        <w:rPr>
          <w:rFonts w:cs="Times New Roman"/>
          <w:szCs w:val="28"/>
        </w:rPr>
      </w:pPr>
    </w:p>
    <w:p w:rsidR="00412970" w:rsidRDefault="00412970" w:rsidP="00412970">
      <w:pPr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Проверил: </w:t>
      </w:r>
    </w:p>
    <w:p w:rsidR="00412970" w:rsidRDefault="00412970" w:rsidP="00412970">
      <w:pPr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Заведующий отделением </w:t>
      </w:r>
      <w:proofErr w:type="spellStart"/>
      <w:r>
        <w:rPr>
          <w:rFonts w:cs="Times New Roman"/>
          <w:szCs w:val="28"/>
        </w:rPr>
        <w:t>рентгенхирургических</w:t>
      </w:r>
      <w:proofErr w:type="spellEnd"/>
      <w:r>
        <w:rPr>
          <w:rFonts w:cs="Times New Roman"/>
          <w:szCs w:val="28"/>
        </w:rPr>
        <w:t xml:space="preserve"> методов диагностики и лечения: Мазаев Андрей Владимирович</w:t>
      </w:r>
    </w:p>
    <w:p w:rsidR="00AF2E35" w:rsidRDefault="00AF2E35" w:rsidP="00AF2E35">
      <w:pPr>
        <w:spacing w:after="0"/>
        <w:jc w:val="both"/>
      </w:pPr>
    </w:p>
    <w:p w:rsidR="00AF2E35" w:rsidRDefault="00FA30C0" w:rsidP="00412970">
      <w:pPr>
        <w:spacing w:after="0"/>
        <w:jc w:val="center"/>
      </w:pPr>
      <w:r>
        <w:t>Красноярск</w:t>
      </w:r>
      <w:r w:rsidR="00412970">
        <w:t>,</w:t>
      </w:r>
      <w:r>
        <w:t xml:space="preserve"> 2024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6529846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F2E35" w:rsidRPr="00412970" w:rsidRDefault="00AF2E35" w:rsidP="00AF2E35">
          <w:pPr>
            <w:pStyle w:val="a5"/>
            <w:rPr>
              <w:rStyle w:val="a4"/>
              <w:rFonts w:ascii="Times New Roman" w:eastAsiaTheme="minorHAnsi" w:hAnsi="Times New Roman" w:cstheme="minorBidi"/>
              <w:b/>
              <w:bCs/>
              <w:noProof/>
              <w:sz w:val="24"/>
              <w:szCs w:val="22"/>
              <w:lang w:eastAsia="en-US"/>
            </w:rPr>
          </w:pPr>
          <w:r w:rsidRPr="00412970">
            <w:rPr>
              <w:rStyle w:val="a4"/>
              <w:rFonts w:ascii="Times New Roman" w:eastAsiaTheme="minorHAnsi" w:hAnsi="Times New Roman" w:cstheme="minorBidi"/>
              <w:b/>
              <w:bCs/>
              <w:noProof/>
              <w:sz w:val="24"/>
              <w:szCs w:val="22"/>
              <w:lang w:eastAsia="en-US"/>
            </w:rPr>
            <w:t>Содержание</w:t>
          </w:r>
          <w:bookmarkStart w:id="0" w:name="_GoBack"/>
          <w:bookmarkEnd w:id="0"/>
        </w:p>
        <w:p w:rsidR="007A20F4" w:rsidRPr="007A20F4" w:rsidRDefault="00AF2E3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r w:rsidRPr="007A20F4">
            <w:rPr>
              <w:sz w:val="22"/>
              <w:szCs w:val="24"/>
            </w:rPr>
            <w:fldChar w:fldCharType="begin"/>
          </w:r>
          <w:r w:rsidRPr="007A20F4">
            <w:rPr>
              <w:sz w:val="22"/>
              <w:szCs w:val="24"/>
            </w:rPr>
            <w:instrText xml:space="preserve"> TOC \o "1-3" \h \z \u </w:instrText>
          </w:r>
          <w:r w:rsidRPr="007A20F4">
            <w:rPr>
              <w:sz w:val="22"/>
              <w:szCs w:val="24"/>
            </w:rPr>
            <w:fldChar w:fldCharType="separate"/>
          </w:r>
          <w:hyperlink w:anchor="_Toc136093041" w:history="1">
            <w:r w:rsidR="007A20F4" w:rsidRPr="007A20F4">
              <w:rPr>
                <w:rStyle w:val="a4"/>
                <w:b/>
                <w:bCs/>
                <w:noProof/>
                <w:sz w:val="24"/>
              </w:rPr>
              <w:t>Введение</w:t>
            </w:r>
            <w:r w:rsidR="007A20F4" w:rsidRPr="007A20F4">
              <w:rPr>
                <w:noProof/>
                <w:webHidden/>
                <w:sz w:val="24"/>
              </w:rPr>
              <w:tab/>
            </w:r>
            <w:r w:rsidR="007A20F4" w:rsidRPr="007A20F4">
              <w:rPr>
                <w:noProof/>
                <w:webHidden/>
                <w:sz w:val="24"/>
              </w:rPr>
              <w:fldChar w:fldCharType="begin"/>
            </w:r>
            <w:r w:rsidR="007A20F4" w:rsidRPr="007A20F4">
              <w:rPr>
                <w:noProof/>
                <w:webHidden/>
                <w:sz w:val="24"/>
              </w:rPr>
              <w:instrText xml:space="preserve"> PAGEREF _Toc136093041 \h </w:instrText>
            </w:r>
            <w:r w:rsidR="007A20F4" w:rsidRPr="007A20F4">
              <w:rPr>
                <w:noProof/>
                <w:webHidden/>
                <w:sz w:val="24"/>
              </w:rPr>
            </w:r>
            <w:r w:rsidR="007A20F4"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3</w:t>
            </w:r>
            <w:r w:rsidR="007A20F4"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41297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42" w:history="1">
            <w:r w:rsidR="007A20F4" w:rsidRPr="007A20F4">
              <w:rPr>
                <w:rStyle w:val="a4"/>
                <w:b/>
                <w:bCs/>
                <w:noProof/>
                <w:sz w:val="24"/>
              </w:rPr>
              <w:t>Синдром анорексии-кахексии онкологических больных – механизм развития</w:t>
            </w:r>
            <w:r w:rsidR="007A20F4" w:rsidRPr="007A20F4">
              <w:rPr>
                <w:noProof/>
                <w:webHidden/>
                <w:sz w:val="24"/>
              </w:rPr>
              <w:tab/>
            </w:r>
            <w:r w:rsidR="007A20F4" w:rsidRPr="007A20F4">
              <w:rPr>
                <w:noProof/>
                <w:webHidden/>
                <w:sz w:val="24"/>
              </w:rPr>
              <w:fldChar w:fldCharType="begin"/>
            </w:r>
            <w:r w:rsidR="007A20F4" w:rsidRPr="007A20F4">
              <w:rPr>
                <w:noProof/>
                <w:webHidden/>
                <w:sz w:val="24"/>
              </w:rPr>
              <w:instrText xml:space="preserve"> PAGEREF _Toc136093042 \h </w:instrText>
            </w:r>
            <w:r w:rsidR="007A20F4" w:rsidRPr="007A20F4">
              <w:rPr>
                <w:noProof/>
                <w:webHidden/>
                <w:sz w:val="24"/>
              </w:rPr>
            </w:r>
            <w:r w:rsidR="007A20F4"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4</w:t>
            </w:r>
            <w:r w:rsidR="007A20F4"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41297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43" w:history="1">
            <w:r w:rsidR="007A20F4" w:rsidRPr="007A20F4">
              <w:rPr>
                <w:rStyle w:val="a4"/>
                <w:b/>
                <w:bCs/>
                <w:noProof/>
                <w:sz w:val="24"/>
              </w:rPr>
              <w:t>Определение стадии кахексии</w:t>
            </w:r>
            <w:r w:rsidR="007A20F4" w:rsidRPr="007A20F4">
              <w:rPr>
                <w:noProof/>
                <w:webHidden/>
                <w:sz w:val="24"/>
              </w:rPr>
              <w:tab/>
            </w:r>
            <w:r w:rsidR="007A20F4" w:rsidRPr="007A20F4">
              <w:rPr>
                <w:noProof/>
                <w:webHidden/>
                <w:sz w:val="24"/>
              </w:rPr>
              <w:fldChar w:fldCharType="begin"/>
            </w:r>
            <w:r w:rsidR="007A20F4" w:rsidRPr="007A20F4">
              <w:rPr>
                <w:noProof/>
                <w:webHidden/>
                <w:sz w:val="24"/>
              </w:rPr>
              <w:instrText xml:space="preserve"> PAGEREF _Toc136093043 \h </w:instrText>
            </w:r>
            <w:r w:rsidR="007A20F4" w:rsidRPr="007A20F4">
              <w:rPr>
                <w:noProof/>
                <w:webHidden/>
                <w:sz w:val="24"/>
              </w:rPr>
            </w:r>
            <w:r w:rsidR="007A20F4"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4</w:t>
            </w:r>
            <w:r w:rsidR="007A20F4"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41297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44" w:history="1">
            <w:r w:rsidR="007A20F4" w:rsidRPr="007A20F4">
              <w:rPr>
                <w:rStyle w:val="a4"/>
                <w:b/>
                <w:bCs/>
                <w:noProof/>
                <w:sz w:val="24"/>
              </w:rPr>
              <w:t>Диагностика САКОБ</w:t>
            </w:r>
            <w:r w:rsidR="007A20F4" w:rsidRPr="007A20F4">
              <w:rPr>
                <w:noProof/>
                <w:webHidden/>
                <w:sz w:val="24"/>
              </w:rPr>
              <w:tab/>
            </w:r>
            <w:r w:rsidR="007A20F4" w:rsidRPr="007A20F4">
              <w:rPr>
                <w:noProof/>
                <w:webHidden/>
                <w:sz w:val="24"/>
              </w:rPr>
              <w:fldChar w:fldCharType="begin"/>
            </w:r>
            <w:r w:rsidR="007A20F4" w:rsidRPr="007A20F4">
              <w:rPr>
                <w:noProof/>
                <w:webHidden/>
                <w:sz w:val="24"/>
              </w:rPr>
              <w:instrText xml:space="preserve"> PAGEREF _Toc136093044 \h </w:instrText>
            </w:r>
            <w:r w:rsidR="007A20F4" w:rsidRPr="007A20F4">
              <w:rPr>
                <w:noProof/>
                <w:webHidden/>
                <w:sz w:val="24"/>
              </w:rPr>
            </w:r>
            <w:r w:rsidR="007A20F4"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5</w:t>
            </w:r>
            <w:r w:rsidR="007A20F4"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41297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45" w:history="1">
            <w:r w:rsidR="007A20F4" w:rsidRPr="007A20F4">
              <w:rPr>
                <w:rStyle w:val="a4"/>
                <w:b/>
                <w:bCs/>
                <w:noProof/>
                <w:sz w:val="24"/>
              </w:rPr>
              <w:t>Общие аспекты лечения САКОБ</w:t>
            </w:r>
            <w:r w:rsidR="007A20F4" w:rsidRPr="007A20F4">
              <w:rPr>
                <w:noProof/>
                <w:webHidden/>
                <w:sz w:val="24"/>
              </w:rPr>
              <w:tab/>
            </w:r>
            <w:r w:rsidR="007A20F4" w:rsidRPr="007A20F4">
              <w:rPr>
                <w:noProof/>
                <w:webHidden/>
                <w:sz w:val="24"/>
              </w:rPr>
              <w:fldChar w:fldCharType="begin"/>
            </w:r>
            <w:r w:rsidR="007A20F4" w:rsidRPr="007A20F4">
              <w:rPr>
                <w:noProof/>
                <w:webHidden/>
                <w:sz w:val="24"/>
              </w:rPr>
              <w:instrText xml:space="preserve"> PAGEREF _Toc136093045 \h </w:instrText>
            </w:r>
            <w:r w:rsidR="007A20F4" w:rsidRPr="007A20F4">
              <w:rPr>
                <w:noProof/>
                <w:webHidden/>
                <w:sz w:val="24"/>
              </w:rPr>
            </w:r>
            <w:r w:rsidR="007A20F4"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6</w:t>
            </w:r>
            <w:r w:rsidR="007A20F4"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41297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46" w:history="1">
            <w:r w:rsidR="007A20F4" w:rsidRPr="007A20F4">
              <w:rPr>
                <w:rStyle w:val="a4"/>
                <w:b/>
                <w:bCs/>
                <w:noProof/>
                <w:sz w:val="24"/>
              </w:rPr>
              <w:t>Фармакологическая терапия САКОБ</w:t>
            </w:r>
            <w:r w:rsidR="007A20F4" w:rsidRPr="007A20F4">
              <w:rPr>
                <w:noProof/>
                <w:webHidden/>
                <w:sz w:val="24"/>
              </w:rPr>
              <w:tab/>
            </w:r>
            <w:r w:rsidR="007A20F4" w:rsidRPr="007A20F4">
              <w:rPr>
                <w:noProof/>
                <w:webHidden/>
                <w:sz w:val="24"/>
              </w:rPr>
              <w:fldChar w:fldCharType="begin"/>
            </w:r>
            <w:r w:rsidR="007A20F4" w:rsidRPr="007A20F4">
              <w:rPr>
                <w:noProof/>
                <w:webHidden/>
                <w:sz w:val="24"/>
              </w:rPr>
              <w:instrText xml:space="preserve"> PAGEREF _Toc136093046 \h </w:instrText>
            </w:r>
            <w:r w:rsidR="007A20F4" w:rsidRPr="007A20F4">
              <w:rPr>
                <w:noProof/>
                <w:webHidden/>
                <w:sz w:val="24"/>
              </w:rPr>
            </w:r>
            <w:r w:rsidR="007A20F4"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6</w:t>
            </w:r>
            <w:r w:rsidR="007A20F4"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41297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47" w:history="1">
            <w:r w:rsidR="007A20F4" w:rsidRPr="007A20F4">
              <w:rPr>
                <w:rStyle w:val="a4"/>
                <w:b/>
                <w:bCs/>
                <w:noProof/>
                <w:sz w:val="24"/>
              </w:rPr>
              <w:t>Принципы и цели нутритивной поддержки у онкологических больных</w:t>
            </w:r>
            <w:r w:rsidR="007A20F4" w:rsidRPr="007A20F4">
              <w:rPr>
                <w:noProof/>
                <w:webHidden/>
                <w:sz w:val="24"/>
              </w:rPr>
              <w:tab/>
            </w:r>
            <w:r w:rsidR="007A20F4" w:rsidRPr="007A20F4">
              <w:rPr>
                <w:noProof/>
                <w:webHidden/>
                <w:sz w:val="24"/>
              </w:rPr>
              <w:fldChar w:fldCharType="begin"/>
            </w:r>
            <w:r w:rsidR="007A20F4" w:rsidRPr="007A20F4">
              <w:rPr>
                <w:noProof/>
                <w:webHidden/>
                <w:sz w:val="24"/>
              </w:rPr>
              <w:instrText xml:space="preserve"> PAGEREF _Toc136093047 \h </w:instrText>
            </w:r>
            <w:r w:rsidR="007A20F4" w:rsidRPr="007A20F4">
              <w:rPr>
                <w:noProof/>
                <w:webHidden/>
                <w:sz w:val="24"/>
              </w:rPr>
            </w:r>
            <w:r w:rsidR="007A20F4"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7</w:t>
            </w:r>
            <w:r w:rsidR="007A20F4"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41297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48" w:history="1">
            <w:r w:rsidR="007A20F4" w:rsidRPr="007A20F4">
              <w:rPr>
                <w:rStyle w:val="a4"/>
                <w:b/>
                <w:bCs/>
                <w:noProof/>
                <w:sz w:val="24"/>
              </w:rPr>
              <w:t>Показания к нутритивной поддержке</w:t>
            </w:r>
            <w:r w:rsidR="007A20F4" w:rsidRPr="007A20F4">
              <w:rPr>
                <w:noProof/>
                <w:webHidden/>
                <w:sz w:val="24"/>
              </w:rPr>
              <w:tab/>
            </w:r>
            <w:r w:rsidR="007A20F4" w:rsidRPr="007A20F4">
              <w:rPr>
                <w:noProof/>
                <w:webHidden/>
                <w:sz w:val="24"/>
              </w:rPr>
              <w:fldChar w:fldCharType="begin"/>
            </w:r>
            <w:r w:rsidR="007A20F4" w:rsidRPr="007A20F4">
              <w:rPr>
                <w:noProof/>
                <w:webHidden/>
                <w:sz w:val="24"/>
              </w:rPr>
              <w:instrText xml:space="preserve"> PAGEREF _Toc136093048 \h </w:instrText>
            </w:r>
            <w:r w:rsidR="007A20F4" w:rsidRPr="007A20F4">
              <w:rPr>
                <w:noProof/>
                <w:webHidden/>
                <w:sz w:val="24"/>
              </w:rPr>
            </w:r>
            <w:r w:rsidR="007A20F4"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8</w:t>
            </w:r>
            <w:r w:rsidR="007A20F4"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41297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49" w:history="1">
            <w:r w:rsidR="007A20F4" w:rsidRPr="007A20F4">
              <w:rPr>
                <w:rStyle w:val="a4"/>
                <w:b/>
                <w:bCs/>
                <w:noProof/>
                <w:sz w:val="24"/>
              </w:rPr>
              <w:t>Виды нутритивной поддержки</w:t>
            </w:r>
            <w:r w:rsidR="007A20F4" w:rsidRPr="007A20F4">
              <w:rPr>
                <w:noProof/>
                <w:webHidden/>
                <w:sz w:val="24"/>
              </w:rPr>
              <w:tab/>
            </w:r>
            <w:r w:rsidR="007A20F4" w:rsidRPr="007A20F4">
              <w:rPr>
                <w:noProof/>
                <w:webHidden/>
                <w:sz w:val="24"/>
              </w:rPr>
              <w:fldChar w:fldCharType="begin"/>
            </w:r>
            <w:r w:rsidR="007A20F4" w:rsidRPr="007A20F4">
              <w:rPr>
                <w:noProof/>
                <w:webHidden/>
                <w:sz w:val="24"/>
              </w:rPr>
              <w:instrText xml:space="preserve"> PAGEREF _Toc136093049 \h </w:instrText>
            </w:r>
            <w:r w:rsidR="007A20F4" w:rsidRPr="007A20F4">
              <w:rPr>
                <w:noProof/>
                <w:webHidden/>
                <w:sz w:val="24"/>
              </w:rPr>
            </w:r>
            <w:r w:rsidR="007A20F4"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8</w:t>
            </w:r>
            <w:r w:rsidR="007A20F4"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41297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50" w:history="1">
            <w:r w:rsidR="007A20F4" w:rsidRPr="007A20F4">
              <w:rPr>
                <w:rStyle w:val="a4"/>
                <w:b/>
                <w:bCs/>
                <w:noProof/>
                <w:sz w:val="24"/>
              </w:rPr>
              <w:t>Нутритивная поддержка при химиотерапии и лучевой терапии</w:t>
            </w:r>
            <w:r w:rsidR="007A20F4" w:rsidRPr="007A20F4">
              <w:rPr>
                <w:noProof/>
                <w:webHidden/>
                <w:sz w:val="24"/>
              </w:rPr>
              <w:tab/>
            </w:r>
            <w:r w:rsidR="007A20F4" w:rsidRPr="007A20F4">
              <w:rPr>
                <w:noProof/>
                <w:webHidden/>
                <w:sz w:val="24"/>
              </w:rPr>
              <w:fldChar w:fldCharType="begin"/>
            </w:r>
            <w:r w:rsidR="007A20F4" w:rsidRPr="007A20F4">
              <w:rPr>
                <w:noProof/>
                <w:webHidden/>
                <w:sz w:val="24"/>
              </w:rPr>
              <w:instrText xml:space="preserve"> PAGEREF _Toc136093050 \h </w:instrText>
            </w:r>
            <w:r w:rsidR="007A20F4" w:rsidRPr="007A20F4">
              <w:rPr>
                <w:noProof/>
                <w:webHidden/>
                <w:sz w:val="24"/>
              </w:rPr>
            </w:r>
            <w:r w:rsidR="007A20F4"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10</w:t>
            </w:r>
            <w:r w:rsidR="007A20F4"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41297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51" w:history="1">
            <w:r w:rsidR="007A20F4" w:rsidRPr="007A20F4">
              <w:rPr>
                <w:rStyle w:val="a4"/>
                <w:b/>
                <w:bCs/>
                <w:noProof/>
                <w:sz w:val="24"/>
              </w:rPr>
              <w:t>Мониторинг эффективности нутритивной поддержки</w:t>
            </w:r>
            <w:r w:rsidR="007A20F4" w:rsidRPr="007A20F4">
              <w:rPr>
                <w:noProof/>
                <w:webHidden/>
                <w:sz w:val="24"/>
              </w:rPr>
              <w:tab/>
            </w:r>
            <w:r w:rsidR="007A20F4" w:rsidRPr="007A20F4">
              <w:rPr>
                <w:noProof/>
                <w:webHidden/>
                <w:sz w:val="24"/>
              </w:rPr>
              <w:fldChar w:fldCharType="begin"/>
            </w:r>
            <w:r w:rsidR="007A20F4" w:rsidRPr="007A20F4">
              <w:rPr>
                <w:noProof/>
                <w:webHidden/>
                <w:sz w:val="24"/>
              </w:rPr>
              <w:instrText xml:space="preserve"> PAGEREF _Toc136093051 \h </w:instrText>
            </w:r>
            <w:r w:rsidR="007A20F4" w:rsidRPr="007A20F4">
              <w:rPr>
                <w:noProof/>
                <w:webHidden/>
                <w:sz w:val="24"/>
              </w:rPr>
            </w:r>
            <w:r w:rsidR="007A20F4"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12</w:t>
            </w:r>
            <w:r w:rsidR="007A20F4"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41297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52" w:history="1">
            <w:r w:rsidR="007A20F4" w:rsidRPr="007A20F4">
              <w:rPr>
                <w:rStyle w:val="a4"/>
                <w:b/>
                <w:bCs/>
                <w:noProof/>
                <w:sz w:val="24"/>
              </w:rPr>
              <w:t>Заключение</w:t>
            </w:r>
            <w:r w:rsidR="007A20F4" w:rsidRPr="007A20F4">
              <w:rPr>
                <w:noProof/>
                <w:webHidden/>
                <w:sz w:val="24"/>
              </w:rPr>
              <w:tab/>
            </w:r>
            <w:r w:rsidR="007A20F4" w:rsidRPr="007A20F4">
              <w:rPr>
                <w:noProof/>
                <w:webHidden/>
                <w:sz w:val="24"/>
              </w:rPr>
              <w:fldChar w:fldCharType="begin"/>
            </w:r>
            <w:r w:rsidR="007A20F4" w:rsidRPr="007A20F4">
              <w:rPr>
                <w:noProof/>
                <w:webHidden/>
                <w:sz w:val="24"/>
              </w:rPr>
              <w:instrText xml:space="preserve"> PAGEREF _Toc136093052 \h </w:instrText>
            </w:r>
            <w:r w:rsidR="007A20F4" w:rsidRPr="007A20F4">
              <w:rPr>
                <w:noProof/>
                <w:webHidden/>
                <w:sz w:val="24"/>
              </w:rPr>
            </w:r>
            <w:r w:rsidR="007A20F4"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13</w:t>
            </w:r>
            <w:r w:rsidR="007A20F4"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7A20F4" w:rsidRPr="007A20F4" w:rsidRDefault="0041297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3053" w:history="1">
            <w:r w:rsidR="007A20F4" w:rsidRPr="007A20F4">
              <w:rPr>
                <w:rStyle w:val="a4"/>
                <w:b/>
                <w:bCs/>
                <w:noProof/>
                <w:sz w:val="24"/>
              </w:rPr>
              <w:t>Список литературы</w:t>
            </w:r>
            <w:r w:rsidR="007A20F4" w:rsidRPr="007A20F4">
              <w:rPr>
                <w:noProof/>
                <w:webHidden/>
                <w:sz w:val="24"/>
              </w:rPr>
              <w:tab/>
            </w:r>
            <w:r w:rsidR="007A20F4" w:rsidRPr="007A20F4">
              <w:rPr>
                <w:noProof/>
                <w:webHidden/>
                <w:sz w:val="24"/>
              </w:rPr>
              <w:fldChar w:fldCharType="begin"/>
            </w:r>
            <w:r w:rsidR="007A20F4" w:rsidRPr="007A20F4">
              <w:rPr>
                <w:noProof/>
                <w:webHidden/>
                <w:sz w:val="24"/>
              </w:rPr>
              <w:instrText xml:space="preserve"> PAGEREF _Toc136093053 \h </w:instrText>
            </w:r>
            <w:r w:rsidR="007A20F4" w:rsidRPr="007A20F4">
              <w:rPr>
                <w:noProof/>
                <w:webHidden/>
                <w:sz w:val="24"/>
              </w:rPr>
            </w:r>
            <w:r w:rsidR="007A20F4" w:rsidRPr="007A20F4">
              <w:rPr>
                <w:noProof/>
                <w:webHidden/>
                <w:sz w:val="24"/>
              </w:rPr>
              <w:fldChar w:fldCharType="separate"/>
            </w:r>
            <w:r w:rsidR="005D6B26">
              <w:rPr>
                <w:noProof/>
                <w:webHidden/>
                <w:sz w:val="24"/>
              </w:rPr>
              <w:t>14</w:t>
            </w:r>
            <w:r w:rsidR="007A20F4" w:rsidRPr="007A20F4">
              <w:rPr>
                <w:noProof/>
                <w:webHidden/>
                <w:sz w:val="24"/>
              </w:rPr>
              <w:fldChar w:fldCharType="end"/>
            </w:r>
          </w:hyperlink>
        </w:p>
        <w:p w:rsidR="00AF2E35" w:rsidRDefault="00AF2E35" w:rsidP="00AF2E35">
          <w:r w:rsidRPr="007A20F4">
            <w:rPr>
              <w:b/>
              <w:bCs/>
              <w:sz w:val="22"/>
              <w:szCs w:val="24"/>
            </w:rPr>
            <w:fldChar w:fldCharType="end"/>
          </w:r>
        </w:p>
      </w:sdtContent>
    </w:sdt>
    <w:p w:rsidR="00AF2E35" w:rsidRDefault="00AF2E35" w:rsidP="00AF2E35">
      <w:pPr>
        <w:spacing w:line="259" w:lineRule="auto"/>
      </w:pPr>
      <w:r>
        <w:br w:type="page"/>
      </w:r>
    </w:p>
    <w:p w:rsidR="00AF2E35" w:rsidRPr="00393A0C" w:rsidRDefault="00AF2E35" w:rsidP="00AF2E35">
      <w:pPr>
        <w:pStyle w:val="1"/>
        <w:spacing w:after="120"/>
        <w:rPr>
          <w:b/>
          <w:bCs/>
          <w:color w:val="auto"/>
        </w:rPr>
      </w:pPr>
      <w:bookmarkStart w:id="1" w:name="_Toc136093041"/>
      <w:r w:rsidRPr="003B4C31">
        <w:rPr>
          <w:b/>
          <w:bCs/>
          <w:color w:val="auto"/>
          <w:sz w:val="28"/>
          <w:szCs w:val="28"/>
        </w:rPr>
        <w:lastRenderedPageBreak/>
        <w:t>Введение</w:t>
      </w:r>
      <w:bookmarkEnd w:id="1"/>
    </w:p>
    <w:p w:rsidR="00AF2E35" w:rsidRDefault="00AF2E35" w:rsidP="00AF2E35">
      <w:pPr>
        <w:spacing w:line="259" w:lineRule="auto"/>
        <w:ind w:firstLine="708"/>
        <w:rPr>
          <w:sz w:val="24"/>
          <w:szCs w:val="20"/>
          <w:lang w:bidi="ru-RU"/>
        </w:rPr>
      </w:pPr>
      <w:r w:rsidRPr="00AF2E35">
        <w:rPr>
          <w:sz w:val="24"/>
          <w:szCs w:val="20"/>
          <w:lang w:bidi="ru-RU"/>
        </w:rPr>
        <w:t>Кахексия в контексте онкологической патологии представляет собой сложный метаболический синдром, обусловленный опухолевым заболеванием и характеризующийся потерей мышечной массы в сочетани</w:t>
      </w:r>
      <w:r>
        <w:rPr>
          <w:sz w:val="24"/>
          <w:szCs w:val="20"/>
          <w:lang w:bidi="ru-RU"/>
        </w:rPr>
        <w:t>и или без потери жировой ткани.</w:t>
      </w:r>
    </w:p>
    <w:p w:rsidR="00AF2E35" w:rsidRDefault="00AF2E35" w:rsidP="00AF2E35">
      <w:pPr>
        <w:spacing w:line="259" w:lineRule="auto"/>
        <w:ind w:firstLine="708"/>
        <w:rPr>
          <w:sz w:val="24"/>
          <w:szCs w:val="20"/>
          <w:lang w:bidi="ru-RU"/>
        </w:rPr>
      </w:pPr>
      <w:r w:rsidRPr="00AF2E35">
        <w:rPr>
          <w:sz w:val="24"/>
          <w:szCs w:val="20"/>
          <w:lang w:bidi="ru-RU"/>
        </w:rPr>
        <w:t xml:space="preserve">С кахексией часто связаны анорексия, хронический воспалительный системный ответ, </w:t>
      </w:r>
      <w:proofErr w:type="spellStart"/>
      <w:r w:rsidRPr="00AF2E35">
        <w:rPr>
          <w:sz w:val="24"/>
          <w:szCs w:val="20"/>
          <w:lang w:bidi="ru-RU"/>
        </w:rPr>
        <w:t>инсулинорезистентность</w:t>
      </w:r>
      <w:proofErr w:type="spellEnd"/>
      <w:r w:rsidRPr="00AF2E35">
        <w:rPr>
          <w:sz w:val="24"/>
          <w:szCs w:val="20"/>
          <w:lang w:bidi="ru-RU"/>
        </w:rPr>
        <w:t xml:space="preserve"> и катаболизм (комплекс метаболических нарушений, обусловленных использованием тканевых белков для покрытия высоких </w:t>
      </w:r>
      <w:proofErr w:type="spellStart"/>
      <w:r w:rsidRPr="00AF2E35">
        <w:rPr>
          <w:sz w:val="24"/>
          <w:szCs w:val="20"/>
          <w:lang w:bidi="ru-RU"/>
        </w:rPr>
        <w:t>энерготрат</w:t>
      </w:r>
      <w:proofErr w:type="spellEnd"/>
      <w:r w:rsidRPr="00AF2E35">
        <w:rPr>
          <w:sz w:val="24"/>
          <w:szCs w:val="20"/>
          <w:lang w:bidi="ru-RU"/>
        </w:rPr>
        <w:t xml:space="preserve"> организма). Кахексия у онкологического больного отличается от простого голодания, возрастной потери мышечной массы, первичной депрессии, нарушения всасывания и гипертиреоза, и связана с прогрессированием опухолевого п</w:t>
      </w:r>
      <w:r>
        <w:rPr>
          <w:sz w:val="24"/>
          <w:szCs w:val="20"/>
          <w:lang w:bidi="ru-RU"/>
        </w:rPr>
        <w:t>роцесса.</w:t>
      </w:r>
    </w:p>
    <w:p w:rsidR="00AF2E35" w:rsidRPr="00AF2E35" w:rsidRDefault="00AF2E35" w:rsidP="00AF2E35">
      <w:pPr>
        <w:spacing w:line="259" w:lineRule="auto"/>
        <w:ind w:firstLine="708"/>
        <w:rPr>
          <w:sz w:val="24"/>
          <w:szCs w:val="20"/>
          <w:lang w:bidi="ru-RU"/>
        </w:rPr>
      </w:pPr>
      <w:proofErr w:type="spellStart"/>
      <w:r w:rsidRPr="00AF2E35">
        <w:rPr>
          <w:sz w:val="24"/>
          <w:szCs w:val="20"/>
          <w:lang w:bidi="ru-RU"/>
        </w:rPr>
        <w:t>Нутритивная</w:t>
      </w:r>
      <w:proofErr w:type="spellEnd"/>
      <w:r w:rsidRPr="00AF2E35">
        <w:rPr>
          <w:sz w:val="24"/>
          <w:szCs w:val="20"/>
          <w:lang w:bidi="ru-RU"/>
        </w:rPr>
        <w:t xml:space="preserve"> поддержка — это процесс обеспечения полноценного питания больных с использованием специальных средств, максимально сбалансированных в количественном и качественном соотношении. </w:t>
      </w:r>
      <w:proofErr w:type="spellStart"/>
      <w:r w:rsidRPr="00AF2E35">
        <w:rPr>
          <w:sz w:val="24"/>
          <w:szCs w:val="20"/>
          <w:lang w:bidi="ru-RU"/>
        </w:rPr>
        <w:t>Нутритивная</w:t>
      </w:r>
      <w:proofErr w:type="spellEnd"/>
      <w:r w:rsidRPr="00AF2E35">
        <w:rPr>
          <w:sz w:val="24"/>
          <w:szCs w:val="20"/>
          <w:lang w:bidi="ru-RU"/>
        </w:rPr>
        <w:t xml:space="preserve"> поддержка необходима онкологическим больным не только для поддержания метаболических резервов организма, но и для повышения его устойчивости к лечению (хирургическому, лекарственному, лучевому).</w:t>
      </w:r>
    </w:p>
    <w:p w:rsidR="00AF2E35" w:rsidRDefault="00AF2E35" w:rsidP="00AF2E35">
      <w:pPr>
        <w:spacing w:line="259" w:lineRule="auto"/>
      </w:pPr>
      <w:r>
        <w:br w:type="page"/>
      </w:r>
    </w:p>
    <w:p w:rsidR="003443B9" w:rsidRDefault="003443B9" w:rsidP="00AF2E35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2" w:name="_Toc136093042"/>
      <w:r>
        <w:rPr>
          <w:b/>
          <w:bCs/>
          <w:color w:val="auto"/>
          <w:sz w:val="28"/>
          <w:szCs w:val="28"/>
        </w:rPr>
        <w:lastRenderedPageBreak/>
        <w:t>Синдром анорексии-кахексии онкологических больных – механизм развития</w:t>
      </w:r>
      <w:bookmarkEnd w:id="2"/>
    </w:p>
    <w:p w:rsidR="003443B9" w:rsidRDefault="003443B9" w:rsidP="003443B9">
      <w:pPr>
        <w:ind w:firstLine="708"/>
        <w:rPr>
          <w:sz w:val="24"/>
          <w:lang w:bidi="ru-RU"/>
        </w:rPr>
      </w:pPr>
      <w:r w:rsidRPr="003443B9">
        <w:rPr>
          <w:sz w:val="24"/>
          <w:lang w:bidi="ru-RU"/>
        </w:rPr>
        <w:t xml:space="preserve">Большое количество наблюдений указывает на роль полипептидов, выделяемых, в основном, иммунными клетками, цитокинов, инициирующих различные метаболические изменения, связанные, прежде всего с </w:t>
      </w:r>
      <w:proofErr w:type="spellStart"/>
      <w:r w:rsidRPr="003443B9">
        <w:rPr>
          <w:sz w:val="24"/>
          <w:lang w:bidi="ru-RU"/>
        </w:rPr>
        <w:t>гиперметаболизмом</w:t>
      </w:r>
      <w:proofErr w:type="spellEnd"/>
      <w:r w:rsidRPr="003443B9">
        <w:rPr>
          <w:sz w:val="24"/>
          <w:lang w:bidi="ru-RU"/>
        </w:rPr>
        <w:t>, который характерен для онкологического процесса. Эта хроническая системная воспалительная реакция может играть центральную роль в патогенезе развития кахексии, однако, не следует забывать о много</w:t>
      </w:r>
      <w:r>
        <w:rPr>
          <w:sz w:val="24"/>
          <w:lang w:bidi="ru-RU"/>
        </w:rPr>
        <w:t>факторности этиологии кахексии.</w:t>
      </w:r>
    </w:p>
    <w:p w:rsidR="003443B9" w:rsidRDefault="003443B9" w:rsidP="003443B9">
      <w:pPr>
        <w:ind w:firstLine="708"/>
        <w:rPr>
          <w:sz w:val="24"/>
          <w:lang w:bidi="ru-RU"/>
        </w:rPr>
      </w:pPr>
      <w:r w:rsidRPr="003443B9">
        <w:rPr>
          <w:sz w:val="24"/>
          <w:lang w:bidi="ru-RU"/>
        </w:rPr>
        <w:t xml:space="preserve">Несколько исследований, посвящённых механизмам, лежащим в основе обмена веществ и изменения состава тканей, наблюдаемых при кахексии у онкологических пациентов, выявили потенциально важную роль опухоль-ассоциированных субстанций, индуцирующих развитие кахексии, мишенью которых, как представляется, являются скелетные мышцы. В частности, одной из причин деградации белков при прогрессирующей кахексии у онкологического больного может быть </w:t>
      </w:r>
      <w:proofErr w:type="spellStart"/>
      <w:r w:rsidRPr="003443B9">
        <w:rPr>
          <w:sz w:val="24"/>
          <w:lang w:bidi="ru-RU"/>
        </w:rPr>
        <w:t>убиквитин-протеасомный</w:t>
      </w:r>
      <w:proofErr w:type="spellEnd"/>
      <w:r w:rsidRPr="003443B9">
        <w:rPr>
          <w:sz w:val="24"/>
          <w:lang w:bidi="ru-RU"/>
        </w:rPr>
        <w:t xml:space="preserve"> путь.</w:t>
      </w:r>
    </w:p>
    <w:p w:rsidR="003443B9" w:rsidRDefault="003443B9" w:rsidP="003443B9">
      <w:pPr>
        <w:ind w:firstLine="708"/>
        <w:rPr>
          <w:sz w:val="24"/>
          <w:lang w:bidi="ru-RU"/>
        </w:rPr>
      </w:pPr>
      <w:r w:rsidRPr="003443B9">
        <w:rPr>
          <w:sz w:val="24"/>
          <w:lang w:bidi="ru-RU"/>
        </w:rPr>
        <w:t xml:space="preserve">Анорексия, т. е. отсутствие аппетита, часто наблюдается у пациентов со многими видами хронических заболеваний на поздней стадии (например, сердечная недостаточность, рак, хроническая почечная недостаточность, хроническая </w:t>
      </w:r>
      <w:proofErr w:type="spellStart"/>
      <w:r w:rsidRPr="003443B9">
        <w:rPr>
          <w:sz w:val="24"/>
          <w:lang w:bidi="ru-RU"/>
        </w:rPr>
        <w:t>обструктивная</w:t>
      </w:r>
      <w:proofErr w:type="spellEnd"/>
      <w:r w:rsidRPr="003443B9">
        <w:rPr>
          <w:sz w:val="24"/>
          <w:lang w:bidi="ru-RU"/>
        </w:rPr>
        <w:t xml:space="preserve"> болезнь лёгких). Анорексия, возникающая в условиях онкологического заболевания, может являться важной адаптивной реакцией, позволяющей организму мобилизовать энергетические ресурсы для поддержания метаболизма, необходимого для адекватного иммунного ответа и минимизации повреждений, </w:t>
      </w:r>
      <w:r>
        <w:rPr>
          <w:sz w:val="24"/>
          <w:lang w:bidi="ru-RU"/>
        </w:rPr>
        <w:t>связанных с основным процессом.</w:t>
      </w:r>
    </w:p>
    <w:p w:rsidR="003443B9" w:rsidRPr="003443B9" w:rsidRDefault="003443B9" w:rsidP="003443B9">
      <w:pPr>
        <w:ind w:firstLine="708"/>
      </w:pPr>
      <w:r w:rsidRPr="003443B9">
        <w:rPr>
          <w:sz w:val="24"/>
          <w:lang w:bidi="ru-RU"/>
        </w:rPr>
        <w:t>Отсутствие аппетита может быть также следствием противоопухолевого лечения,</w:t>
      </w:r>
      <w:r w:rsidRPr="003443B9">
        <w:rPr>
          <w:sz w:val="24"/>
        </w:rPr>
        <w:t xml:space="preserve"> </w:t>
      </w:r>
      <w:r w:rsidRPr="003443B9">
        <w:rPr>
          <w:sz w:val="24"/>
          <w:lang w:bidi="ru-RU"/>
        </w:rPr>
        <w:t xml:space="preserve">изменения вкусовых ощущений, сухости во рту, тошноты, нарушения моторики ЖКТ, включая </w:t>
      </w:r>
      <w:proofErr w:type="spellStart"/>
      <w:r w:rsidRPr="003443B9">
        <w:rPr>
          <w:sz w:val="24"/>
          <w:lang w:bidi="ru-RU"/>
        </w:rPr>
        <w:t>гастропарез</w:t>
      </w:r>
      <w:proofErr w:type="spellEnd"/>
      <w:r w:rsidRPr="003443B9">
        <w:rPr>
          <w:sz w:val="24"/>
          <w:lang w:bidi="ru-RU"/>
        </w:rPr>
        <w:t xml:space="preserve"> и </w:t>
      </w:r>
      <w:proofErr w:type="spellStart"/>
      <w:r w:rsidRPr="003443B9">
        <w:rPr>
          <w:sz w:val="24"/>
          <w:lang w:bidi="ru-RU"/>
        </w:rPr>
        <w:t>констипацию</w:t>
      </w:r>
      <w:proofErr w:type="spellEnd"/>
      <w:r w:rsidRPr="003443B9">
        <w:rPr>
          <w:sz w:val="24"/>
          <w:lang w:bidi="ru-RU"/>
        </w:rPr>
        <w:t xml:space="preserve">, хронической усталости, депрессии, хронического болевого синдрома. Эти симптомы называются «вторичными симптомами воздействия на питание». В связи с тесной взаимосвязью кахексии и анорексии в 2000-х годах было сформировано </w:t>
      </w:r>
      <w:r w:rsidRPr="003443B9">
        <w:rPr>
          <w:b/>
          <w:sz w:val="24"/>
          <w:lang w:bidi="ru-RU"/>
        </w:rPr>
        <w:t>понятие «синдром анорексии-кахексии онкологических больных» (САКОБ).</w:t>
      </w:r>
    </w:p>
    <w:p w:rsidR="00AF2E35" w:rsidRPr="003B4C31" w:rsidRDefault="00AF2E35" w:rsidP="00AF2E35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3" w:name="_Toc136093043"/>
      <w:r>
        <w:rPr>
          <w:b/>
          <w:bCs/>
          <w:color w:val="auto"/>
          <w:sz w:val="28"/>
          <w:szCs w:val="28"/>
        </w:rPr>
        <w:t>Определение стадии кахексии</w:t>
      </w:r>
      <w:bookmarkEnd w:id="3"/>
    </w:p>
    <w:p w:rsidR="003443B9" w:rsidRDefault="00AF2E35" w:rsidP="00AF2E35">
      <w:pPr>
        <w:spacing w:after="120"/>
        <w:ind w:firstLine="708"/>
        <w:rPr>
          <w:bCs/>
          <w:sz w:val="24"/>
          <w:szCs w:val="20"/>
        </w:rPr>
      </w:pPr>
      <w:r w:rsidRPr="00AF2E35">
        <w:rPr>
          <w:bCs/>
          <w:sz w:val="24"/>
          <w:szCs w:val="20"/>
        </w:rPr>
        <w:t>Международная группа исследователей разработала систему определения стадии кахексии у онкологических больных:</w:t>
      </w:r>
    </w:p>
    <w:p w:rsidR="003443B9" w:rsidRDefault="003443B9" w:rsidP="003443B9">
      <w:pPr>
        <w:pStyle w:val="a3"/>
        <w:numPr>
          <w:ilvl w:val="0"/>
          <w:numId w:val="10"/>
        </w:numPr>
        <w:spacing w:after="120"/>
        <w:rPr>
          <w:bCs/>
          <w:sz w:val="24"/>
          <w:szCs w:val="20"/>
        </w:rPr>
      </w:pPr>
      <w:proofErr w:type="spellStart"/>
      <w:r>
        <w:rPr>
          <w:bCs/>
          <w:sz w:val="24"/>
          <w:szCs w:val="20"/>
        </w:rPr>
        <w:t>прекахексия</w:t>
      </w:r>
      <w:proofErr w:type="spellEnd"/>
      <w:r>
        <w:rPr>
          <w:bCs/>
          <w:sz w:val="24"/>
          <w:szCs w:val="20"/>
        </w:rPr>
        <w:t>:</w:t>
      </w:r>
    </w:p>
    <w:p w:rsidR="003443B9" w:rsidRDefault="00AF2E35" w:rsidP="003443B9">
      <w:pPr>
        <w:pStyle w:val="a3"/>
        <w:spacing w:after="120"/>
        <w:rPr>
          <w:bCs/>
          <w:sz w:val="24"/>
          <w:szCs w:val="20"/>
        </w:rPr>
      </w:pPr>
      <w:r w:rsidRPr="003443B9">
        <w:rPr>
          <w:bCs/>
          <w:sz w:val="24"/>
          <w:szCs w:val="20"/>
        </w:rPr>
        <w:t xml:space="preserve">— потеря массы тела на ≤5% за последние 6 </w:t>
      </w:r>
      <w:proofErr w:type="spellStart"/>
      <w:r w:rsidRPr="003443B9">
        <w:rPr>
          <w:bCs/>
          <w:sz w:val="24"/>
          <w:szCs w:val="20"/>
        </w:rPr>
        <w:t>мес</w:t>
      </w:r>
      <w:proofErr w:type="spellEnd"/>
      <w:r w:rsidRPr="003443B9">
        <w:rPr>
          <w:bCs/>
          <w:sz w:val="24"/>
          <w:szCs w:val="20"/>
        </w:rPr>
        <w:t>;</w:t>
      </w:r>
    </w:p>
    <w:p w:rsidR="003443B9" w:rsidRDefault="00AF2E35" w:rsidP="003443B9">
      <w:pPr>
        <w:pStyle w:val="a3"/>
        <w:spacing w:after="120"/>
        <w:rPr>
          <w:bCs/>
          <w:sz w:val="24"/>
          <w:szCs w:val="20"/>
        </w:rPr>
      </w:pPr>
      <w:r w:rsidRPr="003443B9">
        <w:rPr>
          <w:bCs/>
          <w:sz w:val="24"/>
          <w:szCs w:val="20"/>
        </w:rPr>
        <w:t>— признаки системного воспалительного ответа;</w:t>
      </w:r>
    </w:p>
    <w:p w:rsidR="003443B9" w:rsidRDefault="00AF2E35" w:rsidP="003443B9">
      <w:pPr>
        <w:pStyle w:val="a3"/>
        <w:spacing w:after="120"/>
        <w:rPr>
          <w:bCs/>
          <w:sz w:val="24"/>
          <w:szCs w:val="20"/>
        </w:rPr>
      </w:pPr>
      <w:r w:rsidRPr="003443B9">
        <w:rPr>
          <w:bCs/>
          <w:sz w:val="24"/>
          <w:szCs w:val="20"/>
        </w:rPr>
        <w:t>— анорексия и метаболические изменения;</w:t>
      </w:r>
    </w:p>
    <w:p w:rsidR="003443B9" w:rsidRDefault="003443B9" w:rsidP="003443B9">
      <w:pPr>
        <w:pStyle w:val="a3"/>
        <w:numPr>
          <w:ilvl w:val="0"/>
          <w:numId w:val="10"/>
        </w:numPr>
        <w:spacing w:after="120"/>
        <w:rPr>
          <w:bCs/>
          <w:sz w:val="24"/>
          <w:szCs w:val="20"/>
        </w:rPr>
      </w:pPr>
      <w:r>
        <w:rPr>
          <w:bCs/>
          <w:sz w:val="24"/>
          <w:szCs w:val="20"/>
        </w:rPr>
        <w:t>кахексия:</w:t>
      </w:r>
    </w:p>
    <w:p w:rsidR="003443B9" w:rsidRDefault="00AF2E35" w:rsidP="003443B9">
      <w:pPr>
        <w:pStyle w:val="a3"/>
        <w:spacing w:after="120"/>
        <w:rPr>
          <w:bCs/>
          <w:sz w:val="24"/>
          <w:szCs w:val="20"/>
        </w:rPr>
      </w:pPr>
      <w:r w:rsidRPr="003443B9">
        <w:rPr>
          <w:bCs/>
          <w:sz w:val="24"/>
          <w:szCs w:val="20"/>
        </w:rPr>
        <w:t xml:space="preserve">— потеря массы тела на &gt;5% за последние 6 </w:t>
      </w:r>
      <w:proofErr w:type="spellStart"/>
      <w:r w:rsidRPr="003443B9">
        <w:rPr>
          <w:bCs/>
          <w:sz w:val="24"/>
          <w:szCs w:val="20"/>
        </w:rPr>
        <w:t>мес</w:t>
      </w:r>
      <w:proofErr w:type="spellEnd"/>
      <w:r w:rsidRPr="003443B9">
        <w:rPr>
          <w:bCs/>
          <w:sz w:val="24"/>
          <w:szCs w:val="20"/>
        </w:rPr>
        <w:t xml:space="preserve"> (при условии, что пациент не голодал специально) или — продолжающаяся пот</w:t>
      </w:r>
      <w:r w:rsidR="003443B9">
        <w:rPr>
          <w:bCs/>
          <w:sz w:val="24"/>
          <w:szCs w:val="20"/>
        </w:rPr>
        <w:t>еря массы тела более, чем на 2%;</w:t>
      </w:r>
    </w:p>
    <w:p w:rsidR="003443B9" w:rsidRDefault="003443B9" w:rsidP="003443B9">
      <w:pPr>
        <w:pStyle w:val="a3"/>
        <w:spacing w:after="120"/>
        <w:rPr>
          <w:bCs/>
          <w:sz w:val="24"/>
          <w:szCs w:val="20"/>
        </w:rPr>
      </w:pPr>
      <w:r w:rsidRPr="003443B9">
        <w:rPr>
          <w:bCs/>
          <w:sz w:val="24"/>
          <w:szCs w:val="20"/>
        </w:rPr>
        <w:t>—</w:t>
      </w:r>
      <w:r>
        <w:rPr>
          <w:bCs/>
          <w:sz w:val="24"/>
          <w:szCs w:val="20"/>
        </w:rPr>
        <w:t xml:space="preserve"> </w:t>
      </w:r>
      <w:r w:rsidR="00AF2E35" w:rsidRPr="003443B9">
        <w:rPr>
          <w:bCs/>
          <w:sz w:val="24"/>
          <w:szCs w:val="20"/>
        </w:rPr>
        <w:t>индекс массы тела менее 20 кг/м2 или потеря скелетной мускулатуры и продолжающа</w:t>
      </w:r>
      <w:r>
        <w:rPr>
          <w:bCs/>
          <w:sz w:val="24"/>
          <w:szCs w:val="20"/>
        </w:rPr>
        <w:t>яся потеря массы тела более 2%;</w:t>
      </w:r>
    </w:p>
    <w:p w:rsidR="003443B9" w:rsidRDefault="00AF2E35" w:rsidP="003443B9">
      <w:pPr>
        <w:pStyle w:val="a3"/>
        <w:spacing w:after="120"/>
        <w:rPr>
          <w:bCs/>
          <w:sz w:val="24"/>
          <w:szCs w:val="20"/>
        </w:rPr>
      </w:pPr>
      <w:r w:rsidRPr="003443B9">
        <w:rPr>
          <w:bCs/>
          <w:sz w:val="24"/>
          <w:szCs w:val="20"/>
        </w:rPr>
        <w:t>— признаки системного воспалительного ответа, анорексия, сн</w:t>
      </w:r>
      <w:r w:rsidR="003443B9">
        <w:rPr>
          <w:bCs/>
          <w:sz w:val="24"/>
          <w:szCs w:val="20"/>
        </w:rPr>
        <w:t>ижение потребления объёма пищи;</w:t>
      </w:r>
    </w:p>
    <w:p w:rsidR="003443B9" w:rsidRDefault="003443B9" w:rsidP="003443B9">
      <w:pPr>
        <w:pStyle w:val="a3"/>
        <w:numPr>
          <w:ilvl w:val="0"/>
          <w:numId w:val="10"/>
        </w:numPr>
        <w:spacing w:after="120"/>
        <w:rPr>
          <w:bCs/>
          <w:sz w:val="24"/>
          <w:szCs w:val="20"/>
        </w:rPr>
      </w:pPr>
      <w:r>
        <w:rPr>
          <w:bCs/>
          <w:sz w:val="24"/>
          <w:szCs w:val="20"/>
        </w:rPr>
        <w:t>рефрактерная кахексия:</w:t>
      </w:r>
    </w:p>
    <w:p w:rsidR="00AF2E35" w:rsidRPr="003443B9" w:rsidRDefault="003443B9" w:rsidP="003443B9">
      <w:pPr>
        <w:pStyle w:val="a3"/>
        <w:spacing w:after="120"/>
        <w:rPr>
          <w:bCs/>
          <w:sz w:val="24"/>
          <w:szCs w:val="20"/>
        </w:rPr>
      </w:pPr>
      <w:r w:rsidRPr="003443B9">
        <w:rPr>
          <w:bCs/>
          <w:sz w:val="24"/>
          <w:szCs w:val="20"/>
        </w:rPr>
        <w:t>—</w:t>
      </w:r>
      <w:r>
        <w:rPr>
          <w:bCs/>
          <w:sz w:val="24"/>
          <w:szCs w:val="20"/>
        </w:rPr>
        <w:t xml:space="preserve"> </w:t>
      </w:r>
      <w:r w:rsidR="00AF2E35" w:rsidRPr="003443B9">
        <w:rPr>
          <w:bCs/>
          <w:sz w:val="24"/>
          <w:szCs w:val="20"/>
        </w:rPr>
        <w:t>критерии кахексии на фоне выраженного катаболизма, отсутствие эффекта противоопухолевой терапии, ECOG 3–4, ожидаемая продолжительность жизни менее 3 мес.</w:t>
      </w:r>
    </w:p>
    <w:p w:rsidR="00AF2E35" w:rsidRDefault="003443B9" w:rsidP="00AF2E35">
      <w:pPr>
        <w:pStyle w:val="1"/>
        <w:spacing w:after="120"/>
        <w:rPr>
          <w:b/>
          <w:bCs/>
          <w:color w:val="auto"/>
        </w:rPr>
      </w:pPr>
      <w:bookmarkStart w:id="4" w:name="_Toc136093044"/>
      <w:r>
        <w:rPr>
          <w:b/>
          <w:bCs/>
          <w:color w:val="auto"/>
          <w:sz w:val="28"/>
          <w:szCs w:val="28"/>
        </w:rPr>
        <w:lastRenderedPageBreak/>
        <w:t>Диагностика САКОБ</w:t>
      </w:r>
      <w:bookmarkEnd w:id="4"/>
    </w:p>
    <w:p w:rsidR="003443B9" w:rsidRDefault="003443B9" w:rsidP="00AF2E35">
      <w:pPr>
        <w:spacing w:after="120"/>
        <w:ind w:firstLine="708"/>
        <w:rPr>
          <w:sz w:val="24"/>
          <w:szCs w:val="20"/>
        </w:rPr>
      </w:pPr>
      <w:r w:rsidRPr="003443B9">
        <w:rPr>
          <w:sz w:val="24"/>
          <w:szCs w:val="20"/>
        </w:rPr>
        <w:t>Все пациенты с подозрением на САКОБ должны быть обследованы с целью выяснения состояния питан</w:t>
      </w:r>
      <w:r>
        <w:rPr>
          <w:sz w:val="24"/>
          <w:szCs w:val="20"/>
        </w:rPr>
        <w:t>ия и степени потери массы тела.</w:t>
      </w:r>
    </w:p>
    <w:p w:rsidR="003443B9" w:rsidRDefault="003443B9" w:rsidP="00AF2E35">
      <w:pPr>
        <w:spacing w:after="120"/>
        <w:ind w:firstLine="708"/>
        <w:rPr>
          <w:sz w:val="24"/>
          <w:szCs w:val="20"/>
        </w:rPr>
      </w:pPr>
      <w:r w:rsidRPr="003443B9">
        <w:rPr>
          <w:b/>
          <w:sz w:val="24"/>
          <w:szCs w:val="20"/>
        </w:rPr>
        <w:t>Клиническая оценка</w:t>
      </w:r>
      <w:r w:rsidRPr="003443B9">
        <w:rPr>
          <w:sz w:val="24"/>
          <w:szCs w:val="20"/>
        </w:rPr>
        <w:t xml:space="preserve"> включает в себя тщательный сбор анамнеза, ориентированный на вопросы питания, выяснение факторов риска, приводящих к развитию </w:t>
      </w:r>
      <w:proofErr w:type="spellStart"/>
      <w:r w:rsidRPr="003443B9">
        <w:rPr>
          <w:sz w:val="24"/>
          <w:szCs w:val="20"/>
        </w:rPr>
        <w:t>нутритивной</w:t>
      </w:r>
      <w:proofErr w:type="spellEnd"/>
      <w:r w:rsidRPr="003443B9">
        <w:rPr>
          <w:sz w:val="24"/>
          <w:szCs w:val="20"/>
        </w:rPr>
        <w:t xml:space="preserve"> недостаточности, а также </w:t>
      </w:r>
      <w:proofErr w:type="spellStart"/>
      <w:r w:rsidRPr="003443B9">
        <w:rPr>
          <w:sz w:val="24"/>
          <w:szCs w:val="20"/>
        </w:rPr>
        <w:t>физикальное</w:t>
      </w:r>
      <w:proofErr w:type="spellEnd"/>
      <w:r w:rsidRPr="003443B9">
        <w:rPr>
          <w:sz w:val="24"/>
          <w:szCs w:val="20"/>
        </w:rPr>
        <w:t xml:space="preserve"> обследование с акцентом на диагностику состояния жировой и мышечной массы (височная область, дельтовидные и четырёхглавые мышцы), оценку тонуса мышц при пальпации, наличие пе</w:t>
      </w:r>
      <w:r>
        <w:rPr>
          <w:sz w:val="24"/>
          <w:szCs w:val="20"/>
        </w:rPr>
        <w:t>риферических отёков или асцита.</w:t>
      </w:r>
    </w:p>
    <w:p w:rsidR="003443B9" w:rsidRPr="00BF22DB" w:rsidRDefault="003443B9" w:rsidP="00AF2E35">
      <w:pPr>
        <w:spacing w:after="120"/>
        <w:ind w:firstLine="708"/>
        <w:rPr>
          <w:b/>
          <w:sz w:val="24"/>
          <w:szCs w:val="20"/>
        </w:rPr>
      </w:pPr>
      <w:r w:rsidRPr="00BF22DB">
        <w:rPr>
          <w:b/>
          <w:sz w:val="24"/>
          <w:szCs w:val="20"/>
        </w:rPr>
        <w:t>Для установления диагноза кахексии необходимы пять составляющих:</w:t>
      </w:r>
    </w:p>
    <w:p w:rsidR="003443B9" w:rsidRDefault="003443B9" w:rsidP="003443B9">
      <w:pPr>
        <w:pStyle w:val="a3"/>
        <w:numPr>
          <w:ilvl w:val="0"/>
          <w:numId w:val="11"/>
        </w:numPr>
        <w:spacing w:after="120"/>
        <w:rPr>
          <w:sz w:val="24"/>
          <w:szCs w:val="20"/>
        </w:rPr>
      </w:pPr>
      <w:r w:rsidRPr="003443B9">
        <w:rPr>
          <w:sz w:val="24"/>
          <w:szCs w:val="20"/>
        </w:rPr>
        <w:t>истощение запасов мышечной массы и силы;</w:t>
      </w:r>
    </w:p>
    <w:p w:rsidR="003443B9" w:rsidRDefault="003443B9" w:rsidP="003443B9">
      <w:pPr>
        <w:pStyle w:val="a3"/>
        <w:numPr>
          <w:ilvl w:val="0"/>
          <w:numId w:val="11"/>
        </w:numPr>
        <w:spacing w:after="120"/>
        <w:rPr>
          <w:sz w:val="24"/>
          <w:szCs w:val="20"/>
        </w:rPr>
      </w:pPr>
      <w:r w:rsidRPr="003443B9">
        <w:rPr>
          <w:sz w:val="24"/>
          <w:szCs w:val="20"/>
        </w:rPr>
        <w:t>анорексия или уменьшение потребления пищи;</w:t>
      </w:r>
    </w:p>
    <w:p w:rsidR="003443B9" w:rsidRDefault="003443B9" w:rsidP="003443B9">
      <w:pPr>
        <w:pStyle w:val="a3"/>
        <w:numPr>
          <w:ilvl w:val="0"/>
          <w:numId w:val="11"/>
        </w:numPr>
        <w:spacing w:after="120"/>
        <w:rPr>
          <w:sz w:val="24"/>
          <w:szCs w:val="20"/>
        </w:rPr>
      </w:pPr>
      <w:r w:rsidRPr="003443B9">
        <w:rPr>
          <w:sz w:val="24"/>
          <w:szCs w:val="20"/>
        </w:rPr>
        <w:t>наличие катаболических маркёров;</w:t>
      </w:r>
    </w:p>
    <w:p w:rsidR="003443B9" w:rsidRDefault="003443B9" w:rsidP="003443B9">
      <w:pPr>
        <w:pStyle w:val="a3"/>
        <w:numPr>
          <w:ilvl w:val="0"/>
          <w:numId w:val="11"/>
        </w:numPr>
        <w:spacing w:after="120"/>
        <w:rPr>
          <w:sz w:val="24"/>
          <w:szCs w:val="20"/>
        </w:rPr>
      </w:pPr>
      <w:r w:rsidRPr="003443B9">
        <w:rPr>
          <w:sz w:val="24"/>
          <w:szCs w:val="20"/>
        </w:rPr>
        <w:t>функциональные нарушения;</w:t>
      </w:r>
    </w:p>
    <w:p w:rsidR="003443B9" w:rsidRDefault="003443B9" w:rsidP="003443B9">
      <w:pPr>
        <w:pStyle w:val="a3"/>
        <w:numPr>
          <w:ilvl w:val="0"/>
          <w:numId w:val="11"/>
        </w:numPr>
        <w:spacing w:after="120"/>
        <w:rPr>
          <w:sz w:val="24"/>
          <w:szCs w:val="20"/>
        </w:rPr>
      </w:pPr>
      <w:r>
        <w:rPr>
          <w:sz w:val="24"/>
          <w:szCs w:val="20"/>
        </w:rPr>
        <w:t>психосоциальные последствия.</w:t>
      </w:r>
    </w:p>
    <w:p w:rsidR="00BF22DB" w:rsidRDefault="003443B9" w:rsidP="003443B9">
      <w:pPr>
        <w:spacing w:after="120"/>
        <w:ind w:firstLine="360"/>
        <w:rPr>
          <w:sz w:val="24"/>
          <w:szCs w:val="20"/>
        </w:rPr>
      </w:pPr>
      <w:r w:rsidRPr="003443B9">
        <w:rPr>
          <w:sz w:val="24"/>
          <w:szCs w:val="20"/>
        </w:rPr>
        <w:t xml:space="preserve">Наиболее часто используемыми в клинической практике объективными показателями состояния питания являются </w:t>
      </w:r>
      <w:r w:rsidRPr="00BF22DB">
        <w:rPr>
          <w:b/>
          <w:sz w:val="24"/>
          <w:szCs w:val="20"/>
        </w:rPr>
        <w:t>измерение массы тела и оценка пищевого рациона</w:t>
      </w:r>
      <w:r w:rsidRPr="003443B9">
        <w:rPr>
          <w:sz w:val="24"/>
          <w:szCs w:val="20"/>
        </w:rPr>
        <w:t>. Важно документировать динамику потери массы тела и постараться определить её причину (ограничение в приёме пищи из-за отсутствия аппетита или из-за возникновения болевого синдрома, тошнота/рвота и т. п.), выяснить наличие сопутствующих заболеваний, прежде всего, нарушений углеводного обмена. Для облегчения решения задачи оценки пищевого поведения в рутинной практике целесообразно рекомендовать ведение «Пищевого дневника», который па</w:t>
      </w:r>
      <w:r w:rsidR="00BF22DB">
        <w:rPr>
          <w:sz w:val="24"/>
          <w:szCs w:val="20"/>
        </w:rPr>
        <w:t>циент заполняет самостоятельно.</w:t>
      </w:r>
    </w:p>
    <w:p w:rsidR="00BF22DB" w:rsidRDefault="003443B9" w:rsidP="003443B9">
      <w:pPr>
        <w:spacing w:after="120"/>
        <w:ind w:firstLine="360"/>
        <w:rPr>
          <w:sz w:val="24"/>
          <w:szCs w:val="20"/>
        </w:rPr>
      </w:pPr>
      <w:r w:rsidRPr="003443B9">
        <w:rPr>
          <w:sz w:val="24"/>
          <w:szCs w:val="20"/>
        </w:rPr>
        <w:t>Массу тела (в кг) определяют на медицинских весах натощак, с точностью до 0,1 кг, после опорожнения мочевого пузыря и дефекации. Клинически значимыми</w:t>
      </w:r>
      <w:r w:rsidR="00BF22DB">
        <w:rPr>
          <w:sz w:val="24"/>
          <w:szCs w:val="20"/>
        </w:rPr>
        <w:t xml:space="preserve"> является потеря массы тела на:</w:t>
      </w:r>
    </w:p>
    <w:p w:rsidR="00BF22DB" w:rsidRDefault="00BF22DB" w:rsidP="003443B9">
      <w:pPr>
        <w:spacing w:after="120"/>
        <w:ind w:firstLine="360"/>
        <w:rPr>
          <w:sz w:val="24"/>
          <w:szCs w:val="20"/>
        </w:rPr>
      </w:pPr>
      <w:r>
        <w:rPr>
          <w:sz w:val="24"/>
          <w:szCs w:val="20"/>
        </w:rPr>
        <w:t>• 1–2% — в течение 1 недели,</w:t>
      </w:r>
    </w:p>
    <w:p w:rsidR="00BF22DB" w:rsidRDefault="00BF22DB" w:rsidP="003443B9">
      <w:pPr>
        <w:spacing w:after="120"/>
        <w:ind w:firstLine="360"/>
        <w:rPr>
          <w:sz w:val="24"/>
          <w:szCs w:val="20"/>
        </w:rPr>
      </w:pPr>
      <w:r>
        <w:rPr>
          <w:sz w:val="24"/>
          <w:szCs w:val="20"/>
        </w:rPr>
        <w:t>• 5% — в течение 1 месяца,</w:t>
      </w:r>
    </w:p>
    <w:p w:rsidR="00BF22DB" w:rsidRDefault="00BF22DB" w:rsidP="003443B9">
      <w:pPr>
        <w:spacing w:after="120"/>
        <w:ind w:firstLine="360"/>
        <w:rPr>
          <w:sz w:val="24"/>
          <w:szCs w:val="20"/>
        </w:rPr>
      </w:pPr>
      <w:r>
        <w:rPr>
          <w:sz w:val="24"/>
          <w:szCs w:val="20"/>
        </w:rPr>
        <w:t>• 7% — в течение 3 месяцев,</w:t>
      </w:r>
    </w:p>
    <w:p w:rsidR="00BF22DB" w:rsidRDefault="003443B9" w:rsidP="003443B9">
      <w:pPr>
        <w:spacing w:after="120"/>
        <w:ind w:firstLine="360"/>
        <w:rPr>
          <w:sz w:val="24"/>
          <w:szCs w:val="20"/>
        </w:rPr>
      </w:pPr>
      <w:r w:rsidRPr="003443B9">
        <w:rPr>
          <w:sz w:val="24"/>
          <w:szCs w:val="20"/>
        </w:rPr>
        <w:t xml:space="preserve">• 10% — в течение 6 месяцев. </w:t>
      </w:r>
    </w:p>
    <w:p w:rsidR="00BF22DB" w:rsidRDefault="003443B9" w:rsidP="00BF22DB">
      <w:pPr>
        <w:spacing w:after="120"/>
        <w:ind w:firstLine="360"/>
        <w:rPr>
          <w:sz w:val="24"/>
          <w:szCs w:val="20"/>
        </w:rPr>
      </w:pPr>
      <w:r w:rsidRPr="003443B9">
        <w:rPr>
          <w:sz w:val="24"/>
          <w:szCs w:val="20"/>
        </w:rPr>
        <w:t xml:space="preserve">Индекс массы тела или индекс </w:t>
      </w:r>
      <w:proofErr w:type="spellStart"/>
      <w:r w:rsidRPr="003443B9">
        <w:rPr>
          <w:sz w:val="24"/>
          <w:szCs w:val="20"/>
        </w:rPr>
        <w:t>Кетле</w:t>
      </w:r>
      <w:proofErr w:type="spellEnd"/>
      <w:r w:rsidRPr="003443B9">
        <w:rPr>
          <w:sz w:val="24"/>
          <w:szCs w:val="20"/>
        </w:rPr>
        <w:t xml:space="preserve"> (ИМТ) — отношение фактической массы тела к длине тела, выраженной в м2. </w:t>
      </w:r>
      <w:r w:rsidRPr="00BF22DB">
        <w:rPr>
          <w:b/>
          <w:sz w:val="24"/>
          <w:szCs w:val="20"/>
        </w:rPr>
        <w:t>Согласно определению ВОЗ, «нормальным диапазоном, при котором риск проблем со здоровьем наименьший, является ИМТ от 18,5 до 25 кг/м2».</w:t>
      </w:r>
      <w:r w:rsidRPr="003443B9">
        <w:rPr>
          <w:sz w:val="24"/>
          <w:szCs w:val="20"/>
        </w:rPr>
        <w:t xml:space="preserve"> При этом нижняя граница ИМТ коррелирует с возрастом: до 30 лет — 18,5 кг/м2;</w:t>
      </w:r>
      <w:r w:rsidR="00BF22DB" w:rsidRPr="00BF22DB">
        <w:t xml:space="preserve"> </w:t>
      </w:r>
      <w:r w:rsidR="00BF22DB" w:rsidRPr="00BF22DB">
        <w:rPr>
          <w:sz w:val="24"/>
          <w:szCs w:val="20"/>
        </w:rPr>
        <w:t xml:space="preserve">от 30 до 60 лет — 19,5 кг/м2; старше 60 лет –21 кг/м2. Также индекс </w:t>
      </w:r>
      <w:proofErr w:type="spellStart"/>
      <w:r w:rsidR="00BF22DB" w:rsidRPr="00BF22DB">
        <w:rPr>
          <w:sz w:val="24"/>
          <w:szCs w:val="20"/>
        </w:rPr>
        <w:t>Кетле</w:t>
      </w:r>
      <w:proofErr w:type="spellEnd"/>
      <w:r w:rsidR="00BF22DB" w:rsidRPr="00BF22DB">
        <w:rPr>
          <w:sz w:val="24"/>
          <w:szCs w:val="20"/>
        </w:rPr>
        <w:t xml:space="preserve"> дифференцируется по этнической принадлежности.</w:t>
      </w:r>
    </w:p>
    <w:p w:rsidR="00BF22DB" w:rsidRDefault="00BF22DB" w:rsidP="00BF22DB">
      <w:pPr>
        <w:spacing w:after="120"/>
        <w:ind w:firstLine="360"/>
        <w:rPr>
          <w:sz w:val="24"/>
          <w:szCs w:val="20"/>
        </w:rPr>
      </w:pPr>
      <w:r w:rsidRPr="00BF22DB">
        <w:rPr>
          <w:sz w:val="24"/>
          <w:szCs w:val="20"/>
        </w:rPr>
        <w:t>Дефицит мышечной ткани, сопровождающий САКОБ может быть оценен с помощью как субъективного метода оценки (</w:t>
      </w:r>
      <w:proofErr w:type="spellStart"/>
      <w:r w:rsidRPr="00BF22DB">
        <w:rPr>
          <w:b/>
          <w:sz w:val="24"/>
          <w:szCs w:val="20"/>
        </w:rPr>
        <w:t>скрининговой</w:t>
      </w:r>
      <w:proofErr w:type="spellEnd"/>
      <w:r w:rsidRPr="00BF22DB">
        <w:rPr>
          <w:b/>
          <w:sz w:val="24"/>
          <w:szCs w:val="20"/>
        </w:rPr>
        <w:t xml:space="preserve"> шкалы SARC-F</w:t>
      </w:r>
      <w:r w:rsidRPr="00BF22DB">
        <w:rPr>
          <w:sz w:val="24"/>
          <w:szCs w:val="20"/>
        </w:rPr>
        <w:t xml:space="preserve">), так и объективных инструментальных методов — </w:t>
      </w:r>
      <w:r w:rsidRPr="00BF22DB">
        <w:rPr>
          <w:b/>
          <w:sz w:val="24"/>
          <w:szCs w:val="20"/>
        </w:rPr>
        <w:t xml:space="preserve">биоэлектрического импеданса, </w:t>
      </w:r>
      <w:proofErr w:type="spellStart"/>
      <w:r w:rsidRPr="00BF22DB">
        <w:rPr>
          <w:b/>
          <w:sz w:val="24"/>
          <w:szCs w:val="20"/>
        </w:rPr>
        <w:t>биэнергетической</w:t>
      </w:r>
      <w:proofErr w:type="spellEnd"/>
      <w:r w:rsidRPr="00BF22DB">
        <w:rPr>
          <w:b/>
          <w:sz w:val="24"/>
          <w:szCs w:val="20"/>
        </w:rPr>
        <w:t xml:space="preserve"> рентгеновской </w:t>
      </w:r>
      <w:proofErr w:type="spellStart"/>
      <w:r w:rsidRPr="00BF22DB">
        <w:rPr>
          <w:b/>
          <w:sz w:val="24"/>
          <w:szCs w:val="20"/>
        </w:rPr>
        <w:t>абсорциометрии</w:t>
      </w:r>
      <w:proofErr w:type="spellEnd"/>
      <w:r w:rsidRPr="00BF22DB">
        <w:rPr>
          <w:b/>
          <w:sz w:val="24"/>
          <w:szCs w:val="20"/>
        </w:rPr>
        <w:t>, расчета Индекса Скелетной мускулатуры (SMI) по КТ или МРТ скана на уровне L3</w:t>
      </w:r>
      <w:r>
        <w:rPr>
          <w:sz w:val="24"/>
          <w:szCs w:val="20"/>
        </w:rPr>
        <w:t>.</w:t>
      </w:r>
    </w:p>
    <w:p w:rsidR="003443B9" w:rsidRPr="003443B9" w:rsidRDefault="00BF22DB" w:rsidP="00BF22DB">
      <w:pPr>
        <w:spacing w:after="120"/>
        <w:ind w:firstLine="360"/>
        <w:rPr>
          <w:sz w:val="24"/>
          <w:szCs w:val="20"/>
        </w:rPr>
      </w:pPr>
      <w:r w:rsidRPr="00BF22DB">
        <w:rPr>
          <w:sz w:val="24"/>
          <w:szCs w:val="20"/>
        </w:rPr>
        <w:t xml:space="preserve">К клинически значимым лабораторным методам диагностики относят следующие лабораторные показатели: общий белок, альбумин, </w:t>
      </w:r>
      <w:proofErr w:type="spellStart"/>
      <w:r w:rsidRPr="00BF22DB">
        <w:rPr>
          <w:sz w:val="24"/>
          <w:szCs w:val="20"/>
        </w:rPr>
        <w:t>трансферрин</w:t>
      </w:r>
      <w:proofErr w:type="spellEnd"/>
      <w:r w:rsidRPr="00BF22DB">
        <w:rPr>
          <w:sz w:val="24"/>
          <w:szCs w:val="20"/>
        </w:rPr>
        <w:t>, а также показатели активности системного воспаления (С-реактивный белок, лейкоцитарная формула, показатели лимфоцитов). На сегодняшний день чётких рекомендаций относительно алгоритма диагностики САКОБ не существует.</w:t>
      </w:r>
    </w:p>
    <w:p w:rsidR="00AF2E35" w:rsidRDefault="00BF22DB" w:rsidP="00AF2E35">
      <w:pPr>
        <w:spacing w:after="120"/>
        <w:rPr>
          <w:rStyle w:val="10"/>
          <w:b/>
          <w:bCs/>
          <w:color w:val="auto"/>
          <w:sz w:val="28"/>
          <w:szCs w:val="28"/>
        </w:rPr>
      </w:pPr>
      <w:bookmarkStart w:id="5" w:name="_Toc136093045"/>
      <w:r>
        <w:rPr>
          <w:rStyle w:val="10"/>
          <w:b/>
          <w:bCs/>
          <w:color w:val="auto"/>
          <w:sz w:val="28"/>
          <w:szCs w:val="28"/>
        </w:rPr>
        <w:lastRenderedPageBreak/>
        <w:t>Общие аспекты лечения САКОБ</w:t>
      </w:r>
      <w:bookmarkEnd w:id="5"/>
    </w:p>
    <w:p w:rsidR="00BF22DB" w:rsidRDefault="00BF22DB" w:rsidP="00AF2E35">
      <w:pPr>
        <w:spacing w:after="120"/>
        <w:ind w:firstLine="708"/>
        <w:rPr>
          <w:sz w:val="24"/>
          <w:szCs w:val="20"/>
        </w:rPr>
      </w:pPr>
      <w:r w:rsidRPr="00BF22DB">
        <w:rPr>
          <w:sz w:val="24"/>
          <w:szCs w:val="20"/>
        </w:rPr>
        <w:t>Потеря аппетита, отказ от приёма пищи и изменение внешности вследствие кахексии представляют собой крайне тревожные симптомы, как для пациентов, так и для членов семьи. Пациентам с САКОБ, которые в состоянии принимать пищу, следует рекомендовать частые приёмы небольших количеств высококалорийной пищи (например, яйца, специализированное питание). Для улучшения питания следует выбирать блюда, которые</w:t>
      </w:r>
      <w:r w:rsidRPr="00BF22DB">
        <w:t xml:space="preserve"> </w:t>
      </w:r>
      <w:r w:rsidRPr="00BF22DB">
        <w:rPr>
          <w:sz w:val="24"/>
          <w:szCs w:val="20"/>
        </w:rPr>
        <w:t>требуют меньших усилий при приготовлении (например, в микроволновой печи).</w:t>
      </w:r>
    </w:p>
    <w:p w:rsidR="00BF22DB" w:rsidRDefault="00BF22DB" w:rsidP="00AF2E35">
      <w:pPr>
        <w:spacing w:after="120"/>
        <w:ind w:firstLine="708"/>
        <w:rPr>
          <w:sz w:val="24"/>
          <w:szCs w:val="20"/>
        </w:rPr>
      </w:pPr>
      <w:r w:rsidRPr="00BF22DB">
        <w:rPr>
          <w:sz w:val="24"/>
          <w:szCs w:val="20"/>
        </w:rPr>
        <w:t>Несмотря на положительный эффект специализированного питания, пациенты и члены семьи должны знать, что увеличение потребления калорий не сможет остановить основной патологический процесс, а анорексия и кахексия отличаются от голодной смерти и являются нередкими симптомами онкологических заболеваний, закономерно развивающимися в конце жизни онкологического больного</w:t>
      </w:r>
      <w:r>
        <w:rPr>
          <w:sz w:val="24"/>
          <w:szCs w:val="20"/>
        </w:rPr>
        <w:t>.</w:t>
      </w:r>
    </w:p>
    <w:p w:rsidR="00BF22DB" w:rsidRDefault="00BF22DB" w:rsidP="00AF2E35">
      <w:pPr>
        <w:spacing w:after="120"/>
        <w:ind w:firstLine="708"/>
        <w:rPr>
          <w:sz w:val="24"/>
          <w:szCs w:val="20"/>
        </w:rPr>
      </w:pPr>
      <w:r w:rsidRPr="00BF22DB">
        <w:rPr>
          <w:sz w:val="24"/>
          <w:szCs w:val="20"/>
        </w:rPr>
        <w:t xml:space="preserve">Эффективная коррекция основных причин анорексии — тошноты, рвоты, </w:t>
      </w:r>
      <w:proofErr w:type="spellStart"/>
      <w:r w:rsidRPr="00BF22DB">
        <w:rPr>
          <w:sz w:val="24"/>
          <w:szCs w:val="20"/>
        </w:rPr>
        <w:t>констипации</w:t>
      </w:r>
      <w:proofErr w:type="spellEnd"/>
      <w:r w:rsidRPr="00BF22DB">
        <w:rPr>
          <w:sz w:val="24"/>
          <w:szCs w:val="20"/>
        </w:rPr>
        <w:t>, диареи, инверсий вкуса, осложнений опухолевого процесса (одышки, хронического болевого синдрома и т. д.), депрессии — может привести к значительном</w:t>
      </w:r>
      <w:r>
        <w:rPr>
          <w:sz w:val="24"/>
          <w:szCs w:val="20"/>
        </w:rPr>
        <w:t>у улучшению пациента состояния.</w:t>
      </w:r>
    </w:p>
    <w:p w:rsidR="00BF22DB" w:rsidRDefault="00BF22DB" w:rsidP="00AF2E35">
      <w:pPr>
        <w:spacing w:after="120"/>
        <w:ind w:firstLine="708"/>
        <w:rPr>
          <w:sz w:val="24"/>
          <w:szCs w:val="20"/>
        </w:rPr>
      </w:pPr>
      <w:r w:rsidRPr="00BF22DB">
        <w:rPr>
          <w:sz w:val="24"/>
          <w:szCs w:val="20"/>
        </w:rPr>
        <w:t>Основной целью медицинского вмешательства при кахексии является стабилизация/улучшение функционального статуса пациента. Пути реализации:</w:t>
      </w:r>
    </w:p>
    <w:p w:rsidR="00BF22DB" w:rsidRDefault="00BF22DB" w:rsidP="00BF22DB">
      <w:pPr>
        <w:pStyle w:val="a3"/>
        <w:numPr>
          <w:ilvl w:val="0"/>
          <w:numId w:val="10"/>
        </w:numPr>
        <w:spacing w:after="120"/>
        <w:rPr>
          <w:sz w:val="24"/>
          <w:szCs w:val="20"/>
        </w:rPr>
      </w:pPr>
      <w:r w:rsidRPr="00BF22DB">
        <w:rPr>
          <w:sz w:val="24"/>
          <w:szCs w:val="20"/>
        </w:rPr>
        <w:t xml:space="preserve">воздействие на массу тела и мышечную массу (создание соответствующих условий для увеличения поступления белка </w:t>
      </w:r>
      <w:r>
        <w:rPr>
          <w:sz w:val="24"/>
          <w:szCs w:val="20"/>
        </w:rPr>
        <w:t>и энергии, улучшение аппетита);</w:t>
      </w:r>
    </w:p>
    <w:p w:rsidR="00BF22DB" w:rsidRDefault="00BF22DB" w:rsidP="00BF22DB">
      <w:pPr>
        <w:pStyle w:val="a3"/>
        <w:numPr>
          <w:ilvl w:val="0"/>
          <w:numId w:val="10"/>
        </w:numPr>
        <w:spacing w:after="120"/>
        <w:rPr>
          <w:sz w:val="24"/>
          <w:szCs w:val="20"/>
        </w:rPr>
      </w:pPr>
      <w:r w:rsidRPr="00BF22DB">
        <w:rPr>
          <w:sz w:val="24"/>
          <w:szCs w:val="20"/>
        </w:rPr>
        <w:t xml:space="preserve">снижение </w:t>
      </w:r>
      <w:proofErr w:type="spellStart"/>
      <w:r w:rsidRPr="00BF22DB">
        <w:rPr>
          <w:sz w:val="24"/>
          <w:szCs w:val="20"/>
        </w:rPr>
        <w:t>дистресса</w:t>
      </w:r>
      <w:proofErr w:type="spellEnd"/>
      <w:r w:rsidRPr="00BF22DB">
        <w:rPr>
          <w:sz w:val="24"/>
          <w:szCs w:val="20"/>
        </w:rPr>
        <w:t>;</w:t>
      </w:r>
    </w:p>
    <w:p w:rsidR="00BF22DB" w:rsidRDefault="00BF22DB" w:rsidP="00BF22DB">
      <w:pPr>
        <w:pStyle w:val="a3"/>
        <w:numPr>
          <w:ilvl w:val="0"/>
          <w:numId w:val="10"/>
        </w:numPr>
        <w:spacing w:after="120"/>
        <w:rPr>
          <w:sz w:val="24"/>
          <w:szCs w:val="20"/>
        </w:rPr>
      </w:pPr>
      <w:r>
        <w:rPr>
          <w:sz w:val="24"/>
          <w:szCs w:val="20"/>
        </w:rPr>
        <w:t>улучшение качества жизни.</w:t>
      </w:r>
    </w:p>
    <w:p w:rsidR="00BF22DB" w:rsidRDefault="00BF22DB" w:rsidP="00BF22DB">
      <w:pPr>
        <w:spacing w:after="120"/>
        <w:ind w:firstLine="360"/>
        <w:rPr>
          <w:sz w:val="24"/>
          <w:szCs w:val="20"/>
        </w:rPr>
      </w:pPr>
      <w:r w:rsidRPr="00BF22DB">
        <w:rPr>
          <w:sz w:val="24"/>
          <w:szCs w:val="20"/>
        </w:rPr>
        <w:t xml:space="preserve">Для пациентов с </w:t>
      </w:r>
      <w:proofErr w:type="spellStart"/>
      <w:r w:rsidRPr="00BF22DB">
        <w:rPr>
          <w:sz w:val="24"/>
          <w:szCs w:val="20"/>
        </w:rPr>
        <w:t>персистирующей</w:t>
      </w:r>
      <w:proofErr w:type="spellEnd"/>
      <w:r w:rsidRPr="00BF22DB">
        <w:rPr>
          <w:sz w:val="24"/>
          <w:szCs w:val="20"/>
        </w:rPr>
        <w:t xml:space="preserve"> анорексией оптимальными являются фармакологические методы лечения, преимущественно направленные на стимуляцию аппетита. В многочисленных клинических исследованиях было продемонстрировано улучшение аппетита и/или увеличение массы тела у отдельных пациентов с прогрессирующим САКОБ, однако данная терапия не обращает вспять кахексию и не улучшает выживаемость, несколь</w:t>
      </w:r>
      <w:r>
        <w:rPr>
          <w:sz w:val="24"/>
          <w:szCs w:val="20"/>
        </w:rPr>
        <w:t>ко улучшая лишь качество жизни.</w:t>
      </w:r>
    </w:p>
    <w:p w:rsidR="00BF22DB" w:rsidRDefault="00BF22DB" w:rsidP="00BF22DB">
      <w:pPr>
        <w:spacing w:after="120"/>
        <w:ind w:firstLine="360"/>
        <w:rPr>
          <w:sz w:val="24"/>
          <w:szCs w:val="20"/>
        </w:rPr>
      </w:pPr>
      <w:r w:rsidRPr="00BF22DB">
        <w:rPr>
          <w:sz w:val="24"/>
          <w:szCs w:val="20"/>
        </w:rPr>
        <w:t>Важным аспектом является выделение основного патогенетического фактора САКОБ: анорексии, катаболизма, снижения объёма питания, потеря скелетной мускулатуры, нарушение психоэмо</w:t>
      </w:r>
      <w:r>
        <w:rPr>
          <w:sz w:val="24"/>
          <w:szCs w:val="20"/>
        </w:rPr>
        <w:t>ционального состояния пациента.</w:t>
      </w:r>
    </w:p>
    <w:p w:rsidR="00BF22DB" w:rsidRPr="00BF22DB" w:rsidRDefault="00BF22DB" w:rsidP="00BF22DB">
      <w:pPr>
        <w:spacing w:after="120"/>
        <w:ind w:firstLine="360"/>
        <w:rPr>
          <w:sz w:val="24"/>
          <w:szCs w:val="20"/>
        </w:rPr>
      </w:pPr>
      <w:r w:rsidRPr="00BF22DB">
        <w:rPr>
          <w:sz w:val="24"/>
          <w:szCs w:val="20"/>
        </w:rPr>
        <w:t xml:space="preserve">К общим принципам лечения </w:t>
      </w:r>
      <w:proofErr w:type="spellStart"/>
      <w:r w:rsidRPr="00BF22DB">
        <w:rPr>
          <w:sz w:val="24"/>
          <w:szCs w:val="20"/>
        </w:rPr>
        <w:t>САКОБа</w:t>
      </w:r>
      <w:proofErr w:type="spellEnd"/>
      <w:r w:rsidRPr="00BF22DB">
        <w:rPr>
          <w:sz w:val="24"/>
          <w:szCs w:val="20"/>
        </w:rPr>
        <w:t xml:space="preserve"> относят: комплексный подход (фармакологическая терапия, </w:t>
      </w:r>
      <w:proofErr w:type="spellStart"/>
      <w:r w:rsidRPr="00BF22DB">
        <w:rPr>
          <w:sz w:val="24"/>
          <w:szCs w:val="20"/>
        </w:rPr>
        <w:t>нутритивная</w:t>
      </w:r>
      <w:proofErr w:type="spellEnd"/>
      <w:r w:rsidRPr="00BF22DB">
        <w:rPr>
          <w:sz w:val="24"/>
          <w:szCs w:val="20"/>
        </w:rPr>
        <w:t xml:space="preserve"> поддержка, психотерапия, посильная физическая нагрузка), раннее начало, индивидуализированный подход («внимание к деталям»).</w:t>
      </w:r>
    </w:p>
    <w:p w:rsidR="00AF2E35" w:rsidRDefault="00BF22DB" w:rsidP="00AF2E35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6" w:name="_Toc136093046"/>
      <w:r>
        <w:rPr>
          <w:b/>
          <w:bCs/>
          <w:color w:val="auto"/>
          <w:sz w:val="28"/>
          <w:szCs w:val="28"/>
        </w:rPr>
        <w:t>Фармакологическая терапия САКОБ</w:t>
      </w:r>
      <w:bookmarkEnd w:id="6"/>
    </w:p>
    <w:p w:rsidR="00BF22DB" w:rsidRDefault="00BF22DB" w:rsidP="00AF2E35">
      <w:pPr>
        <w:spacing w:after="120"/>
        <w:ind w:firstLine="708"/>
        <w:rPr>
          <w:sz w:val="24"/>
          <w:szCs w:val="20"/>
        </w:rPr>
      </w:pPr>
      <w:r w:rsidRPr="00BF22DB">
        <w:rPr>
          <w:sz w:val="24"/>
          <w:szCs w:val="20"/>
        </w:rPr>
        <w:t xml:space="preserve">Для стимуляции аппетита могут использоваться </w:t>
      </w:r>
      <w:proofErr w:type="spellStart"/>
      <w:r w:rsidRPr="00BF22DB">
        <w:rPr>
          <w:sz w:val="24"/>
          <w:szCs w:val="20"/>
        </w:rPr>
        <w:t>прогестагены</w:t>
      </w:r>
      <w:proofErr w:type="spellEnd"/>
      <w:r w:rsidRPr="00BF22DB">
        <w:rPr>
          <w:sz w:val="24"/>
          <w:szCs w:val="20"/>
        </w:rPr>
        <w:t xml:space="preserve"> и </w:t>
      </w:r>
      <w:proofErr w:type="spellStart"/>
      <w:r w:rsidRPr="00BF22DB">
        <w:rPr>
          <w:sz w:val="24"/>
          <w:szCs w:val="20"/>
        </w:rPr>
        <w:t>глюкокортикостероиды</w:t>
      </w:r>
      <w:proofErr w:type="spellEnd"/>
      <w:r w:rsidRPr="00BF22DB">
        <w:rPr>
          <w:sz w:val="24"/>
          <w:szCs w:val="20"/>
        </w:rPr>
        <w:t xml:space="preserve"> (ГКС).</w:t>
      </w:r>
    </w:p>
    <w:p w:rsidR="00BF22DB" w:rsidRDefault="00BF22DB" w:rsidP="00AF2E35">
      <w:pPr>
        <w:spacing w:after="120"/>
        <w:ind w:firstLine="708"/>
        <w:rPr>
          <w:sz w:val="24"/>
          <w:szCs w:val="20"/>
        </w:rPr>
      </w:pPr>
      <w:proofErr w:type="spellStart"/>
      <w:r w:rsidRPr="00BF22DB">
        <w:rPr>
          <w:b/>
          <w:sz w:val="24"/>
          <w:szCs w:val="20"/>
        </w:rPr>
        <w:t>Прогестагены</w:t>
      </w:r>
      <w:proofErr w:type="spellEnd"/>
      <w:r w:rsidRPr="00BF22DB">
        <w:rPr>
          <w:b/>
          <w:sz w:val="24"/>
          <w:szCs w:val="20"/>
        </w:rPr>
        <w:t xml:space="preserve"> (</w:t>
      </w:r>
      <w:proofErr w:type="spellStart"/>
      <w:r w:rsidRPr="00BF22DB">
        <w:rPr>
          <w:b/>
          <w:sz w:val="24"/>
          <w:szCs w:val="20"/>
        </w:rPr>
        <w:t>мегестрола</w:t>
      </w:r>
      <w:proofErr w:type="spellEnd"/>
      <w:r w:rsidRPr="00BF22DB">
        <w:rPr>
          <w:b/>
          <w:sz w:val="24"/>
          <w:szCs w:val="20"/>
        </w:rPr>
        <w:t xml:space="preserve"> ацетат).</w:t>
      </w:r>
      <w:r w:rsidRPr="00BF22DB">
        <w:rPr>
          <w:sz w:val="24"/>
          <w:szCs w:val="20"/>
        </w:rPr>
        <w:t xml:space="preserve"> </w:t>
      </w:r>
      <w:proofErr w:type="spellStart"/>
      <w:r w:rsidRPr="00BF22DB">
        <w:rPr>
          <w:sz w:val="24"/>
          <w:szCs w:val="20"/>
        </w:rPr>
        <w:t>Мегестрола</w:t>
      </w:r>
      <w:proofErr w:type="spellEnd"/>
      <w:r w:rsidRPr="00BF22DB">
        <w:rPr>
          <w:sz w:val="24"/>
          <w:szCs w:val="20"/>
        </w:rPr>
        <w:t xml:space="preserve"> ацетат является синтетическим </w:t>
      </w:r>
      <w:proofErr w:type="spellStart"/>
      <w:r w:rsidRPr="00BF22DB">
        <w:rPr>
          <w:sz w:val="24"/>
          <w:szCs w:val="20"/>
        </w:rPr>
        <w:t>прогестагеном</w:t>
      </w:r>
      <w:proofErr w:type="spellEnd"/>
      <w:r w:rsidRPr="00BF22DB">
        <w:rPr>
          <w:sz w:val="24"/>
          <w:szCs w:val="20"/>
        </w:rPr>
        <w:t xml:space="preserve">. При САКОБ </w:t>
      </w:r>
      <w:proofErr w:type="spellStart"/>
      <w:r w:rsidRPr="00BF22DB">
        <w:rPr>
          <w:sz w:val="24"/>
          <w:szCs w:val="20"/>
        </w:rPr>
        <w:t>мегестрола</w:t>
      </w:r>
      <w:proofErr w:type="spellEnd"/>
      <w:r w:rsidRPr="00BF22DB">
        <w:rPr>
          <w:sz w:val="24"/>
          <w:szCs w:val="20"/>
        </w:rPr>
        <w:t xml:space="preserve"> ацетат благотворно влияет на аппетит и массу тела. Однако это никак не влияет на качество жизни или увеличение мышечной массы тела. Чтобы свести к минимуму неблагоприятные последствия, рекомендуется начинать приём с низкой дозы (160 мг/</w:t>
      </w:r>
      <w:proofErr w:type="spellStart"/>
      <w:r w:rsidRPr="00BF22DB">
        <w:rPr>
          <w:sz w:val="24"/>
          <w:szCs w:val="20"/>
        </w:rPr>
        <w:t>сут</w:t>
      </w:r>
      <w:proofErr w:type="spellEnd"/>
      <w:r w:rsidRPr="00BF22DB">
        <w:rPr>
          <w:sz w:val="24"/>
          <w:szCs w:val="20"/>
        </w:rPr>
        <w:t>) и увеличиват</w:t>
      </w:r>
      <w:r>
        <w:rPr>
          <w:sz w:val="24"/>
          <w:szCs w:val="20"/>
        </w:rPr>
        <w:t>ь её до максимума (800 мг/</w:t>
      </w:r>
      <w:proofErr w:type="spellStart"/>
      <w:r>
        <w:rPr>
          <w:sz w:val="24"/>
          <w:szCs w:val="20"/>
        </w:rPr>
        <w:t>сут</w:t>
      </w:r>
      <w:proofErr w:type="spellEnd"/>
      <w:r>
        <w:rPr>
          <w:sz w:val="24"/>
          <w:szCs w:val="20"/>
        </w:rPr>
        <w:t>).</w:t>
      </w:r>
    </w:p>
    <w:p w:rsidR="00BF22DB" w:rsidRDefault="00BF22DB" w:rsidP="00AF2E35">
      <w:pPr>
        <w:spacing w:after="120"/>
        <w:ind w:firstLine="708"/>
        <w:rPr>
          <w:sz w:val="24"/>
          <w:szCs w:val="20"/>
        </w:rPr>
      </w:pPr>
      <w:r>
        <w:rPr>
          <w:sz w:val="24"/>
          <w:szCs w:val="20"/>
        </w:rPr>
        <w:t>О</w:t>
      </w:r>
      <w:r w:rsidRPr="00BF22DB">
        <w:rPr>
          <w:sz w:val="24"/>
          <w:szCs w:val="20"/>
        </w:rPr>
        <w:t>бязательным является назначение ингибиторов</w:t>
      </w:r>
      <w:r w:rsidRPr="00BF22DB">
        <w:t xml:space="preserve"> </w:t>
      </w:r>
      <w:r w:rsidRPr="00BF22DB">
        <w:rPr>
          <w:sz w:val="24"/>
          <w:szCs w:val="20"/>
        </w:rPr>
        <w:t xml:space="preserve">протонной помпы. Следует помнить о риске развития нежелательных явлений: кожная сыпь, нарушение </w:t>
      </w:r>
      <w:r w:rsidRPr="00BF22DB">
        <w:rPr>
          <w:sz w:val="24"/>
          <w:szCs w:val="20"/>
        </w:rPr>
        <w:lastRenderedPageBreak/>
        <w:t xml:space="preserve">менструального цикла, недостаточность функции надпочечников, гипергликемия, </w:t>
      </w:r>
      <w:r>
        <w:rPr>
          <w:sz w:val="24"/>
          <w:szCs w:val="20"/>
        </w:rPr>
        <w:t>тромбозы.</w:t>
      </w:r>
    </w:p>
    <w:p w:rsidR="00BF22DB" w:rsidRDefault="00BF22DB" w:rsidP="00AF2E35">
      <w:pPr>
        <w:spacing w:after="120"/>
        <w:ind w:firstLine="708"/>
        <w:rPr>
          <w:sz w:val="24"/>
          <w:szCs w:val="20"/>
        </w:rPr>
      </w:pPr>
      <w:proofErr w:type="spellStart"/>
      <w:r w:rsidRPr="00BF22DB">
        <w:rPr>
          <w:b/>
          <w:sz w:val="24"/>
          <w:szCs w:val="20"/>
        </w:rPr>
        <w:t>Глюкокортикостероиды</w:t>
      </w:r>
      <w:proofErr w:type="spellEnd"/>
      <w:r>
        <w:rPr>
          <w:sz w:val="24"/>
          <w:szCs w:val="20"/>
        </w:rPr>
        <w:t>.</w:t>
      </w:r>
      <w:r w:rsidRPr="00BF22DB">
        <w:rPr>
          <w:sz w:val="24"/>
          <w:szCs w:val="20"/>
        </w:rPr>
        <w:t xml:space="preserve"> ГКС хорошо известны как препараты, стимулирующие аппетит у онкологических больных. На сегодняшний день нет чётких рекомендаций касательно оптимальных доз и продолжительности лечения ГКС. Большинство исследователей применяли преднизолон 20–40 мг/</w:t>
      </w:r>
      <w:proofErr w:type="spellStart"/>
      <w:r w:rsidRPr="00BF22DB">
        <w:rPr>
          <w:sz w:val="24"/>
          <w:szCs w:val="20"/>
        </w:rPr>
        <w:t>сут</w:t>
      </w:r>
      <w:proofErr w:type="spellEnd"/>
      <w:r w:rsidRPr="00BF22DB">
        <w:rPr>
          <w:sz w:val="24"/>
          <w:szCs w:val="20"/>
        </w:rPr>
        <w:t xml:space="preserve"> или </w:t>
      </w:r>
      <w:proofErr w:type="spellStart"/>
      <w:r w:rsidRPr="00BF22DB">
        <w:rPr>
          <w:sz w:val="24"/>
          <w:szCs w:val="20"/>
        </w:rPr>
        <w:t>дексаметазон</w:t>
      </w:r>
      <w:proofErr w:type="spellEnd"/>
      <w:r w:rsidRPr="00BF22DB">
        <w:rPr>
          <w:sz w:val="24"/>
          <w:szCs w:val="20"/>
        </w:rPr>
        <w:t xml:space="preserve"> в эквивалентных дозах (3–4 мг/</w:t>
      </w:r>
      <w:proofErr w:type="spellStart"/>
      <w:r w:rsidRPr="00BF22DB">
        <w:rPr>
          <w:sz w:val="24"/>
          <w:szCs w:val="20"/>
        </w:rPr>
        <w:t>сут</w:t>
      </w:r>
      <w:proofErr w:type="spellEnd"/>
      <w:r w:rsidRPr="00BF22DB">
        <w:rPr>
          <w:sz w:val="24"/>
          <w:szCs w:val="20"/>
        </w:rPr>
        <w:t>) на протяжении 2–4 недель. Вопросы коррекции симптомов анорексии с помощью ГКС требуют дополнительных исследований. Следует помнить о риске развития нежелательных явлений: миопатия, уменьшение тургора, надпочечниковая недостаточность, резистентность к инсулину, бес</w:t>
      </w:r>
      <w:r>
        <w:rPr>
          <w:sz w:val="24"/>
          <w:szCs w:val="20"/>
        </w:rPr>
        <w:t>сонница, когнитивные нарушения.</w:t>
      </w:r>
    </w:p>
    <w:p w:rsidR="00AF2E35" w:rsidRDefault="00BF22DB" w:rsidP="00AF2E35">
      <w:pPr>
        <w:spacing w:after="120"/>
        <w:ind w:firstLine="708"/>
        <w:rPr>
          <w:sz w:val="24"/>
          <w:szCs w:val="20"/>
        </w:rPr>
      </w:pPr>
      <w:r w:rsidRPr="00BF22DB">
        <w:rPr>
          <w:sz w:val="24"/>
          <w:szCs w:val="20"/>
        </w:rPr>
        <w:t>Обязательным является назначение ингибиторов протонной помпы.</w:t>
      </w:r>
    </w:p>
    <w:p w:rsidR="00BF22DB" w:rsidRDefault="00BF22DB" w:rsidP="00AF2E35">
      <w:pPr>
        <w:spacing w:after="120"/>
        <w:ind w:firstLine="708"/>
        <w:rPr>
          <w:sz w:val="24"/>
          <w:szCs w:val="20"/>
        </w:rPr>
      </w:pPr>
      <w:proofErr w:type="spellStart"/>
      <w:r w:rsidRPr="00BF22DB">
        <w:rPr>
          <w:b/>
          <w:sz w:val="24"/>
          <w:szCs w:val="20"/>
        </w:rPr>
        <w:t>Нутритивная</w:t>
      </w:r>
      <w:proofErr w:type="spellEnd"/>
      <w:r w:rsidRPr="00BF22DB">
        <w:rPr>
          <w:b/>
          <w:sz w:val="24"/>
          <w:szCs w:val="20"/>
        </w:rPr>
        <w:t xml:space="preserve"> поддержка.</w:t>
      </w:r>
      <w:r w:rsidRPr="00BF22DB">
        <w:rPr>
          <w:sz w:val="24"/>
          <w:szCs w:val="20"/>
        </w:rPr>
        <w:t xml:space="preserve"> Основная цель </w:t>
      </w:r>
      <w:proofErr w:type="spellStart"/>
      <w:r w:rsidRPr="00BF22DB">
        <w:rPr>
          <w:sz w:val="24"/>
          <w:szCs w:val="20"/>
        </w:rPr>
        <w:t>нутритивной</w:t>
      </w:r>
      <w:proofErr w:type="spellEnd"/>
      <w:r w:rsidRPr="00BF22DB">
        <w:rPr>
          <w:sz w:val="24"/>
          <w:szCs w:val="20"/>
        </w:rPr>
        <w:t xml:space="preserve"> поддержки при коррекции САКОБ — обеспечение энергетического баланса и оптимального количества белка. Как правило, дефицит белка и энергии у этой категории больных составляет около 300–400</w:t>
      </w:r>
      <w:r>
        <w:rPr>
          <w:sz w:val="24"/>
          <w:szCs w:val="20"/>
        </w:rPr>
        <w:t xml:space="preserve"> Ккал/</w:t>
      </w:r>
      <w:proofErr w:type="spellStart"/>
      <w:r>
        <w:rPr>
          <w:sz w:val="24"/>
          <w:szCs w:val="20"/>
        </w:rPr>
        <w:t>сут</w:t>
      </w:r>
      <w:proofErr w:type="spellEnd"/>
      <w:r>
        <w:rPr>
          <w:sz w:val="24"/>
          <w:szCs w:val="20"/>
        </w:rPr>
        <w:t xml:space="preserve"> и 0,5 г белка/кг/</w:t>
      </w:r>
      <w:proofErr w:type="spellStart"/>
      <w:r>
        <w:rPr>
          <w:sz w:val="24"/>
          <w:szCs w:val="20"/>
        </w:rPr>
        <w:t>сут</w:t>
      </w:r>
      <w:proofErr w:type="spellEnd"/>
      <w:r>
        <w:rPr>
          <w:sz w:val="24"/>
          <w:szCs w:val="20"/>
        </w:rPr>
        <w:t>.</w:t>
      </w:r>
    </w:p>
    <w:p w:rsidR="00BF22DB" w:rsidRDefault="00BF22DB" w:rsidP="00AF2E35">
      <w:pPr>
        <w:spacing w:after="120"/>
        <w:ind w:firstLine="708"/>
        <w:rPr>
          <w:sz w:val="24"/>
          <w:szCs w:val="20"/>
        </w:rPr>
      </w:pPr>
      <w:r w:rsidRPr="00BF22DB">
        <w:rPr>
          <w:sz w:val="24"/>
          <w:szCs w:val="20"/>
        </w:rPr>
        <w:t xml:space="preserve">Согласно эмпирическому подходу, пациенты, страдающие САКОБ должны получать 25–30 ккал/кг массы тела; белка не ниже 1 г/кг массы тела, при возможности –1,5 г/кг массы тела. Соотношение калорий: белки/жиры/углеводы — 20%/35–50%/50%, соответственно. Предпочтительным является назначение </w:t>
      </w:r>
      <w:proofErr w:type="spellStart"/>
      <w:r w:rsidRPr="00BF22DB">
        <w:rPr>
          <w:sz w:val="24"/>
          <w:szCs w:val="20"/>
        </w:rPr>
        <w:t>сип</w:t>
      </w:r>
      <w:r>
        <w:rPr>
          <w:sz w:val="24"/>
          <w:szCs w:val="20"/>
        </w:rPr>
        <w:t>п</w:t>
      </w:r>
      <w:r w:rsidRPr="00BF22DB">
        <w:rPr>
          <w:sz w:val="24"/>
          <w:szCs w:val="20"/>
        </w:rPr>
        <w:t>ингового</w:t>
      </w:r>
      <w:proofErr w:type="spellEnd"/>
      <w:r w:rsidRPr="00BF22DB">
        <w:rPr>
          <w:sz w:val="24"/>
          <w:szCs w:val="20"/>
        </w:rPr>
        <w:t xml:space="preserve"> </w:t>
      </w:r>
      <w:proofErr w:type="spellStart"/>
      <w:r w:rsidRPr="00BF22DB">
        <w:rPr>
          <w:sz w:val="24"/>
          <w:szCs w:val="20"/>
        </w:rPr>
        <w:t>гипернитрогенного</w:t>
      </w:r>
      <w:proofErr w:type="spellEnd"/>
      <w:r w:rsidRPr="00BF22DB">
        <w:rPr>
          <w:sz w:val="24"/>
          <w:szCs w:val="20"/>
        </w:rPr>
        <w:t xml:space="preserve"> и </w:t>
      </w:r>
      <w:proofErr w:type="spellStart"/>
      <w:r w:rsidRPr="00BF22DB">
        <w:rPr>
          <w:sz w:val="24"/>
          <w:szCs w:val="20"/>
        </w:rPr>
        <w:t>гиперкалорийного</w:t>
      </w:r>
      <w:proofErr w:type="spellEnd"/>
      <w:r w:rsidRPr="00BF22DB">
        <w:rPr>
          <w:sz w:val="24"/>
          <w:szCs w:val="20"/>
        </w:rPr>
        <w:t xml:space="preserve"> специализированн</w:t>
      </w:r>
      <w:r>
        <w:rPr>
          <w:sz w:val="24"/>
          <w:szCs w:val="20"/>
        </w:rPr>
        <w:t>ого питания, обогащённого омега</w:t>
      </w:r>
      <w:r w:rsidRPr="00BF22DB">
        <w:rPr>
          <w:sz w:val="24"/>
          <w:szCs w:val="20"/>
        </w:rPr>
        <w:t>-3-ПНЖК, что увеличивает мышечную массу, улучшает аппетит, снижает слабость и улучшает качество жизни.</w:t>
      </w:r>
    </w:p>
    <w:p w:rsidR="00AF2E35" w:rsidRPr="003B4C31" w:rsidRDefault="00BF22DB" w:rsidP="00AF2E35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7" w:name="_Toc136093047"/>
      <w:r>
        <w:rPr>
          <w:b/>
          <w:bCs/>
          <w:color w:val="auto"/>
          <w:sz w:val="28"/>
          <w:szCs w:val="28"/>
        </w:rPr>
        <w:t xml:space="preserve">Принципы и цели </w:t>
      </w:r>
      <w:proofErr w:type="spellStart"/>
      <w:r>
        <w:rPr>
          <w:b/>
          <w:bCs/>
          <w:color w:val="auto"/>
          <w:sz w:val="28"/>
          <w:szCs w:val="28"/>
        </w:rPr>
        <w:t>нутритивной</w:t>
      </w:r>
      <w:proofErr w:type="spellEnd"/>
      <w:r>
        <w:rPr>
          <w:b/>
          <w:bCs/>
          <w:color w:val="auto"/>
          <w:sz w:val="28"/>
          <w:szCs w:val="28"/>
        </w:rPr>
        <w:t xml:space="preserve"> поддержки у онкологических больных</w:t>
      </w:r>
      <w:bookmarkEnd w:id="7"/>
    </w:p>
    <w:p w:rsidR="00BF22DB" w:rsidRPr="00BF22DB" w:rsidRDefault="00AF2E35" w:rsidP="00AF2E35">
      <w:pPr>
        <w:spacing w:after="120"/>
        <w:rPr>
          <w:sz w:val="24"/>
        </w:rPr>
      </w:pPr>
      <w:r w:rsidRPr="00BF22DB">
        <w:rPr>
          <w:sz w:val="24"/>
        </w:rPr>
        <w:tab/>
      </w:r>
      <w:r w:rsidR="00BF22DB" w:rsidRPr="00BF22DB">
        <w:rPr>
          <w:sz w:val="24"/>
        </w:rPr>
        <w:t xml:space="preserve">Цели </w:t>
      </w:r>
      <w:proofErr w:type="spellStart"/>
      <w:r w:rsidR="00BF22DB" w:rsidRPr="00BF22DB">
        <w:rPr>
          <w:sz w:val="24"/>
        </w:rPr>
        <w:t>нутритивной</w:t>
      </w:r>
      <w:proofErr w:type="spellEnd"/>
      <w:r w:rsidR="00BF22DB" w:rsidRPr="00BF22DB">
        <w:rPr>
          <w:sz w:val="24"/>
        </w:rPr>
        <w:t xml:space="preserve"> поддержки:</w:t>
      </w:r>
    </w:p>
    <w:p w:rsidR="00BF22DB" w:rsidRDefault="00BF22DB" w:rsidP="00BF22DB">
      <w:pPr>
        <w:pStyle w:val="a3"/>
        <w:numPr>
          <w:ilvl w:val="0"/>
          <w:numId w:val="12"/>
        </w:numPr>
        <w:spacing w:after="120"/>
        <w:rPr>
          <w:sz w:val="24"/>
        </w:rPr>
      </w:pPr>
      <w:r w:rsidRPr="00BF22DB">
        <w:rPr>
          <w:sz w:val="24"/>
        </w:rPr>
        <w:t>Поддержание оптимальной массы тела;</w:t>
      </w:r>
    </w:p>
    <w:p w:rsidR="00BF22DB" w:rsidRDefault="00BF22DB" w:rsidP="00BF22DB">
      <w:pPr>
        <w:pStyle w:val="a3"/>
        <w:numPr>
          <w:ilvl w:val="0"/>
          <w:numId w:val="12"/>
        </w:numPr>
        <w:spacing w:after="120"/>
        <w:rPr>
          <w:sz w:val="24"/>
        </w:rPr>
      </w:pPr>
      <w:r w:rsidRPr="00BF22DB">
        <w:rPr>
          <w:sz w:val="24"/>
        </w:rPr>
        <w:t>предотвращение или коррекция дефицита макро- и микронутриентов;</w:t>
      </w:r>
    </w:p>
    <w:p w:rsidR="00BF22DB" w:rsidRDefault="00BF22DB" w:rsidP="00BF22DB">
      <w:pPr>
        <w:pStyle w:val="a3"/>
        <w:numPr>
          <w:ilvl w:val="0"/>
          <w:numId w:val="12"/>
        </w:numPr>
        <w:spacing w:after="120"/>
        <w:rPr>
          <w:sz w:val="24"/>
        </w:rPr>
      </w:pPr>
      <w:r w:rsidRPr="00BF22DB">
        <w:rPr>
          <w:sz w:val="24"/>
        </w:rPr>
        <w:t>повышение переносим</w:t>
      </w:r>
      <w:r>
        <w:rPr>
          <w:sz w:val="24"/>
        </w:rPr>
        <w:t>ости противоопухолевой терапии;</w:t>
      </w:r>
    </w:p>
    <w:p w:rsidR="00BF22DB" w:rsidRDefault="00BF22DB" w:rsidP="00BF22DB">
      <w:pPr>
        <w:pStyle w:val="a3"/>
        <w:numPr>
          <w:ilvl w:val="0"/>
          <w:numId w:val="12"/>
        </w:numPr>
        <w:spacing w:after="120"/>
        <w:rPr>
          <w:sz w:val="24"/>
        </w:rPr>
      </w:pPr>
      <w:r w:rsidRPr="00BF22DB">
        <w:rPr>
          <w:sz w:val="24"/>
        </w:rPr>
        <w:t>снижение выраженн</w:t>
      </w:r>
      <w:r>
        <w:rPr>
          <w:sz w:val="24"/>
        </w:rPr>
        <w:t>ости побочных эффектов ХТ и ЛТ;</w:t>
      </w:r>
    </w:p>
    <w:p w:rsidR="00BF22DB" w:rsidRDefault="00BF22DB" w:rsidP="00BF22DB">
      <w:pPr>
        <w:pStyle w:val="a3"/>
        <w:numPr>
          <w:ilvl w:val="0"/>
          <w:numId w:val="12"/>
        </w:numPr>
        <w:spacing w:after="120"/>
        <w:rPr>
          <w:sz w:val="24"/>
        </w:rPr>
      </w:pPr>
      <w:r w:rsidRPr="00BF22DB">
        <w:rPr>
          <w:sz w:val="24"/>
        </w:rPr>
        <w:t>повышение уровня качества жизни.</w:t>
      </w:r>
    </w:p>
    <w:p w:rsidR="00836D20" w:rsidRDefault="00BF22DB" w:rsidP="00836D20">
      <w:pPr>
        <w:spacing w:after="120"/>
        <w:ind w:firstLine="360"/>
        <w:rPr>
          <w:sz w:val="24"/>
        </w:rPr>
      </w:pPr>
      <w:r w:rsidRPr="00BF22DB">
        <w:rPr>
          <w:sz w:val="24"/>
        </w:rPr>
        <w:t>Неадекватный приём пищи у онкологических больных встречается часто и, как правило, ассоциирован с существенной потерей массы тела. Неадекватным следует считать питание, при котором пациент не может сам обеспечить поступление более 60% от своих энергетических потребностей в течение 1–2 недель.</w:t>
      </w:r>
    </w:p>
    <w:p w:rsidR="00836D20" w:rsidRDefault="00BF22DB" w:rsidP="00836D20">
      <w:pPr>
        <w:spacing w:after="120"/>
        <w:ind w:firstLine="360"/>
        <w:rPr>
          <w:sz w:val="24"/>
        </w:rPr>
      </w:pPr>
      <w:r w:rsidRPr="00BF22DB">
        <w:rPr>
          <w:sz w:val="24"/>
        </w:rPr>
        <w:t xml:space="preserve">Для онкологического процесса характерна потеря мышечной массы, которая вносит значимый вклад в снижение физической активности и переносимости лечебных методов. У пациентов с высоким риском развития </w:t>
      </w:r>
      <w:proofErr w:type="spellStart"/>
      <w:r w:rsidRPr="00BF22DB">
        <w:rPr>
          <w:sz w:val="24"/>
        </w:rPr>
        <w:t>нутритивной</w:t>
      </w:r>
      <w:proofErr w:type="spellEnd"/>
      <w:r w:rsidRPr="00BF22DB">
        <w:rPr>
          <w:sz w:val="24"/>
        </w:rPr>
        <w:t xml:space="preserve"> недостаточности целесообразно увеличивать объём пищи, корректируя</w:t>
      </w:r>
      <w:r>
        <w:rPr>
          <w:sz w:val="24"/>
        </w:rPr>
        <w:t xml:space="preserve"> </w:t>
      </w:r>
      <w:r w:rsidRPr="00BF22DB">
        <w:rPr>
          <w:sz w:val="24"/>
        </w:rPr>
        <w:t xml:space="preserve">диету и/или назначая дополнительно пероральные </w:t>
      </w:r>
      <w:proofErr w:type="spellStart"/>
      <w:r w:rsidRPr="00BF22DB">
        <w:rPr>
          <w:sz w:val="24"/>
        </w:rPr>
        <w:t>энтеральные</w:t>
      </w:r>
      <w:proofErr w:type="spellEnd"/>
      <w:r w:rsidRPr="00BF22DB">
        <w:rPr>
          <w:sz w:val="24"/>
        </w:rPr>
        <w:t xml:space="preserve"> смеси. Рекомендуемое обеспечение белком должно составлять не менее 1,2 г/кг массы тела в день, по возможности 1,5 г/кг массы тела в день. Дозы витаминов и минералов должны соответствовать суточной потребности, использование высоких количеств микронутриентов при отсутствии специфического дефицита не оправдано. Энергетические потребности онкологических больных, если они не измерялись индивидуально, с</w:t>
      </w:r>
      <w:r w:rsidR="00836D20">
        <w:rPr>
          <w:sz w:val="24"/>
        </w:rPr>
        <w:t>оставляют 25–30 ккал/кг МТ/</w:t>
      </w:r>
      <w:proofErr w:type="spellStart"/>
      <w:r w:rsidR="00836D20">
        <w:rPr>
          <w:sz w:val="24"/>
        </w:rPr>
        <w:t>сут</w:t>
      </w:r>
      <w:proofErr w:type="spellEnd"/>
      <w:r w:rsidR="00836D20">
        <w:rPr>
          <w:sz w:val="24"/>
        </w:rPr>
        <w:t>.</w:t>
      </w:r>
    </w:p>
    <w:p w:rsidR="00BF22DB" w:rsidRPr="00BF22DB" w:rsidRDefault="00BF22DB" w:rsidP="00836D20">
      <w:pPr>
        <w:spacing w:after="120"/>
        <w:ind w:firstLine="360"/>
        <w:rPr>
          <w:sz w:val="24"/>
        </w:rPr>
      </w:pPr>
      <w:r w:rsidRPr="00BF22DB">
        <w:rPr>
          <w:sz w:val="24"/>
        </w:rPr>
        <w:t xml:space="preserve">Для повышения энергетической ценности диеты и снижения гликемической нагрузки теряющим вес онкологическим больным с </w:t>
      </w:r>
      <w:proofErr w:type="spellStart"/>
      <w:r w:rsidRPr="00BF22DB">
        <w:rPr>
          <w:sz w:val="24"/>
        </w:rPr>
        <w:t>инсулинорезистентностью</w:t>
      </w:r>
      <w:proofErr w:type="spellEnd"/>
      <w:r w:rsidRPr="00BF22DB">
        <w:rPr>
          <w:sz w:val="24"/>
        </w:rPr>
        <w:t xml:space="preserve"> показано увеличение в пищевом рационе количества жиров. У пациентов с кахексией жиры могут обеспечивать половину небелковых калорий. При длительном голодании при назначении </w:t>
      </w:r>
      <w:proofErr w:type="spellStart"/>
      <w:r w:rsidRPr="00BF22DB">
        <w:rPr>
          <w:sz w:val="24"/>
        </w:rPr>
        <w:lastRenderedPageBreak/>
        <w:t>нутритивной</w:t>
      </w:r>
      <w:proofErr w:type="spellEnd"/>
      <w:r w:rsidRPr="00BF22DB">
        <w:rPr>
          <w:sz w:val="24"/>
        </w:rPr>
        <w:t xml:space="preserve"> поддержки необходимо увеличивать объем питания (перорального, </w:t>
      </w:r>
      <w:proofErr w:type="spellStart"/>
      <w:r w:rsidRPr="00BF22DB">
        <w:rPr>
          <w:sz w:val="24"/>
        </w:rPr>
        <w:t>энтерального</w:t>
      </w:r>
      <w:proofErr w:type="spellEnd"/>
      <w:r w:rsidRPr="00BF22DB">
        <w:rPr>
          <w:sz w:val="24"/>
        </w:rPr>
        <w:t xml:space="preserve"> или парентерального) постепенно, в течение нескольких дней, а также принимать дополнительные меры предосторожности для предотвращения развития </w:t>
      </w:r>
      <w:proofErr w:type="spellStart"/>
      <w:r w:rsidRPr="00BF22DB">
        <w:rPr>
          <w:sz w:val="24"/>
        </w:rPr>
        <w:t>рефидинг</w:t>
      </w:r>
      <w:proofErr w:type="spellEnd"/>
      <w:r w:rsidRPr="00BF22DB">
        <w:rPr>
          <w:sz w:val="24"/>
        </w:rPr>
        <w:t xml:space="preserve">-синдрома (синдрома возобновления питания). Пациентам с хронической недостаточностью питания и/или неконтролируемой </w:t>
      </w:r>
      <w:proofErr w:type="spellStart"/>
      <w:r w:rsidRPr="00BF22DB">
        <w:rPr>
          <w:sz w:val="24"/>
        </w:rPr>
        <w:t>мальабсорбцией</w:t>
      </w:r>
      <w:proofErr w:type="spellEnd"/>
      <w:r w:rsidRPr="00BF22DB">
        <w:rPr>
          <w:sz w:val="24"/>
        </w:rPr>
        <w:t xml:space="preserve"> рекомендовано домашнее ЭП.</w:t>
      </w:r>
    </w:p>
    <w:p w:rsidR="00AF2E35" w:rsidRPr="003B4C31" w:rsidRDefault="00836D20" w:rsidP="00AF2E35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8" w:name="_Toc136093048"/>
      <w:r>
        <w:rPr>
          <w:b/>
          <w:bCs/>
          <w:color w:val="auto"/>
          <w:sz w:val="28"/>
          <w:szCs w:val="28"/>
        </w:rPr>
        <w:t xml:space="preserve">Показания к </w:t>
      </w:r>
      <w:proofErr w:type="spellStart"/>
      <w:r>
        <w:rPr>
          <w:b/>
          <w:bCs/>
          <w:color w:val="auto"/>
          <w:sz w:val="28"/>
          <w:szCs w:val="28"/>
        </w:rPr>
        <w:t>нутритивной</w:t>
      </w:r>
      <w:proofErr w:type="spellEnd"/>
      <w:r>
        <w:rPr>
          <w:b/>
          <w:bCs/>
          <w:color w:val="auto"/>
          <w:sz w:val="28"/>
          <w:szCs w:val="28"/>
        </w:rPr>
        <w:t xml:space="preserve"> поддержке</w:t>
      </w:r>
      <w:bookmarkEnd w:id="8"/>
    </w:p>
    <w:p w:rsidR="00836D20" w:rsidRDefault="00836D20" w:rsidP="00AF2E35">
      <w:pPr>
        <w:spacing w:after="120"/>
        <w:ind w:firstLine="708"/>
        <w:rPr>
          <w:sz w:val="24"/>
          <w:szCs w:val="20"/>
        </w:rPr>
      </w:pPr>
      <w:r w:rsidRPr="00836D20">
        <w:rPr>
          <w:sz w:val="24"/>
          <w:szCs w:val="20"/>
        </w:rPr>
        <w:t>Для диагностики степени недостаточности питания предложено много критериев. Однако первым этапом является скрининг недостаточности питания, который необходимо проводить на протяжении всего времени ле</w:t>
      </w:r>
      <w:r>
        <w:rPr>
          <w:sz w:val="24"/>
          <w:szCs w:val="20"/>
        </w:rPr>
        <w:t>чения онкологического больного.</w:t>
      </w:r>
    </w:p>
    <w:p w:rsidR="00836D20" w:rsidRDefault="00836D20" w:rsidP="00AF2E35">
      <w:pPr>
        <w:spacing w:after="120"/>
        <w:ind w:firstLine="708"/>
        <w:rPr>
          <w:sz w:val="24"/>
          <w:szCs w:val="20"/>
        </w:rPr>
      </w:pPr>
      <w:r w:rsidRPr="00836D20">
        <w:rPr>
          <w:sz w:val="24"/>
          <w:szCs w:val="20"/>
        </w:rPr>
        <w:t xml:space="preserve">Своевременное выявление пациентов из группы </w:t>
      </w:r>
      <w:proofErr w:type="spellStart"/>
      <w:r w:rsidRPr="00836D20">
        <w:rPr>
          <w:sz w:val="24"/>
          <w:szCs w:val="20"/>
        </w:rPr>
        <w:t>нутритивного</w:t>
      </w:r>
      <w:proofErr w:type="spellEnd"/>
      <w:r w:rsidRPr="00836D20">
        <w:rPr>
          <w:sz w:val="24"/>
          <w:szCs w:val="20"/>
        </w:rPr>
        <w:t xml:space="preserve"> риска позволяет защитить пациента от прогрессирующей потери массы тела и развития рефрактерной кахексии. </w:t>
      </w:r>
      <w:r w:rsidRPr="00836D20">
        <w:rPr>
          <w:b/>
          <w:sz w:val="24"/>
          <w:szCs w:val="20"/>
        </w:rPr>
        <w:t>Для первичного скрининга наиболее удобно использовать хорошо зарекомендовавшие себя шкалы, такие как NRS-2002 (</w:t>
      </w:r>
      <w:proofErr w:type="spellStart"/>
      <w:r w:rsidRPr="00836D20">
        <w:rPr>
          <w:b/>
          <w:sz w:val="24"/>
          <w:szCs w:val="20"/>
        </w:rPr>
        <w:t>Nutritional</w:t>
      </w:r>
      <w:proofErr w:type="spellEnd"/>
      <w:r w:rsidRPr="00836D20">
        <w:rPr>
          <w:b/>
          <w:sz w:val="24"/>
          <w:szCs w:val="20"/>
        </w:rPr>
        <w:t xml:space="preserve"> </w:t>
      </w:r>
      <w:proofErr w:type="spellStart"/>
      <w:r w:rsidRPr="00836D20">
        <w:rPr>
          <w:b/>
          <w:sz w:val="24"/>
          <w:szCs w:val="20"/>
        </w:rPr>
        <w:t>Risk</w:t>
      </w:r>
      <w:proofErr w:type="spellEnd"/>
      <w:r w:rsidRPr="00836D20">
        <w:rPr>
          <w:b/>
          <w:sz w:val="24"/>
          <w:szCs w:val="20"/>
        </w:rPr>
        <w:t xml:space="preserve"> </w:t>
      </w:r>
      <w:proofErr w:type="spellStart"/>
      <w:r w:rsidRPr="00836D20">
        <w:rPr>
          <w:b/>
          <w:sz w:val="24"/>
          <w:szCs w:val="20"/>
        </w:rPr>
        <w:t>Screening</w:t>
      </w:r>
      <w:proofErr w:type="spellEnd"/>
      <w:r w:rsidRPr="00836D20">
        <w:rPr>
          <w:b/>
          <w:sz w:val="24"/>
          <w:szCs w:val="20"/>
        </w:rPr>
        <w:t>).</w:t>
      </w:r>
    </w:p>
    <w:p w:rsidR="00836D20" w:rsidRDefault="00836D20" w:rsidP="00836D20">
      <w:pPr>
        <w:spacing w:after="120"/>
        <w:jc w:val="center"/>
        <w:rPr>
          <w:sz w:val="24"/>
          <w:szCs w:val="20"/>
        </w:rPr>
      </w:pPr>
      <w:r w:rsidRPr="00836D20">
        <w:rPr>
          <w:noProof/>
          <w:sz w:val="24"/>
          <w:szCs w:val="20"/>
          <w:lang w:eastAsia="ru-RU"/>
        </w:rPr>
        <w:drawing>
          <wp:inline distT="0" distB="0" distL="0" distR="0">
            <wp:extent cx="4235570" cy="2210193"/>
            <wp:effectExtent l="0" t="0" r="0" b="0"/>
            <wp:docPr id="11" name="Рисунок 11" descr="https://cf.ppt-online.org/files1/slide/g/gRLiNju0JU39DsfXM8Ppa5lHFbByQ2d7xoekYtrWTv/slide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g/gRLiNju0JU39DsfXM8Ppa5lHFbByQ2d7xoekYtrWTv/slide-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" t="518" b="11127"/>
                    <a:stretch/>
                  </pic:blipFill>
                  <pic:spPr bwMode="auto">
                    <a:xfrm>
                      <a:off x="0" y="0"/>
                      <a:ext cx="4273324" cy="222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D20" w:rsidRDefault="00836D20" w:rsidP="00836D20">
      <w:pPr>
        <w:spacing w:after="120"/>
        <w:jc w:val="center"/>
        <w:rPr>
          <w:sz w:val="24"/>
          <w:szCs w:val="20"/>
        </w:rPr>
      </w:pPr>
      <w:r w:rsidRPr="00836D20">
        <w:rPr>
          <w:noProof/>
          <w:sz w:val="24"/>
          <w:szCs w:val="20"/>
          <w:lang w:eastAsia="ru-RU"/>
        </w:rPr>
        <w:drawing>
          <wp:inline distT="0" distB="0" distL="0" distR="0">
            <wp:extent cx="4666890" cy="2380738"/>
            <wp:effectExtent l="0" t="0" r="635" b="635"/>
            <wp:docPr id="12" name="Рисунок 12" descr="https://cf.ppt-online.org/files1/slide/g/gRLiNju0JU39DsfXM8Ppa5lHFbByQ2d7xoekYtrWTv/slide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1/slide/g/gRLiNju0JU39DsfXM8Ppa5lHFbByQ2d7xoekYtrWTv/slide-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6" b="11904"/>
                    <a:stretch/>
                  </pic:blipFill>
                  <pic:spPr bwMode="auto">
                    <a:xfrm>
                      <a:off x="0" y="0"/>
                      <a:ext cx="4687012" cy="239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E35" w:rsidRPr="003B4C31" w:rsidRDefault="00836D20" w:rsidP="00AF2E35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9" w:name="_Toc136093049"/>
      <w:r>
        <w:rPr>
          <w:b/>
          <w:bCs/>
          <w:color w:val="auto"/>
          <w:sz w:val="28"/>
          <w:szCs w:val="28"/>
        </w:rPr>
        <w:t xml:space="preserve">Виды </w:t>
      </w:r>
      <w:proofErr w:type="spellStart"/>
      <w:r>
        <w:rPr>
          <w:b/>
          <w:bCs/>
          <w:color w:val="auto"/>
          <w:sz w:val="28"/>
          <w:szCs w:val="28"/>
        </w:rPr>
        <w:t>нутритивной</w:t>
      </w:r>
      <w:proofErr w:type="spellEnd"/>
      <w:r>
        <w:rPr>
          <w:b/>
          <w:bCs/>
          <w:color w:val="auto"/>
          <w:sz w:val="28"/>
          <w:szCs w:val="28"/>
        </w:rPr>
        <w:t xml:space="preserve"> поддержки</w:t>
      </w:r>
      <w:bookmarkEnd w:id="9"/>
    </w:p>
    <w:p w:rsidR="00836D20" w:rsidRDefault="00AF2E35" w:rsidP="00AF2E35">
      <w:pPr>
        <w:spacing w:after="120"/>
        <w:rPr>
          <w:sz w:val="24"/>
        </w:rPr>
      </w:pPr>
      <w:r>
        <w:tab/>
      </w:r>
      <w:r w:rsidR="00836D20" w:rsidRPr="00836D20">
        <w:rPr>
          <w:sz w:val="24"/>
        </w:rPr>
        <w:t xml:space="preserve">Выделяют три вида </w:t>
      </w:r>
      <w:proofErr w:type="spellStart"/>
      <w:r w:rsidR="00836D20" w:rsidRPr="00836D20">
        <w:rPr>
          <w:sz w:val="24"/>
        </w:rPr>
        <w:t>нутритивной</w:t>
      </w:r>
      <w:proofErr w:type="spellEnd"/>
      <w:r w:rsidR="00836D20" w:rsidRPr="00836D20">
        <w:rPr>
          <w:sz w:val="24"/>
        </w:rPr>
        <w:t xml:space="preserve"> поддержки:</w:t>
      </w:r>
    </w:p>
    <w:p w:rsidR="00836D20" w:rsidRPr="00836D20" w:rsidRDefault="00836D20" w:rsidP="00836D20">
      <w:pPr>
        <w:pStyle w:val="a3"/>
        <w:numPr>
          <w:ilvl w:val="0"/>
          <w:numId w:val="13"/>
        </w:numPr>
        <w:spacing w:after="120"/>
      </w:pPr>
      <w:r w:rsidRPr="00836D20">
        <w:rPr>
          <w:sz w:val="24"/>
        </w:rPr>
        <w:t>Дополнение к пероральному питанию (</w:t>
      </w:r>
      <w:proofErr w:type="spellStart"/>
      <w:r w:rsidRPr="00836D20">
        <w:rPr>
          <w:sz w:val="24"/>
        </w:rPr>
        <w:t>сип</w:t>
      </w:r>
      <w:r>
        <w:rPr>
          <w:sz w:val="24"/>
        </w:rPr>
        <w:t>п</w:t>
      </w:r>
      <w:r w:rsidRPr="00836D20">
        <w:rPr>
          <w:sz w:val="24"/>
        </w:rPr>
        <w:t>инг</w:t>
      </w:r>
      <w:proofErr w:type="spellEnd"/>
      <w:r w:rsidRPr="00836D20">
        <w:rPr>
          <w:sz w:val="24"/>
        </w:rPr>
        <w:t xml:space="preserve"> — пероральный приём лечебного (специализированного) питания малень</w:t>
      </w:r>
      <w:r>
        <w:rPr>
          <w:sz w:val="24"/>
        </w:rPr>
        <w:t>кими глотками (50–100 мл в час)</w:t>
      </w:r>
    </w:p>
    <w:p w:rsidR="00836D20" w:rsidRPr="00836D20" w:rsidRDefault="00836D20" w:rsidP="00836D20">
      <w:pPr>
        <w:pStyle w:val="a3"/>
        <w:numPr>
          <w:ilvl w:val="0"/>
          <w:numId w:val="13"/>
        </w:numPr>
        <w:spacing w:after="120"/>
      </w:pPr>
      <w:proofErr w:type="spellStart"/>
      <w:r w:rsidRPr="00836D20">
        <w:rPr>
          <w:sz w:val="24"/>
        </w:rPr>
        <w:t>Энтеральное</w:t>
      </w:r>
      <w:proofErr w:type="spellEnd"/>
      <w:r w:rsidRPr="00836D20">
        <w:rPr>
          <w:sz w:val="24"/>
        </w:rPr>
        <w:t xml:space="preserve"> питание (через </w:t>
      </w:r>
      <w:proofErr w:type="spellStart"/>
      <w:r w:rsidRPr="00836D20">
        <w:rPr>
          <w:sz w:val="24"/>
        </w:rPr>
        <w:t>назогастральный</w:t>
      </w:r>
      <w:proofErr w:type="spellEnd"/>
      <w:r w:rsidRPr="00836D20">
        <w:rPr>
          <w:sz w:val="24"/>
        </w:rPr>
        <w:t xml:space="preserve"> или </w:t>
      </w:r>
      <w:proofErr w:type="spellStart"/>
      <w:r w:rsidRPr="00836D20">
        <w:rPr>
          <w:sz w:val="24"/>
        </w:rPr>
        <w:t>назоинтестинальный</w:t>
      </w:r>
      <w:proofErr w:type="spellEnd"/>
      <w:r w:rsidRPr="00836D20">
        <w:rPr>
          <w:sz w:val="24"/>
        </w:rPr>
        <w:t xml:space="preserve"> зонд, через </w:t>
      </w:r>
      <w:proofErr w:type="spellStart"/>
      <w:r w:rsidRPr="00836D20">
        <w:rPr>
          <w:sz w:val="24"/>
        </w:rPr>
        <w:t>стому</w:t>
      </w:r>
      <w:proofErr w:type="spellEnd"/>
      <w:r w:rsidRPr="00836D20">
        <w:rPr>
          <w:sz w:val="24"/>
        </w:rPr>
        <w:t xml:space="preserve"> (</w:t>
      </w:r>
      <w:proofErr w:type="spellStart"/>
      <w:r w:rsidRPr="00836D20">
        <w:rPr>
          <w:sz w:val="24"/>
        </w:rPr>
        <w:t>чрескожную</w:t>
      </w:r>
      <w:proofErr w:type="spellEnd"/>
      <w:r w:rsidRPr="00836D20">
        <w:rPr>
          <w:sz w:val="24"/>
        </w:rPr>
        <w:t xml:space="preserve">, эндоскопическую, </w:t>
      </w:r>
      <w:proofErr w:type="spellStart"/>
      <w:r w:rsidRPr="00836D20">
        <w:rPr>
          <w:sz w:val="24"/>
        </w:rPr>
        <w:t>лапароскопическую</w:t>
      </w:r>
      <w:proofErr w:type="spellEnd"/>
      <w:r w:rsidRPr="00836D20">
        <w:rPr>
          <w:sz w:val="24"/>
        </w:rPr>
        <w:t xml:space="preserve">, </w:t>
      </w:r>
      <w:proofErr w:type="spellStart"/>
      <w:r w:rsidRPr="00836D20">
        <w:rPr>
          <w:sz w:val="24"/>
        </w:rPr>
        <w:t>лапаротомную</w:t>
      </w:r>
      <w:proofErr w:type="spellEnd"/>
      <w:r w:rsidRPr="00836D20">
        <w:rPr>
          <w:sz w:val="24"/>
        </w:rPr>
        <w:t>)</w:t>
      </w:r>
    </w:p>
    <w:p w:rsidR="00836D20" w:rsidRPr="00836D20" w:rsidRDefault="00836D20" w:rsidP="00836D20">
      <w:pPr>
        <w:pStyle w:val="a3"/>
        <w:numPr>
          <w:ilvl w:val="0"/>
          <w:numId w:val="13"/>
        </w:numPr>
        <w:spacing w:after="120"/>
      </w:pPr>
      <w:r w:rsidRPr="00836D20">
        <w:rPr>
          <w:sz w:val="24"/>
        </w:rPr>
        <w:t>Парентеральное питание</w:t>
      </w:r>
    </w:p>
    <w:p w:rsidR="00836D20" w:rsidRPr="00836D20" w:rsidRDefault="00836D20" w:rsidP="00836D20">
      <w:pPr>
        <w:spacing w:after="120"/>
        <w:rPr>
          <w:b/>
          <w:sz w:val="24"/>
        </w:rPr>
      </w:pPr>
      <w:proofErr w:type="spellStart"/>
      <w:r w:rsidRPr="00836D20">
        <w:rPr>
          <w:b/>
          <w:sz w:val="24"/>
        </w:rPr>
        <w:lastRenderedPageBreak/>
        <w:t>Энтеральное</w:t>
      </w:r>
      <w:proofErr w:type="spellEnd"/>
      <w:r w:rsidRPr="00836D20">
        <w:rPr>
          <w:b/>
          <w:sz w:val="24"/>
        </w:rPr>
        <w:t xml:space="preserve"> питание.</w:t>
      </w:r>
    </w:p>
    <w:p w:rsidR="00836D20" w:rsidRDefault="00836D20" w:rsidP="00836D20">
      <w:pPr>
        <w:spacing w:after="120"/>
        <w:ind w:firstLine="708"/>
        <w:rPr>
          <w:sz w:val="24"/>
        </w:rPr>
      </w:pPr>
      <w:r w:rsidRPr="00836D20">
        <w:rPr>
          <w:sz w:val="24"/>
        </w:rPr>
        <w:t xml:space="preserve">Для </w:t>
      </w:r>
      <w:proofErr w:type="spellStart"/>
      <w:r w:rsidRPr="00836D20">
        <w:rPr>
          <w:sz w:val="24"/>
        </w:rPr>
        <w:t>энтерального</w:t>
      </w:r>
      <w:proofErr w:type="spellEnd"/>
      <w:r w:rsidRPr="00836D20">
        <w:rPr>
          <w:sz w:val="24"/>
        </w:rPr>
        <w:t xml:space="preserve"> питания используются готовые лечебные питательные смеси, изготовленные промышленным способом, которые можно вводить в ЖКТ. Спортивное питание в этом контексте не рассматривается. </w:t>
      </w:r>
      <w:proofErr w:type="spellStart"/>
      <w:r w:rsidRPr="00836D20">
        <w:rPr>
          <w:sz w:val="24"/>
        </w:rPr>
        <w:t>Энтеральное</w:t>
      </w:r>
      <w:proofErr w:type="spellEnd"/>
      <w:r w:rsidRPr="00836D20">
        <w:rPr>
          <w:sz w:val="24"/>
        </w:rPr>
        <w:t xml:space="preserve"> питание является предпочтительным способом </w:t>
      </w:r>
      <w:proofErr w:type="spellStart"/>
      <w:r w:rsidRPr="00836D20">
        <w:rPr>
          <w:sz w:val="24"/>
        </w:rPr>
        <w:t>нутритивной</w:t>
      </w:r>
      <w:proofErr w:type="spellEnd"/>
      <w:r w:rsidRPr="00836D20">
        <w:rPr>
          <w:sz w:val="24"/>
        </w:rPr>
        <w:t xml:space="preserve"> поддержки, так как оно физиологично, обеспечивает поддержание структуры и функции кишечника, уменьшает </w:t>
      </w:r>
      <w:proofErr w:type="spellStart"/>
      <w:r w:rsidRPr="00836D20">
        <w:rPr>
          <w:sz w:val="24"/>
        </w:rPr>
        <w:t>гиперметаболический</w:t>
      </w:r>
      <w:proofErr w:type="spellEnd"/>
      <w:r w:rsidRPr="00836D20">
        <w:rPr>
          <w:sz w:val="24"/>
        </w:rPr>
        <w:t xml:space="preserve"> ответ на повреждение, уменьшает </w:t>
      </w:r>
      <w:proofErr w:type="spellStart"/>
      <w:r w:rsidRPr="00836D20">
        <w:rPr>
          <w:sz w:val="24"/>
        </w:rPr>
        <w:t>транслокацию</w:t>
      </w:r>
      <w:proofErr w:type="spellEnd"/>
      <w:r w:rsidRPr="00836D20">
        <w:rPr>
          <w:sz w:val="24"/>
        </w:rPr>
        <w:t xml:space="preserve"> бактерий и токсинов из кишечника и более экономично. Специализированной </w:t>
      </w:r>
      <w:proofErr w:type="spellStart"/>
      <w:r w:rsidRPr="00836D20">
        <w:rPr>
          <w:sz w:val="24"/>
        </w:rPr>
        <w:t>энтеральной</w:t>
      </w:r>
      <w:proofErr w:type="spellEnd"/>
      <w:r w:rsidRPr="00836D20">
        <w:rPr>
          <w:sz w:val="24"/>
        </w:rPr>
        <w:t xml:space="preserve"> формулы для онкологи</w:t>
      </w:r>
      <w:r>
        <w:rPr>
          <w:sz w:val="24"/>
        </w:rPr>
        <w:t>ческих пациентов не существует.</w:t>
      </w:r>
    </w:p>
    <w:p w:rsidR="00836D20" w:rsidRPr="008152E3" w:rsidRDefault="00836D20" w:rsidP="00836D20">
      <w:pPr>
        <w:spacing w:after="120"/>
        <w:ind w:firstLine="708"/>
        <w:rPr>
          <w:i/>
          <w:sz w:val="24"/>
        </w:rPr>
      </w:pPr>
      <w:proofErr w:type="spellStart"/>
      <w:r w:rsidRPr="008152E3">
        <w:rPr>
          <w:i/>
          <w:sz w:val="24"/>
        </w:rPr>
        <w:t>Энтеральное</w:t>
      </w:r>
      <w:proofErr w:type="spellEnd"/>
      <w:r w:rsidRPr="008152E3">
        <w:rPr>
          <w:i/>
          <w:sz w:val="24"/>
        </w:rPr>
        <w:t xml:space="preserve"> питание может проводиться в следующих случаях:</w:t>
      </w:r>
    </w:p>
    <w:p w:rsidR="00836D20" w:rsidRDefault="00836D20" w:rsidP="00836D20">
      <w:pPr>
        <w:pStyle w:val="a3"/>
        <w:numPr>
          <w:ilvl w:val="0"/>
          <w:numId w:val="14"/>
        </w:numPr>
        <w:spacing w:after="120"/>
        <w:rPr>
          <w:sz w:val="24"/>
        </w:rPr>
      </w:pPr>
      <w:r w:rsidRPr="00836D20">
        <w:rPr>
          <w:sz w:val="24"/>
        </w:rPr>
        <w:t>наличие хотя бы частичной функции ЖКТ;</w:t>
      </w:r>
    </w:p>
    <w:p w:rsidR="00836D20" w:rsidRDefault="00836D20" w:rsidP="00836D20">
      <w:pPr>
        <w:pStyle w:val="a3"/>
        <w:numPr>
          <w:ilvl w:val="0"/>
          <w:numId w:val="14"/>
        </w:numPr>
        <w:spacing w:after="120"/>
        <w:rPr>
          <w:sz w:val="24"/>
        </w:rPr>
      </w:pPr>
      <w:r w:rsidRPr="00836D20">
        <w:rPr>
          <w:sz w:val="24"/>
        </w:rPr>
        <w:t>возможность ус</w:t>
      </w:r>
      <w:r>
        <w:rPr>
          <w:sz w:val="24"/>
        </w:rPr>
        <w:t xml:space="preserve">тановки зонда или </w:t>
      </w:r>
      <w:proofErr w:type="spellStart"/>
      <w:r>
        <w:rPr>
          <w:sz w:val="24"/>
        </w:rPr>
        <w:t>стомы</w:t>
      </w:r>
      <w:proofErr w:type="spellEnd"/>
      <w:r>
        <w:rPr>
          <w:sz w:val="24"/>
        </w:rPr>
        <w:t>.</w:t>
      </w:r>
    </w:p>
    <w:p w:rsidR="00836D20" w:rsidRDefault="00836D20" w:rsidP="00836D20">
      <w:pPr>
        <w:spacing w:after="120"/>
        <w:ind w:firstLine="360"/>
        <w:rPr>
          <w:sz w:val="24"/>
        </w:rPr>
      </w:pPr>
      <w:r w:rsidRPr="00836D20">
        <w:rPr>
          <w:sz w:val="24"/>
        </w:rPr>
        <w:t>Отсутствие выслушиваемой перистальтики не является противопоказ</w:t>
      </w:r>
      <w:r>
        <w:rPr>
          <w:sz w:val="24"/>
        </w:rPr>
        <w:t xml:space="preserve">анием для </w:t>
      </w:r>
      <w:proofErr w:type="spellStart"/>
      <w:r>
        <w:rPr>
          <w:sz w:val="24"/>
        </w:rPr>
        <w:t>энтерального</w:t>
      </w:r>
      <w:proofErr w:type="spellEnd"/>
      <w:r>
        <w:rPr>
          <w:sz w:val="24"/>
        </w:rPr>
        <w:t xml:space="preserve"> питания.</w:t>
      </w:r>
    </w:p>
    <w:p w:rsidR="00836D20" w:rsidRPr="008152E3" w:rsidRDefault="00836D20" w:rsidP="00836D20">
      <w:pPr>
        <w:spacing w:after="120"/>
        <w:ind w:firstLine="360"/>
        <w:rPr>
          <w:i/>
          <w:sz w:val="24"/>
        </w:rPr>
      </w:pPr>
      <w:r w:rsidRPr="008152E3">
        <w:rPr>
          <w:i/>
          <w:sz w:val="24"/>
        </w:rPr>
        <w:t xml:space="preserve">Выбор способа </w:t>
      </w:r>
      <w:proofErr w:type="spellStart"/>
      <w:r w:rsidRPr="008152E3">
        <w:rPr>
          <w:i/>
          <w:sz w:val="24"/>
        </w:rPr>
        <w:t>энтерального</w:t>
      </w:r>
      <w:proofErr w:type="spellEnd"/>
      <w:r w:rsidRPr="008152E3">
        <w:rPr>
          <w:i/>
          <w:sz w:val="24"/>
        </w:rPr>
        <w:t xml:space="preserve"> питания зависит от </w:t>
      </w:r>
      <w:proofErr w:type="spellStart"/>
      <w:r w:rsidRPr="008152E3">
        <w:rPr>
          <w:i/>
          <w:sz w:val="24"/>
        </w:rPr>
        <w:t>следущих</w:t>
      </w:r>
      <w:proofErr w:type="spellEnd"/>
      <w:r w:rsidRPr="008152E3">
        <w:rPr>
          <w:i/>
          <w:sz w:val="24"/>
        </w:rPr>
        <w:t xml:space="preserve"> факторов:</w:t>
      </w:r>
    </w:p>
    <w:p w:rsidR="00836D20" w:rsidRDefault="00836D20" w:rsidP="00836D20">
      <w:pPr>
        <w:pStyle w:val="a3"/>
        <w:numPr>
          <w:ilvl w:val="0"/>
          <w:numId w:val="15"/>
        </w:numPr>
        <w:spacing w:after="120"/>
        <w:rPr>
          <w:sz w:val="24"/>
        </w:rPr>
      </w:pPr>
      <w:r w:rsidRPr="00836D20">
        <w:rPr>
          <w:sz w:val="24"/>
        </w:rPr>
        <w:t>функция ЖКТ;</w:t>
      </w:r>
    </w:p>
    <w:p w:rsidR="00836D20" w:rsidRDefault="00836D20" w:rsidP="00836D20">
      <w:pPr>
        <w:pStyle w:val="a3"/>
        <w:numPr>
          <w:ilvl w:val="0"/>
          <w:numId w:val="15"/>
        </w:numPr>
        <w:spacing w:after="120"/>
        <w:rPr>
          <w:sz w:val="24"/>
        </w:rPr>
      </w:pPr>
      <w:r w:rsidRPr="00836D20">
        <w:rPr>
          <w:sz w:val="24"/>
        </w:rPr>
        <w:t>риск аспирации;</w:t>
      </w:r>
    </w:p>
    <w:p w:rsidR="00836D20" w:rsidRDefault="00836D20" w:rsidP="00836D20">
      <w:pPr>
        <w:pStyle w:val="a3"/>
        <w:numPr>
          <w:ilvl w:val="0"/>
          <w:numId w:val="15"/>
        </w:numPr>
        <w:spacing w:after="120"/>
        <w:rPr>
          <w:sz w:val="24"/>
        </w:rPr>
      </w:pPr>
      <w:r w:rsidRPr="00836D20">
        <w:rPr>
          <w:sz w:val="24"/>
        </w:rPr>
        <w:t xml:space="preserve">предполагаемая длительность </w:t>
      </w:r>
      <w:proofErr w:type="spellStart"/>
      <w:r w:rsidRPr="00836D20">
        <w:rPr>
          <w:sz w:val="24"/>
        </w:rPr>
        <w:t>энтерального</w:t>
      </w:r>
      <w:proofErr w:type="spellEnd"/>
      <w:r w:rsidRPr="00836D20">
        <w:rPr>
          <w:sz w:val="24"/>
        </w:rPr>
        <w:t xml:space="preserve"> питания.</w:t>
      </w:r>
    </w:p>
    <w:p w:rsidR="00836D20" w:rsidRDefault="00836D20" w:rsidP="00836D20">
      <w:pPr>
        <w:spacing w:after="120"/>
        <w:ind w:firstLine="360"/>
        <w:rPr>
          <w:sz w:val="24"/>
        </w:rPr>
      </w:pPr>
      <w:r w:rsidRPr="00836D20">
        <w:rPr>
          <w:sz w:val="24"/>
        </w:rPr>
        <w:t xml:space="preserve">При предполагаемой длительности питания до 30 дней предпочтительна установка </w:t>
      </w:r>
      <w:proofErr w:type="spellStart"/>
      <w:r w:rsidRPr="00836D20">
        <w:rPr>
          <w:sz w:val="24"/>
        </w:rPr>
        <w:t>назогастрального</w:t>
      </w:r>
      <w:proofErr w:type="spellEnd"/>
      <w:r w:rsidRPr="00836D20">
        <w:rPr>
          <w:sz w:val="24"/>
        </w:rPr>
        <w:t xml:space="preserve"> или </w:t>
      </w:r>
      <w:proofErr w:type="spellStart"/>
      <w:r w:rsidRPr="00836D20">
        <w:rPr>
          <w:sz w:val="24"/>
        </w:rPr>
        <w:t>назоинтестинального</w:t>
      </w:r>
      <w:proofErr w:type="spellEnd"/>
      <w:r w:rsidRPr="00836D20">
        <w:rPr>
          <w:sz w:val="24"/>
        </w:rPr>
        <w:t xml:space="preserve"> зонда, более 30 дней — наложение </w:t>
      </w:r>
      <w:proofErr w:type="spellStart"/>
      <w:r w:rsidRPr="00836D20">
        <w:rPr>
          <w:sz w:val="24"/>
        </w:rPr>
        <w:t>гастро</w:t>
      </w:r>
      <w:proofErr w:type="spellEnd"/>
      <w:r w:rsidRPr="00836D20">
        <w:rPr>
          <w:sz w:val="24"/>
        </w:rPr>
        <w:t xml:space="preserve">- или </w:t>
      </w:r>
      <w:proofErr w:type="spellStart"/>
      <w:r w:rsidRPr="00836D20">
        <w:rPr>
          <w:sz w:val="24"/>
        </w:rPr>
        <w:t>еюностомы</w:t>
      </w:r>
      <w:proofErr w:type="spellEnd"/>
      <w:r w:rsidRPr="00836D20">
        <w:rPr>
          <w:sz w:val="24"/>
        </w:rPr>
        <w:t>.</w:t>
      </w:r>
    </w:p>
    <w:p w:rsidR="00836D20" w:rsidRDefault="00836D20" w:rsidP="00836D20">
      <w:pPr>
        <w:spacing w:after="120"/>
        <w:ind w:firstLine="360"/>
        <w:rPr>
          <w:b/>
          <w:sz w:val="24"/>
          <w:u w:val="single"/>
        </w:rPr>
      </w:pPr>
      <w:r w:rsidRPr="00836D20">
        <w:rPr>
          <w:b/>
          <w:sz w:val="24"/>
          <w:u w:val="single"/>
        </w:rPr>
        <w:t xml:space="preserve">Классификация смесей для </w:t>
      </w:r>
      <w:proofErr w:type="spellStart"/>
      <w:r w:rsidRPr="00836D20">
        <w:rPr>
          <w:b/>
          <w:sz w:val="24"/>
          <w:u w:val="single"/>
        </w:rPr>
        <w:t>энтерального</w:t>
      </w:r>
      <w:proofErr w:type="spellEnd"/>
      <w:r w:rsidRPr="00836D20">
        <w:rPr>
          <w:b/>
          <w:sz w:val="24"/>
          <w:u w:val="single"/>
        </w:rPr>
        <w:t xml:space="preserve"> питания</w:t>
      </w:r>
    </w:p>
    <w:p w:rsidR="00836D20" w:rsidRDefault="00836D20" w:rsidP="00836D20">
      <w:pPr>
        <w:pStyle w:val="a3"/>
        <w:numPr>
          <w:ilvl w:val="0"/>
          <w:numId w:val="16"/>
        </w:numPr>
        <w:spacing w:after="120"/>
        <w:rPr>
          <w:sz w:val="24"/>
        </w:rPr>
      </w:pPr>
      <w:r w:rsidRPr="00836D20">
        <w:rPr>
          <w:sz w:val="24"/>
        </w:rPr>
        <w:t>Полимерные: состоят из неизмененных белков, жиров и углеводов;</w:t>
      </w:r>
    </w:p>
    <w:p w:rsidR="00836D20" w:rsidRDefault="00836D20" w:rsidP="00836D20">
      <w:pPr>
        <w:pStyle w:val="a3"/>
        <w:numPr>
          <w:ilvl w:val="0"/>
          <w:numId w:val="16"/>
        </w:numPr>
        <w:spacing w:after="120"/>
        <w:rPr>
          <w:sz w:val="24"/>
        </w:rPr>
      </w:pPr>
      <w:r w:rsidRPr="00836D20">
        <w:rPr>
          <w:sz w:val="24"/>
        </w:rPr>
        <w:t xml:space="preserve">олигомерные (полуэлементные): состоят из расщеплённых белков и простых углеводов и содержат масла </w:t>
      </w:r>
      <w:proofErr w:type="spellStart"/>
      <w:r w:rsidRPr="00836D20">
        <w:rPr>
          <w:sz w:val="24"/>
        </w:rPr>
        <w:t>среднецепочечных</w:t>
      </w:r>
      <w:proofErr w:type="spellEnd"/>
      <w:r w:rsidRPr="00836D20">
        <w:rPr>
          <w:sz w:val="24"/>
        </w:rPr>
        <w:t xml:space="preserve"> триглицеридов;</w:t>
      </w:r>
    </w:p>
    <w:p w:rsidR="00836D20" w:rsidRDefault="00836D20" w:rsidP="00836D20">
      <w:pPr>
        <w:pStyle w:val="a3"/>
        <w:numPr>
          <w:ilvl w:val="0"/>
          <w:numId w:val="16"/>
        </w:numPr>
        <w:spacing w:after="120"/>
        <w:rPr>
          <w:sz w:val="24"/>
        </w:rPr>
      </w:pPr>
      <w:r w:rsidRPr="00836D20">
        <w:rPr>
          <w:sz w:val="24"/>
        </w:rPr>
        <w:t>специализированные питательные смеси (смеси для определённых состояний), изготовленные с учётом потребностей конкретного пациента, страдающего тем или иным заболеванием (сахарный диабет, заболевания почек, печени, лёгких).</w:t>
      </w:r>
    </w:p>
    <w:p w:rsidR="00836D20" w:rsidRPr="008152E3" w:rsidRDefault="00836D20" w:rsidP="00836D20">
      <w:pPr>
        <w:spacing w:after="120"/>
        <w:ind w:firstLine="360"/>
        <w:rPr>
          <w:i/>
          <w:sz w:val="24"/>
        </w:rPr>
      </w:pPr>
      <w:r w:rsidRPr="008152E3">
        <w:rPr>
          <w:i/>
          <w:sz w:val="24"/>
        </w:rPr>
        <w:t xml:space="preserve">Противопоказания к </w:t>
      </w:r>
      <w:proofErr w:type="spellStart"/>
      <w:r w:rsidRPr="008152E3">
        <w:rPr>
          <w:i/>
          <w:sz w:val="24"/>
        </w:rPr>
        <w:t>энтеральному</w:t>
      </w:r>
      <w:proofErr w:type="spellEnd"/>
      <w:r w:rsidRPr="008152E3">
        <w:rPr>
          <w:i/>
          <w:sz w:val="24"/>
        </w:rPr>
        <w:t xml:space="preserve"> питанию:</w:t>
      </w:r>
    </w:p>
    <w:p w:rsidR="00836D20" w:rsidRDefault="00836D20" w:rsidP="00836D20">
      <w:pPr>
        <w:pStyle w:val="a3"/>
        <w:numPr>
          <w:ilvl w:val="0"/>
          <w:numId w:val="17"/>
        </w:numPr>
        <w:spacing w:after="120"/>
        <w:rPr>
          <w:sz w:val="24"/>
        </w:rPr>
      </w:pPr>
      <w:r w:rsidRPr="00836D20">
        <w:rPr>
          <w:sz w:val="24"/>
        </w:rPr>
        <w:t>Механи</w:t>
      </w:r>
      <w:r>
        <w:rPr>
          <w:sz w:val="24"/>
        </w:rPr>
        <w:t>ческая кишечная непроходимость;</w:t>
      </w:r>
    </w:p>
    <w:p w:rsidR="00836D20" w:rsidRDefault="00836D20" w:rsidP="00836D20">
      <w:pPr>
        <w:pStyle w:val="a3"/>
        <w:numPr>
          <w:ilvl w:val="0"/>
          <w:numId w:val="17"/>
        </w:numPr>
        <w:spacing w:after="120"/>
        <w:rPr>
          <w:sz w:val="24"/>
        </w:rPr>
      </w:pPr>
      <w:r w:rsidRPr="00836D20">
        <w:rPr>
          <w:sz w:val="24"/>
        </w:rPr>
        <w:t xml:space="preserve">выраженная тошнота и рвота, не купируемая </w:t>
      </w:r>
      <w:proofErr w:type="spellStart"/>
      <w:r w:rsidRPr="00836D20">
        <w:rPr>
          <w:sz w:val="24"/>
        </w:rPr>
        <w:t>антиэметической</w:t>
      </w:r>
      <w:proofErr w:type="spellEnd"/>
      <w:r w:rsidRPr="00836D20">
        <w:rPr>
          <w:sz w:val="24"/>
        </w:rPr>
        <w:t xml:space="preserve"> терапией;</w:t>
      </w:r>
    </w:p>
    <w:p w:rsidR="00836D20" w:rsidRDefault="00836D20" w:rsidP="00836D20">
      <w:pPr>
        <w:pStyle w:val="a3"/>
        <w:numPr>
          <w:ilvl w:val="0"/>
          <w:numId w:val="17"/>
        </w:numPr>
        <w:spacing w:after="120"/>
        <w:rPr>
          <w:sz w:val="24"/>
        </w:rPr>
      </w:pPr>
      <w:r w:rsidRPr="00836D20">
        <w:rPr>
          <w:sz w:val="24"/>
        </w:rPr>
        <w:t>гипоксия (раО270 мм рт. ст.).</w:t>
      </w:r>
    </w:p>
    <w:p w:rsidR="00AD05D5" w:rsidRPr="00AD05D5" w:rsidRDefault="00AD05D5" w:rsidP="00836D20">
      <w:pPr>
        <w:spacing w:after="120"/>
        <w:rPr>
          <w:b/>
          <w:sz w:val="24"/>
        </w:rPr>
      </w:pPr>
      <w:r w:rsidRPr="00AD05D5">
        <w:rPr>
          <w:b/>
          <w:sz w:val="24"/>
        </w:rPr>
        <w:t>Парентеральное питание</w:t>
      </w:r>
      <w:r>
        <w:rPr>
          <w:b/>
          <w:sz w:val="24"/>
        </w:rPr>
        <w:t>.</w:t>
      </w:r>
    </w:p>
    <w:p w:rsidR="00FF41BC" w:rsidRDefault="00AD05D5" w:rsidP="00FF41BC">
      <w:pPr>
        <w:spacing w:after="120"/>
        <w:ind w:firstLine="708"/>
        <w:rPr>
          <w:sz w:val="24"/>
        </w:rPr>
      </w:pPr>
      <w:r w:rsidRPr="00AD05D5">
        <w:rPr>
          <w:sz w:val="24"/>
        </w:rPr>
        <w:t xml:space="preserve">Вид </w:t>
      </w:r>
      <w:proofErr w:type="spellStart"/>
      <w:r w:rsidRPr="00AD05D5">
        <w:rPr>
          <w:sz w:val="24"/>
        </w:rPr>
        <w:t>нутритивной</w:t>
      </w:r>
      <w:proofErr w:type="spellEnd"/>
      <w:r w:rsidRPr="00AD05D5">
        <w:rPr>
          <w:sz w:val="24"/>
        </w:rPr>
        <w:t xml:space="preserve"> поддержки, при котором необходимые нутриенты вводятся непосредственно в кровеносное русло. Основными составляющими парентерального питания являются:</w:t>
      </w:r>
    </w:p>
    <w:p w:rsidR="00FF41BC" w:rsidRDefault="00AD05D5" w:rsidP="00FF41BC">
      <w:pPr>
        <w:pStyle w:val="a3"/>
        <w:numPr>
          <w:ilvl w:val="0"/>
          <w:numId w:val="18"/>
        </w:numPr>
        <w:spacing w:after="120"/>
        <w:rPr>
          <w:sz w:val="24"/>
        </w:rPr>
      </w:pPr>
      <w:r w:rsidRPr="00FF41BC">
        <w:rPr>
          <w:sz w:val="24"/>
        </w:rPr>
        <w:t>источники энергии: 20%-растворы угле</w:t>
      </w:r>
      <w:r w:rsidR="00FF41BC">
        <w:rPr>
          <w:sz w:val="24"/>
        </w:rPr>
        <w:t>водов, 10–20%-жировые эмульсии;</w:t>
      </w:r>
    </w:p>
    <w:p w:rsidR="00FF41BC" w:rsidRDefault="00AD05D5" w:rsidP="00FF41BC">
      <w:pPr>
        <w:pStyle w:val="a3"/>
        <w:numPr>
          <w:ilvl w:val="0"/>
          <w:numId w:val="18"/>
        </w:numPr>
        <w:spacing w:after="120"/>
        <w:rPr>
          <w:sz w:val="24"/>
        </w:rPr>
      </w:pPr>
      <w:r w:rsidRPr="00FF41BC">
        <w:rPr>
          <w:sz w:val="24"/>
        </w:rPr>
        <w:t>источники пластического материала: раство</w:t>
      </w:r>
      <w:r w:rsidR="00FF41BC">
        <w:rPr>
          <w:sz w:val="24"/>
        </w:rPr>
        <w:t>ры кристаллических аминокислот;</w:t>
      </w:r>
    </w:p>
    <w:p w:rsidR="00FF41BC" w:rsidRDefault="00AD05D5" w:rsidP="00FF41BC">
      <w:pPr>
        <w:pStyle w:val="a3"/>
        <w:numPr>
          <w:ilvl w:val="0"/>
          <w:numId w:val="18"/>
        </w:numPr>
        <w:spacing w:after="120"/>
        <w:rPr>
          <w:sz w:val="24"/>
        </w:rPr>
      </w:pPr>
      <w:r w:rsidRPr="00FF41BC">
        <w:rPr>
          <w:sz w:val="24"/>
        </w:rPr>
        <w:t>поливитаминные комплексы для парентерального введения:</w:t>
      </w:r>
    </w:p>
    <w:p w:rsidR="00FF41BC" w:rsidRDefault="00AD05D5" w:rsidP="00FF41BC">
      <w:pPr>
        <w:pStyle w:val="a3"/>
        <w:spacing w:after="120"/>
        <w:rPr>
          <w:sz w:val="24"/>
        </w:rPr>
      </w:pPr>
      <w:r w:rsidRPr="00FF41BC">
        <w:rPr>
          <w:sz w:val="24"/>
        </w:rPr>
        <w:t>— препараты водорастворимых в</w:t>
      </w:r>
      <w:r w:rsidR="00FF41BC">
        <w:rPr>
          <w:sz w:val="24"/>
        </w:rPr>
        <w:t>итаминов;</w:t>
      </w:r>
    </w:p>
    <w:p w:rsidR="00FF41BC" w:rsidRDefault="00AD05D5" w:rsidP="00FF41BC">
      <w:pPr>
        <w:pStyle w:val="a3"/>
        <w:spacing w:after="120"/>
        <w:rPr>
          <w:sz w:val="24"/>
        </w:rPr>
      </w:pPr>
      <w:r w:rsidRPr="00FF41BC">
        <w:rPr>
          <w:sz w:val="24"/>
        </w:rPr>
        <w:t>— препа</w:t>
      </w:r>
      <w:r w:rsidR="00FF41BC">
        <w:rPr>
          <w:sz w:val="24"/>
        </w:rPr>
        <w:t>раты жирорастворимых витаминов;</w:t>
      </w:r>
    </w:p>
    <w:p w:rsidR="00FF41BC" w:rsidRDefault="00AD05D5" w:rsidP="00FF41BC">
      <w:pPr>
        <w:pStyle w:val="a3"/>
        <w:spacing w:after="120"/>
        <w:rPr>
          <w:sz w:val="24"/>
        </w:rPr>
      </w:pPr>
      <w:r w:rsidRPr="00FF41BC">
        <w:rPr>
          <w:sz w:val="24"/>
        </w:rPr>
        <w:t>— препараты водо- и жирорастворимых витаминов;</w:t>
      </w:r>
    </w:p>
    <w:p w:rsidR="00FF41BC" w:rsidRDefault="00AD05D5" w:rsidP="00FF41BC">
      <w:pPr>
        <w:pStyle w:val="a3"/>
        <w:numPr>
          <w:ilvl w:val="0"/>
          <w:numId w:val="18"/>
        </w:numPr>
        <w:spacing w:after="120"/>
        <w:rPr>
          <w:sz w:val="24"/>
        </w:rPr>
      </w:pPr>
      <w:r w:rsidRPr="00FF41BC">
        <w:rPr>
          <w:sz w:val="24"/>
        </w:rPr>
        <w:t>комплексы микроэлементов для парентерального введения.</w:t>
      </w:r>
    </w:p>
    <w:p w:rsidR="00FF41BC" w:rsidRPr="008152E3" w:rsidRDefault="00AD05D5" w:rsidP="00FF41BC">
      <w:pPr>
        <w:spacing w:after="120"/>
        <w:ind w:firstLine="360"/>
        <w:rPr>
          <w:i/>
          <w:sz w:val="24"/>
        </w:rPr>
      </w:pPr>
      <w:r w:rsidRPr="008152E3">
        <w:rPr>
          <w:i/>
          <w:sz w:val="24"/>
        </w:rPr>
        <w:t>Системы парентерального питания</w:t>
      </w:r>
      <w:r w:rsidR="00FF41BC" w:rsidRPr="008152E3">
        <w:rPr>
          <w:i/>
          <w:sz w:val="24"/>
        </w:rPr>
        <w:t>:</w:t>
      </w:r>
    </w:p>
    <w:p w:rsidR="00FF41BC" w:rsidRDefault="00AD05D5" w:rsidP="00FF41BC">
      <w:pPr>
        <w:pStyle w:val="a3"/>
        <w:numPr>
          <w:ilvl w:val="0"/>
          <w:numId w:val="18"/>
        </w:numPr>
        <w:spacing w:after="120"/>
        <w:rPr>
          <w:sz w:val="24"/>
        </w:rPr>
      </w:pPr>
      <w:r w:rsidRPr="00FF41BC">
        <w:rPr>
          <w:sz w:val="24"/>
          <w:u w:val="single"/>
        </w:rPr>
        <w:lastRenderedPageBreak/>
        <w:t>«Модульная»</w:t>
      </w:r>
      <w:r w:rsidRPr="00FF41BC">
        <w:rPr>
          <w:sz w:val="24"/>
        </w:rPr>
        <w:t xml:space="preserve"> — использование флаконов с аминокислотами, глюкозой, жировыми эмульсиями; недостатками данного метода являются различная скорость введения препаратов, нагрузка на медперсонал при замене флаконов, более низкая антисептическая защита.</w:t>
      </w:r>
    </w:p>
    <w:p w:rsidR="00FF41BC" w:rsidRDefault="00AD05D5" w:rsidP="00FF41BC">
      <w:pPr>
        <w:pStyle w:val="a3"/>
        <w:numPr>
          <w:ilvl w:val="0"/>
          <w:numId w:val="18"/>
        </w:numPr>
        <w:spacing w:after="120"/>
        <w:rPr>
          <w:sz w:val="24"/>
        </w:rPr>
      </w:pPr>
      <w:r w:rsidRPr="00FF41BC">
        <w:rPr>
          <w:sz w:val="24"/>
          <w:u w:val="single"/>
        </w:rPr>
        <w:t>Система «Всё в одном»</w:t>
      </w:r>
      <w:r w:rsidRPr="00FF41BC">
        <w:rPr>
          <w:sz w:val="24"/>
        </w:rPr>
        <w:t xml:space="preserve"> предполагает использование двух- и трёхкомпонентных контейнеров для парентерального питания, в которых уже подобраны необходимые количества и </w:t>
      </w:r>
      <w:proofErr w:type="spellStart"/>
      <w:r w:rsidRPr="00FF41BC">
        <w:rPr>
          <w:sz w:val="24"/>
        </w:rPr>
        <w:t>метаболически</w:t>
      </w:r>
      <w:proofErr w:type="spellEnd"/>
      <w:r w:rsidRPr="00FF41BC">
        <w:rPr>
          <w:sz w:val="24"/>
        </w:rPr>
        <w:t xml:space="preserve"> верные соотношения аминокислот, глюкозы, липидов и электролитов, имеет ряд принципиальных преимуществ перед использованием изолированной </w:t>
      </w:r>
      <w:proofErr w:type="spellStart"/>
      <w:r w:rsidRPr="00FF41BC">
        <w:rPr>
          <w:sz w:val="24"/>
        </w:rPr>
        <w:t>инфузии</w:t>
      </w:r>
      <w:proofErr w:type="spellEnd"/>
      <w:r w:rsidRPr="00FF41BC">
        <w:rPr>
          <w:sz w:val="24"/>
        </w:rPr>
        <w:t xml:space="preserve"> </w:t>
      </w:r>
      <w:proofErr w:type="spellStart"/>
      <w:r w:rsidRPr="00FF41BC">
        <w:rPr>
          <w:sz w:val="24"/>
        </w:rPr>
        <w:t>макр</w:t>
      </w:r>
      <w:r w:rsidR="00FF41BC">
        <w:rPr>
          <w:sz w:val="24"/>
        </w:rPr>
        <w:t>онутриентов</w:t>
      </w:r>
      <w:proofErr w:type="spellEnd"/>
      <w:r w:rsidR="00FF41BC">
        <w:rPr>
          <w:sz w:val="24"/>
        </w:rPr>
        <w:t>:</w:t>
      </w:r>
    </w:p>
    <w:p w:rsidR="00FF41BC" w:rsidRDefault="00AD05D5" w:rsidP="00FF41BC">
      <w:pPr>
        <w:pStyle w:val="a3"/>
        <w:spacing w:after="120"/>
        <w:rPr>
          <w:sz w:val="24"/>
        </w:rPr>
      </w:pPr>
      <w:r w:rsidRPr="00FF41BC">
        <w:rPr>
          <w:sz w:val="24"/>
        </w:rPr>
        <w:t xml:space="preserve">— высокая технологичность, </w:t>
      </w:r>
      <w:r w:rsidR="00FF41BC">
        <w:rPr>
          <w:sz w:val="24"/>
        </w:rPr>
        <w:t>удобство и простота применения;</w:t>
      </w:r>
    </w:p>
    <w:p w:rsidR="00FF41BC" w:rsidRDefault="00AD05D5" w:rsidP="00FF41BC">
      <w:pPr>
        <w:pStyle w:val="a3"/>
        <w:spacing w:after="120"/>
        <w:rPr>
          <w:sz w:val="24"/>
        </w:rPr>
      </w:pPr>
      <w:r w:rsidRPr="00FF41BC">
        <w:rPr>
          <w:sz w:val="24"/>
        </w:rPr>
        <w:t>— одновременное и безопасное введение всех необходимых ингредиентов;</w:t>
      </w:r>
    </w:p>
    <w:p w:rsidR="00FF41BC" w:rsidRDefault="00FF41BC" w:rsidP="00FF41BC">
      <w:pPr>
        <w:pStyle w:val="a3"/>
        <w:spacing w:after="120"/>
        <w:rPr>
          <w:sz w:val="24"/>
        </w:rPr>
      </w:pPr>
      <w:r>
        <w:rPr>
          <w:sz w:val="24"/>
        </w:rPr>
        <w:t>— сбалансированный состав;</w:t>
      </w:r>
    </w:p>
    <w:p w:rsidR="00FF41BC" w:rsidRDefault="00AD05D5" w:rsidP="00FF41BC">
      <w:pPr>
        <w:pStyle w:val="a3"/>
        <w:spacing w:after="120"/>
        <w:rPr>
          <w:sz w:val="24"/>
        </w:rPr>
      </w:pPr>
      <w:r w:rsidRPr="00FF41BC">
        <w:rPr>
          <w:sz w:val="24"/>
        </w:rPr>
        <w:t>— снижение</w:t>
      </w:r>
      <w:r w:rsidR="00FF41BC">
        <w:rPr>
          <w:sz w:val="24"/>
        </w:rPr>
        <w:t xml:space="preserve"> риска инфекционных осложнений;</w:t>
      </w:r>
    </w:p>
    <w:p w:rsidR="00FF41BC" w:rsidRDefault="00AD05D5" w:rsidP="00FF41BC">
      <w:pPr>
        <w:pStyle w:val="a3"/>
        <w:spacing w:after="120"/>
        <w:rPr>
          <w:sz w:val="24"/>
        </w:rPr>
      </w:pPr>
      <w:r w:rsidRPr="00FF41BC">
        <w:rPr>
          <w:sz w:val="24"/>
        </w:rPr>
        <w:t>— возможность добавлять необходимые микронутриенты (электро</w:t>
      </w:r>
      <w:r w:rsidR="00FF41BC">
        <w:rPr>
          <w:sz w:val="24"/>
        </w:rPr>
        <w:t>литы, витамины, микроэлементы);</w:t>
      </w:r>
    </w:p>
    <w:p w:rsidR="00FF41BC" w:rsidRDefault="00AD05D5" w:rsidP="00FF41BC">
      <w:pPr>
        <w:pStyle w:val="a3"/>
        <w:spacing w:after="120"/>
        <w:rPr>
          <w:sz w:val="24"/>
        </w:rPr>
      </w:pPr>
      <w:r w:rsidRPr="00FF41BC">
        <w:rPr>
          <w:sz w:val="24"/>
        </w:rPr>
        <w:t>— экономически менее затратная технология по сравнению с флаконной методикой.</w:t>
      </w:r>
    </w:p>
    <w:p w:rsidR="00FF41BC" w:rsidRPr="008152E3" w:rsidRDefault="00AD05D5" w:rsidP="00FF41BC">
      <w:pPr>
        <w:spacing w:after="120"/>
        <w:ind w:firstLine="708"/>
        <w:rPr>
          <w:i/>
          <w:sz w:val="24"/>
        </w:rPr>
      </w:pPr>
      <w:r w:rsidRPr="008152E3">
        <w:rPr>
          <w:i/>
          <w:sz w:val="24"/>
        </w:rPr>
        <w:t>Противопока</w:t>
      </w:r>
      <w:r w:rsidR="00FF41BC" w:rsidRPr="008152E3">
        <w:rPr>
          <w:i/>
          <w:sz w:val="24"/>
        </w:rPr>
        <w:t>зания к парентеральному питанию:</w:t>
      </w:r>
    </w:p>
    <w:p w:rsidR="00FF41BC" w:rsidRDefault="00AD05D5" w:rsidP="00FF41BC">
      <w:pPr>
        <w:pStyle w:val="a3"/>
        <w:numPr>
          <w:ilvl w:val="0"/>
          <w:numId w:val="19"/>
        </w:numPr>
        <w:spacing w:after="120"/>
        <w:rPr>
          <w:sz w:val="24"/>
        </w:rPr>
      </w:pPr>
      <w:r w:rsidRPr="00FF41BC">
        <w:rPr>
          <w:sz w:val="24"/>
        </w:rPr>
        <w:t xml:space="preserve">Возможность проведения </w:t>
      </w:r>
      <w:proofErr w:type="spellStart"/>
      <w:r w:rsidRPr="00FF41BC">
        <w:rPr>
          <w:sz w:val="24"/>
        </w:rPr>
        <w:t>энтерального</w:t>
      </w:r>
      <w:proofErr w:type="spellEnd"/>
      <w:r w:rsidRPr="00FF41BC">
        <w:rPr>
          <w:sz w:val="24"/>
        </w:rPr>
        <w:t xml:space="preserve"> питания;</w:t>
      </w:r>
    </w:p>
    <w:p w:rsidR="00FF41BC" w:rsidRDefault="00AD05D5" w:rsidP="00FF41BC">
      <w:pPr>
        <w:pStyle w:val="a3"/>
        <w:numPr>
          <w:ilvl w:val="0"/>
          <w:numId w:val="19"/>
        </w:numPr>
        <w:spacing w:after="120"/>
        <w:rPr>
          <w:sz w:val="24"/>
        </w:rPr>
      </w:pPr>
      <w:r w:rsidRPr="00FF41BC">
        <w:rPr>
          <w:sz w:val="24"/>
        </w:rPr>
        <w:t>отсутствие адекватного сосудистого</w:t>
      </w:r>
      <w:r w:rsidR="00FF41BC">
        <w:rPr>
          <w:sz w:val="24"/>
        </w:rPr>
        <w:t xml:space="preserve"> доступа;</w:t>
      </w:r>
    </w:p>
    <w:p w:rsidR="00FF41BC" w:rsidRDefault="00AD05D5" w:rsidP="00FF41BC">
      <w:pPr>
        <w:pStyle w:val="a3"/>
        <w:numPr>
          <w:ilvl w:val="0"/>
          <w:numId w:val="19"/>
        </w:numPr>
        <w:spacing w:after="120"/>
        <w:rPr>
          <w:sz w:val="24"/>
        </w:rPr>
      </w:pPr>
      <w:r w:rsidRPr="00FF41BC">
        <w:rPr>
          <w:sz w:val="24"/>
        </w:rPr>
        <w:t xml:space="preserve">отсутствие признаков </w:t>
      </w:r>
      <w:proofErr w:type="spellStart"/>
      <w:r w:rsidRPr="00FF41BC">
        <w:rPr>
          <w:sz w:val="24"/>
        </w:rPr>
        <w:t>белково</w:t>
      </w:r>
      <w:proofErr w:type="spellEnd"/>
      <w:r w:rsidRPr="00FF41BC">
        <w:rPr>
          <w:sz w:val="24"/>
        </w:rPr>
        <w:t>-</w:t>
      </w:r>
      <w:r w:rsidR="00FF41BC">
        <w:rPr>
          <w:sz w:val="24"/>
        </w:rPr>
        <w:t>энергетической недостаточности;</w:t>
      </w:r>
    </w:p>
    <w:p w:rsidR="00FF41BC" w:rsidRDefault="00AD05D5" w:rsidP="00FF41BC">
      <w:pPr>
        <w:pStyle w:val="a3"/>
        <w:numPr>
          <w:ilvl w:val="0"/>
          <w:numId w:val="19"/>
        </w:numPr>
        <w:spacing w:after="120"/>
        <w:rPr>
          <w:sz w:val="24"/>
        </w:rPr>
      </w:pPr>
      <w:r w:rsidRPr="00FF41BC">
        <w:rPr>
          <w:sz w:val="24"/>
        </w:rPr>
        <w:t xml:space="preserve">гипоксия (раО270 мм рт. ст., сывороточный </w:t>
      </w:r>
      <w:proofErr w:type="spellStart"/>
      <w:r w:rsidRPr="00FF41BC">
        <w:rPr>
          <w:sz w:val="24"/>
        </w:rPr>
        <w:t>лактат</w:t>
      </w:r>
      <w:proofErr w:type="spellEnd"/>
      <w:r w:rsidRPr="00FF41BC">
        <w:rPr>
          <w:sz w:val="24"/>
        </w:rPr>
        <w:t xml:space="preserve"> &gt;3 </w:t>
      </w:r>
      <w:proofErr w:type="spellStart"/>
      <w:r w:rsidRPr="00FF41BC">
        <w:rPr>
          <w:sz w:val="24"/>
        </w:rPr>
        <w:t>ммоль</w:t>
      </w:r>
      <w:proofErr w:type="spellEnd"/>
      <w:r w:rsidRPr="00FF41BC">
        <w:rPr>
          <w:sz w:val="24"/>
        </w:rPr>
        <w:t>/л);</w:t>
      </w:r>
    </w:p>
    <w:p w:rsidR="00FF41BC" w:rsidRDefault="00AD05D5" w:rsidP="00FF41BC">
      <w:pPr>
        <w:pStyle w:val="a3"/>
        <w:numPr>
          <w:ilvl w:val="0"/>
          <w:numId w:val="19"/>
        </w:numPr>
        <w:spacing w:after="120"/>
        <w:rPr>
          <w:sz w:val="24"/>
        </w:rPr>
      </w:pPr>
      <w:r w:rsidRPr="00FF41BC">
        <w:rPr>
          <w:sz w:val="24"/>
        </w:rPr>
        <w:t>анурия и</w:t>
      </w:r>
      <w:r w:rsidR="00FF41BC">
        <w:rPr>
          <w:sz w:val="24"/>
        </w:rPr>
        <w:t xml:space="preserve">ли </w:t>
      </w:r>
      <w:proofErr w:type="spellStart"/>
      <w:r w:rsidR="00FF41BC">
        <w:rPr>
          <w:sz w:val="24"/>
        </w:rPr>
        <w:t>гипергидратация</w:t>
      </w:r>
      <w:proofErr w:type="spellEnd"/>
      <w:r w:rsidR="00FF41BC">
        <w:rPr>
          <w:sz w:val="24"/>
        </w:rPr>
        <w:t xml:space="preserve"> без диализа;</w:t>
      </w:r>
    </w:p>
    <w:p w:rsidR="00AD05D5" w:rsidRDefault="00AD05D5" w:rsidP="00FF41BC">
      <w:pPr>
        <w:pStyle w:val="a3"/>
        <w:numPr>
          <w:ilvl w:val="0"/>
          <w:numId w:val="19"/>
        </w:numPr>
        <w:spacing w:after="120"/>
        <w:rPr>
          <w:sz w:val="24"/>
        </w:rPr>
      </w:pPr>
      <w:r w:rsidRPr="00FF41BC">
        <w:rPr>
          <w:sz w:val="24"/>
        </w:rPr>
        <w:t>непереносимость или анафилаксия на составляющие компоненты питания.</w:t>
      </w:r>
    </w:p>
    <w:p w:rsidR="008152E3" w:rsidRPr="008152E3" w:rsidRDefault="008152E3" w:rsidP="00FF41BC">
      <w:pPr>
        <w:spacing w:after="120"/>
        <w:rPr>
          <w:b/>
          <w:sz w:val="24"/>
        </w:rPr>
      </w:pPr>
      <w:r w:rsidRPr="008152E3">
        <w:rPr>
          <w:b/>
          <w:sz w:val="24"/>
        </w:rPr>
        <w:t>Смешанное питание.</w:t>
      </w:r>
    </w:p>
    <w:p w:rsidR="00FF41BC" w:rsidRPr="00FF41BC" w:rsidRDefault="008152E3" w:rsidP="008152E3">
      <w:pPr>
        <w:spacing w:after="120"/>
        <w:ind w:firstLine="708"/>
        <w:rPr>
          <w:sz w:val="24"/>
        </w:rPr>
      </w:pPr>
      <w:proofErr w:type="spellStart"/>
      <w:r w:rsidRPr="008152E3">
        <w:rPr>
          <w:sz w:val="24"/>
        </w:rPr>
        <w:t>Энтеральное</w:t>
      </w:r>
      <w:proofErr w:type="spellEnd"/>
      <w:r w:rsidRPr="008152E3">
        <w:rPr>
          <w:sz w:val="24"/>
        </w:rPr>
        <w:t xml:space="preserve"> и парентеральное питание может назначаться пациентам одновременно при недостаточной эффективности одного из этих методов (не позволяющем обеспечить более 60% от потребности в энергии)</w:t>
      </w:r>
      <w:r>
        <w:rPr>
          <w:sz w:val="24"/>
        </w:rPr>
        <w:t>.</w:t>
      </w:r>
    </w:p>
    <w:p w:rsidR="00AF2E35" w:rsidRPr="003B4C31" w:rsidRDefault="00176D08" w:rsidP="00AF2E35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0" w:name="_Toc136093050"/>
      <w:proofErr w:type="spellStart"/>
      <w:r>
        <w:rPr>
          <w:b/>
          <w:bCs/>
          <w:color w:val="auto"/>
          <w:sz w:val="28"/>
          <w:szCs w:val="28"/>
        </w:rPr>
        <w:t>Нутритивная</w:t>
      </w:r>
      <w:proofErr w:type="spellEnd"/>
      <w:r>
        <w:rPr>
          <w:b/>
          <w:bCs/>
          <w:color w:val="auto"/>
          <w:sz w:val="28"/>
          <w:szCs w:val="28"/>
        </w:rPr>
        <w:t xml:space="preserve"> поддержка при химиотерапии и лучевой терапии</w:t>
      </w:r>
      <w:bookmarkEnd w:id="10"/>
    </w:p>
    <w:p w:rsidR="005A3605" w:rsidRDefault="00AF2E35" w:rsidP="00AF2E35">
      <w:pPr>
        <w:spacing w:after="120"/>
        <w:rPr>
          <w:sz w:val="24"/>
        </w:rPr>
      </w:pPr>
      <w:r>
        <w:tab/>
      </w:r>
      <w:r w:rsidR="00176D08" w:rsidRPr="00176D08">
        <w:rPr>
          <w:sz w:val="24"/>
        </w:rPr>
        <w:t xml:space="preserve">Непосредственный эффект активного противоопухолевого лечения на питательный статус негативный; особенно быстро нарушения появляются при выраженной системной токсичности или системной инфекции. Извращение вкуса, стоматит и гастроинтестинальная токсичность различной степени тяжести, </w:t>
      </w:r>
      <w:proofErr w:type="spellStart"/>
      <w:r w:rsidR="00176D08" w:rsidRPr="00176D08">
        <w:rPr>
          <w:sz w:val="24"/>
        </w:rPr>
        <w:t>некупируемая</w:t>
      </w:r>
      <w:proofErr w:type="spellEnd"/>
      <w:r w:rsidR="00176D08" w:rsidRPr="00176D08">
        <w:rPr>
          <w:sz w:val="24"/>
        </w:rPr>
        <w:t xml:space="preserve"> тошнота и рвота способствуют усилению </w:t>
      </w:r>
      <w:proofErr w:type="spellStart"/>
      <w:r w:rsidR="00176D08" w:rsidRPr="00176D08">
        <w:rPr>
          <w:sz w:val="24"/>
        </w:rPr>
        <w:t>белково</w:t>
      </w:r>
      <w:proofErr w:type="spellEnd"/>
      <w:r w:rsidR="00176D08" w:rsidRPr="00176D08">
        <w:rPr>
          <w:sz w:val="24"/>
        </w:rPr>
        <w:t>-энергетической недостаточности. Во время проведения химиотерапии необходимо обеспечить адекватное питание и под</w:t>
      </w:r>
      <w:r w:rsidR="005A3605">
        <w:rPr>
          <w:sz w:val="24"/>
        </w:rPr>
        <w:t>держание физической активности.</w:t>
      </w:r>
    </w:p>
    <w:p w:rsidR="005A3605" w:rsidRDefault="00176D08" w:rsidP="005A3605">
      <w:pPr>
        <w:spacing w:after="120"/>
        <w:ind w:firstLine="708"/>
        <w:rPr>
          <w:sz w:val="24"/>
        </w:rPr>
      </w:pPr>
      <w:r w:rsidRPr="00176D08">
        <w:rPr>
          <w:sz w:val="24"/>
        </w:rPr>
        <w:t xml:space="preserve">Пациентам, получающим и не получающим химиотерапию, несмотря на коррекцию диеты и применение </w:t>
      </w:r>
      <w:proofErr w:type="spellStart"/>
      <w:r w:rsidRPr="00176D08">
        <w:rPr>
          <w:sz w:val="24"/>
        </w:rPr>
        <w:t>сип</w:t>
      </w:r>
      <w:r w:rsidR="005A3605">
        <w:rPr>
          <w:sz w:val="24"/>
        </w:rPr>
        <w:t>п</w:t>
      </w:r>
      <w:r w:rsidRPr="00176D08">
        <w:rPr>
          <w:sz w:val="24"/>
        </w:rPr>
        <w:t>инга</w:t>
      </w:r>
      <w:proofErr w:type="spellEnd"/>
      <w:r w:rsidRPr="00176D08">
        <w:rPr>
          <w:sz w:val="24"/>
        </w:rPr>
        <w:t xml:space="preserve">, достаточное количество нутриентов, рекомендуется проведение дополнительного </w:t>
      </w:r>
      <w:proofErr w:type="spellStart"/>
      <w:r w:rsidRPr="00176D08">
        <w:rPr>
          <w:sz w:val="24"/>
        </w:rPr>
        <w:t>энтерального</w:t>
      </w:r>
      <w:proofErr w:type="spellEnd"/>
      <w:r w:rsidRPr="00176D08">
        <w:rPr>
          <w:sz w:val="24"/>
        </w:rPr>
        <w:t xml:space="preserve"> питания или, если этого недостаточно, или </w:t>
      </w:r>
      <w:proofErr w:type="spellStart"/>
      <w:r w:rsidRPr="00176D08">
        <w:rPr>
          <w:sz w:val="24"/>
        </w:rPr>
        <w:t>энтеральное</w:t>
      </w:r>
      <w:proofErr w:type="spellEnd"/>
      <w:r w:rsidRPr="00176D08">
        <w:rPr>
          <w:sz w:val="24"/>
        </w:rPr>
        <w:t xml:space="preserve"> питание невозможно — парентеральное пит</w:t>
      </w:r>
      <w:r w:rsidR="005A3605">
        <w:rPr>
          <w:sz w:val="24"/>
        </w:rPr>
        <w:t>ание.</w:t>
      </w:r>
    </w:p>
    <w:p w:rsidR="005A3605" w:rsidRDefault="00176D08" w:rsidP="005A3605">
      <w:pPr>
        <w:spacing w:after="120"/>
        <w:ind w:firstLine="708"/>
        <w:rPr>
          <w:sz w:val="24"/>
        </w:rPr>
      </w:pPr>
      <w:r w:rsidRPr="00176D08">
        <w:rPr>
          <w:sz w:val="24"/>
        </w:rPr>
        <w:t xml:space="preserve">При неадекватности перорального питания методом выбора является </w:t>
      </w:r>
      <w:proofErr w:type="spellStart"/>
      <w:r w:rsidRPr="00176D08">
        <w:rPr>
          <w:sz w:val="24"/>
        </w:rPr>
        <w:t>энтеральное</w:t>
      </w:r>
      <w:proofErr w:type="spellEnd"/>
      <w:r w:rsidRPr="00176D08">
        <w:t xml:space="preserve"> </w:t>
      </w:r>
      <w:r w:rsidRPr="00176D08">
        <w:rPr>
          <w:sz w:val="24"/>
        </w:rPr>
        <w:t xml:space="preserve">питание при отсутствии таких осложнений, как тяжелый </w:t>
      </w:r>
      <w:proofErr w:type="spellStart"/>
      <w:r w:rsidRPr="00176D08">
        <w:rPr>
          <w:sz w:val="24"/>
        </w:rPr>
        <w:t>мукозит</w:t>
      </w:r>
      <w:proofErr w:type="spellEnd"/>
      <w:r w:rsidRPr="00176D08">
        <w:rPr>
          <w:sz w:val="24"/>
        </w:rPr>
        <w:t xml:space="preserve">, </w:t>
      </w:r>
      <w:proofErr w:type="spellStart"/>
      <w:r w:rsidRPr="00176D08">
        <w:rPr>
          <w:sz w:val="24"/>
        </w:rPr>
        <w:t>некупируемая</w:t>
      </w:r>
      <w:proofErr w:type="spellEnd"/>
      <w:r w:rsidRPr="00176D08">
        <w:rPr>
          <w:sz w:val="24"/>
        </w:rPr>
        <w:t xml:space="preserve"> рвота, кишечная непроходимость, тяжелая </w:t>
      </w:r>
      <w:proofErr w:type="spellStart"/>
      <w:r w:rsidRPr="00176D08">
        <w:rPr>
          <w:sz w:val="24"/>
        </w:rPr>
        <w:t>мальабсорбция</w:t>
      </w:r>
      <w:proofErr w:type="spellEnd"/>
      <w:r w:rsidRPr="00176D08">
        <w:rPr>
          <w:sz w:val="24"/>
        </w:rPr>
        <w:t>, затяжная диарея или характерная гастроинтестинальная реакция «трансплантат против хозяина</w:t>
      </w:r>
      <w:r w:rsidR="005A3605">
        <w:rPr>
          <w:sz w:val="24"/>
        </w:rPr>
        <w:t>».</w:t>
      </w:r>
    </w:p>
    <w:p w:rsidR="005A3605" w:rsidRDefault="00176D08" w:rsidP="005A3605">
      <w:pPr>
        <w:spacing w:after="120"/>
        <w:ind w:firstLine="708"/>
        <w:rPr>
          <w:sz w:val="24"/>
        </w:rPr>
      </w:pPr>
      <w:r w:rsidRPr="00176D08">
        <w:rPr>
          <w:sz w:val="24"/>
        </w:rPr>
        <w:t xml:space="preserve">После окончания противоопухолевого лечения рекомендуется поддерживать оптимальную массу тела (ИМТ=18,5–25 кг/м2) и вести здоровый образ жизни, включающий регулярные физические нагрузки для поддержания мышечной массы и </w:t>
      </w:r>
      <w:r w:rsidRPr="00176D08">
        <w:rPr>
          <w:sz w:val="24"/>
        </w:rPr>
        <w:lastRenderedPageBreak/>
        <w:t xml:space="preserve">диету, основанную на овощах, фруктах и </w:t>
      </w:r>
      <w:proofErr w:type="spellStart"/>
      <w:r w:rsidRPr="00176D08">
        <w:rPr>
          <w:sz w:val="24"/>
        </w:rPr>
        <w:t>цельнозерновых</w:t>
      </w:r>
      <w:proofErr w:type="spellEnd"/>
      <w:r w:rsidRPr="00176D08">
        <w:rPr>
          <w:sz w:val="24"/>
        </w:rPr>
        <w:t xml:space="preserve"> продуктах с низким содержанием насыщенных жиров, красного мяса и алкоголя.</w:t>
      </w:r>
    </w:p>
    <w:p w:rsidR="005A3605" w:rsidRDefault="00176D08" w:rsidP="005A3605">
      <w:pPr>
        <w:spacing w:after="120"/>
        <w:ind w:firstLine="708"/>
        <w:rPr>
          <w:sz w:val="24"/>
        </w:rPr>
      </w:pPr>
      <w:r w:rsidRPr="00176D08">
        <w:rPr>
          <w:sz w:val="24"/>
        </w:rPr>
        <w:t xml:space="preserve">Лучевая терапия при локализации процесса в области головы и шеи нередко сопровождается повреждением микроворсинок вкусового поля или его поверхности, в результате чего пациенты чувствуют изменение вкуса и обоняния. </w:t>
      </w:r>
      <w:proofErr w:type="spellStart"/>
      <w:r w:rsidRPr="00176D08">
        <w:rPr>
          <w:sz w:val="24"/>
        </w:rPr>
        <w:t>Мукозиты</w:t>
      </w:r>
      <w:proofErr w:type="spellEnd"/>
      <w:r w:rsidRPr="00176D08">
        <w:rPr>
          <w:sz w:val="24"/>
        </w:rPr>
        <w:t xml:space="preserve"> и поражение слизистой могут развиваться на 2–3 неделе после начала лечения. Применение ЛТ при опухолевом поражении органов грудной клетки может вести к развитию дисфагии, которая сохраняется в течение длительного времени и после завершения лучевой терапии. Лучевая терапия при опухолях, локализующихся в области живота и малого таза, может способствовать развитию двух типов </w:t>
      </w:r>
      <w:proofErr w:type="spellStart"/>
      <w:r w:rsidRPr="00176D08">
        <w:rPr>
          <w:sz w:val="24"/>
        </w:rPr>
        <w:t>нутриционных</w:t>
      </w:r>
      <w:proofErr w:type="spellEnd"/>
      <w:r w:rsidRPr="00176D08">
        <w:rPr>
          <w:sz w:val="24"/>
        </w:rPr>
        <w:t xml:space="preserve"> нарушений: уменьшению приёма натуральных продуктов вследствие анорексии, тошноты и рвоты и развитию хронического лучевого энтерита (с клинической кар</w:t>
      </w:r>
      <w:r w:rsidR="005A3605">
        <w:rPr>
          <w:sz w:val="24"/>
        </w:rPr>
        <w:t>тиной синдрома короткой кишки).</w:t>
      </w:r>
    </w:p>
    <w:p w:rsidR="005A3605" w:rsidRDefault="00176D08" w:rsidP="005A3605">
      <w:pPr>
        <w:spacing w:after="120"/>
        <w:ind w:firstLine="708"/>
        <w:rPr>
          <w:sz w:val="24"/>
        </w:rPr>
      </w:pPr>
      <w:r w:rsidRPr="00176D08">
        <w:rPr>
          <w:sz w:val="24"/>
        </w:rPr>
        <w:t xml:space="preserve">Необходимо помнить, что у 70–80% пациентов лучевое воздействие на органы брюшной полости клинически сопровождается развитием </w:t>
      </w:r>
      <w:proofErr w:type="spellStart"/>
      <w:r w:rsidRPr="00176D08">
        <w:rPr>
          <w:sz w:val="24"/>
        </w:rPr>
        <w:t>мальабсорбции</w:t>
      </w:r>
      <w:proofErr w:type="spellEnd"/>
      <w:r w:rsidRPr="00176D08">
        <w:rPr>
          <w:sz w:val="24"/>
        </w:rPr>
        <w:t xml:space="preserve"> глюкозы, жиров, электролитов и протеинов. Морфологические изменения слизистой оболочки тонкой кишки проявляются уменьшением количества митозов и высоты микроворсинок, причём у 1/3 больных развивается острый эн</w:t>
      </w:r>
      <w:r w:rsidR="005A3605">
        <w:rPr>
          <w:sz w:val="24"/>
        </w:rPr>
        <w:t>терит, переходящий в латентный.</w:t>
      </w:r>
    </w:p>
    <w:p w:rsidR="005A3605" w:rsidRDefault="00176D08" w:rsidP="005A3605">
      <w:pPr>
        <w:spacing w:after="120"/>
        <w:ind w:firstLine="708"/>
        <w:rPr>
          <w:sz w:val="24"/>
        </w:rPr>
      </w:pPr>
      <w:r w:rsidRPr="00176D08">
        <w:rPr>
          <w:sz w:val="24"/>
        </w:rPr>
        <w:t>Основными целями НП у данной категории больных являются:</w:t>
      </w:r>
    </w:p>
    <w:p w:rsidR="005A3605" w:rsidRDefault="00176D08" w:rsidP="005A3605">
      <w:pPr>
        <w:pStyle w:val="a3"/>
        <w:numPr>
          <w:ilvl w:val="0"/>
          <w:numId w:val="20"/>
        </w:numPr>
        <w:spacing w:after="120"/>
        <w:rPr>
          <w:sz w:val="24"/>
        </w:rPr>
      </w:pPr>
      <w:r w:rsidRPr="005A3605">
        <w:rPr>
          <w:sz w:val="24"/>
        </w:rPr>
        <w:t xml:space="preserve">предотвращение </w:t>
      </w:r>
      <w:proofErr w:type="spellStart"/>
      <w:r w:rsidRPr="005A3605">
        <w:rPr>
          <w:sz w:val="24"/>
        </w:rPr>
        <w:t>нутритивной</w:t>
      </w:r>
      <w:proofErr w:type="spellEnd"/>
      <w:r w:rsidRPr="005A3605">
        <w:rPr>
          <w:sz w:val="24"/>
        </w:rPr>
        <w:t xml:space="preserve"> недостаточности;</w:t>
      </w:r>
    </w:p>
    <w:p w:rsidR="005A3605" w:rsidRDefault="00176D08" w:rsidP="005A3605">
      <w:pPr>
        <w:pStyle w:val="a3"/>
        <w:numPr>
          <w:ilvl w:val="0"/>
          <w:numId w:val="20"/>
        </w:numPr>
        <w:spacing w:after="120"/>
        <w:rPr>
          <w:sz w:val="24"/>
        </w:rPr>
      </w:pPr>
      <w:r w:rsidRPr="005A3605">
        <w:rPr>
          <w:sz w:val="24"/>
        </w:rPr>
        <w:t>улу</w:t>
      </w:r>
      <w:r w:rsidR="005A3605">
        <w:rPr>
          <w:sz w:val="24"/>
        </w:rPr>
        <w:t>чшение переносимости лечения;</w:t>
      </w:r>
    </w:p>
    <w:p w:rsidR="005A3605" w:rsidRDefault="00176D08" w:rsidP="005A3605">
      <w:pPr>
        <w:pStyle w:val="a3"/>
        <w:numPr>
          <w:ilvl w:val="0"/>
          <w:numId w:val="20"/>
        </w:numPr>
        <w:spacing w:after="120"/>
        <w:rPr>
          <w:sz w:val="24"/>
        </w:rPr>
      </w:pPr>
      <w:r w:rsidRPr="005A3605">
        <w:rPr>
          <w:sz w:val="24"/>
        </w:rPr>
        <w:t>кон</w:t>
      </w:r>
      <w:r w:rsidR="005A3605">
        <w:rPr>
          <w:sz w:val="24"/>
        </w:rPr>
        <w:t>троль над побочными реакциями;</w:t>
      </w:r>
    </w:p>
    <w:p w:rsidR="00176D08" w:rsidRDefault="00176D08" w:rsidP="005A3605">
      <w:pPr>
        <w:pStyle w:val="a3"/>
        <w:numPr>
          <w:ilvl w:val="0"/>
          <w:numId w:val="20"/>
        </w:numPr>
        <w:spacing w:after="120"/>
        <w:rPr>
          <w:sz w:val="24"/>
        </w:rPr>
      </w:pPr>
      <w:r w:rsidRPr="005A3605">
        <w:rPr>
          <w:sz w:val="24"/>
        </w:rPr>
        <w:t>повышение качества жизни.</w:t>
      </w:r>
    </w:p>
    <w:p w:rsidR="005A3605" w:rsidRDefault="005A3605" w:rsidP="005A3605">
      <w:pPr>
        <w:spacing w:after="120"/>
        <w:ind w:firstLine="360"/>
        <w:rPr>
          <w:sz w:val="24"/>
        </w:rPr>
      </w:pPr>
      <w:r w:rsidRPr="005A3605">
        <w:rPr>
          <w:sz w:val="24"/>
        </w:rPr>
        <w:t xml:space="preserve">Следует относиться к НП не как к опции, а как к обязательному компоненту лечения данной категории больных. НП следует начинать как можно раньше (при наличии показаний), поскольку при лёгкой степени питательной недостаточности гораздо проще стабилизировать </w:t>
      </w:r>
      <w:proofErr w:type="spellStart"/>
      <w:r w:rsidRPr="005A3605">
        <w:rPr>
          <w:sz w:val="24"/>
        </w:rPr>
        <w:t>нутритивный</w:t>
      </w:r>
      <w:proofErr w:type="spellEnd"/>
      <w:r w:rsidRPr="005A3605">
        <w:rPr>
          <w:sz w:val="24"/>
        </w:rPr>
        <w:t xml:space="preserve"> статус и предотвратить тяжёлое истощение вследстви</w:t>
      </w:r>
      <w:r>
        <w:rPr>
          <w:sz w:val="24"/>
        </w:rPr>
        <w:t>е прогрессирования катаболизма.</w:t>
      </w:r>
    </w:p>
    <w:p w:rsidR="005A3605" w:rsidRDefault="005A3605" w:rsidP="005A3605">
      <w:pPr>
        <w:spacing w:after="120"/>
        <w:ind w:firstLine="360"/>
        <w:rPr>
          <w:sz w:val="24"/>
        </w:rPr>
      </w:pPr>
      <w:r w:rsidRPr="005A3605">
        <w:rPr>
          <w:sz w:val="24"/>
        </w:rPr>
        <w:t xml:space="preserve">Скрининг </w:t>
      </w:r>
      <w:proofErr w:type="spellStart"/>
      <w:r w:rsidRPr="005A3605">
        <w:rPr>
          <w:sz w:val="24"/>
        </w:rPr>
        <w:t>нутритивного</w:t>
      </w:r>
      <w:proofErr w:type="spellEnd"/>
      <w:r w:rsidRPr="005A3605">
        <w:rPr>
          <w:sz w:val="24"/>
        </w:rPr>
        <w:t xml:space="preserve"> статуса и НП должны применяться также у амбулаторных пациентов, т. к. у каждого третьего из них развивается</w:t>
      </w:r>
      <w:r>
        <w:rPr>
          <w:sz w:val="24"/>
        </w:rPr>
        <w:t xml:space="preserve"> тяжёлое истощение.</w:t>
      </w:r>
    </w:p>
    <w:p w:rsidR="005A3605" w:rsidRDefault="005A3605" w:rsidP="005A3605">
      <w:pPr>
        <w:spacing w:after="120"/>
        <w:ind w:firstLine="360"/>
        <w:rPr>
          <w:sz w:val="24"/>
        </w:rPr>
      </w:pPr>
      <w:r w:rsidRPr="005A3605">
        <w:rPr>
          <w:sz w:val="24"/>
        </w:rPr>
        <w:t xml:space="preserve">Парентеральное питание неэффективно и даже опасно у больных без дисфункции ЖКТ, которые могут питаться самостоятельно. Парентеральное питание рекомендуют пациентам с тяжёлыми </w:t>
      </w:r>
      <w:proofErr w:type="spellStart"/>
      <w:r w:rsidRPr="005A3605">
        <w:rPr>
          <w:sz w:val="24"/>
        </w:rPr>
        <w:t>мукозитами</w:t>
      </w:r>
      <w:proofErr w:type="spellEnd"/>
      <w:r w:rsidRPr="005A3605">
        <w:rPr>
          <w:sz w:val="24"/>
        </w:rPr>
        <w:t xml:space="preserve"> или </w:t>
      </w:r>
      <w:r>
        <w:rPr>
          <w:sz w:val="24"/>
        </w:rPr>
        <w:t>тяжёлым радиационным энтеритом.</w:t>
      </w:r>
    </w:p>
    <w:p w:rsidR="005A3605" w:rsidRDefault="005A3605" w:rsidP="005A3605">
      <w:pPr>
        <w:spacing w:after="120"/>
        <w:ind w:firstLine="360"/>
        <w:rPr>
          <w:sz w:val="24"/>
        </w:rPr>
      </w:pPr>
      <w:r w:rsidRPr="005A3605">
        <w:rPr>
          <w:sz w:val="24"/>
        </w:rPr>
        <w:t xml:space="preserve">В процессе ЛТ рекомендуется проводить оценку функции глотания с целью раннего выявления дисфагии и своевременного изменения тактики </w:t>
      </w:r>
      <w:proofErr w:type="spellStart"/>
      <w:r w:rsidRPr="005A3605">
        <w:rPr>
          <w:sz w:val="24"/>
        </w:rPr>
        <w:t>энтерального</w:t>
      </w:r>
      <w:proofErr w:type="spellEnd"/>
      <w:r w:rsidRPr="005A3605">
        <w:rPr>
          <w:sz w:val="24"/>
        </w:rPr>
        <w:t xml:space="preserve"> питания. При интенсивной ХТ или после трансплантации костного мозга следует сочетать физическую активность и </w:t>
      </w:r>
      <w:proofErr w:type="spellStart"/>
      <w:r w:rsidRPr="005A3605">
        <w:rPr>
          <w:sz w:val="24"/>
        </w:rPr>
        <w:t>нутритивную</w:t>
      </w:r>
      <w:proofErr w:type="spellEnd"/>
      <w:r w:rsidRPr="005A3605">
        <w:rPr>
          <w:sz w:val="24"/>
        </w:rPr>
        <w:t xml:space="preserve"> поддержку в виде </w:t>
      </w:r>
      <w:proofErr w:type="spellStart"/>
      <w:r w:rsidRPr="005A3605">
        <w:rPr>
          <w:sz w:val="24"/>
        </w:rPr>
        <w:t>энтерального</w:t>
      </w:r>
      <w:proofErr w:type="spellEnd"/>
      <w:r w:rsidRPr="005A3605">
        <w:rPr>
          <w:sz w:val="24"/>
        </w:rPr>
        <w:t>/парентерального питания.</w:t>
      </w:r>
    </w:p>
    <w:p w:rsidR="005A3605" w:rsidRDefault="005A3605" w:rsidP="005A3605">
      <w:pPr>
        <w:spacing w:after="120"/>
        <w:ind w:firstLine="360"/>
        <w:rPr>
          <w:sz w:val="24"/>
        </w:rPr>
      </w:pPr>
      <w:r w:rsidRPr="005A3605">
        <w:rPr>
          <w:sz w:val="24"/>
        </w:rPr>
        <w:t xml:space="preserve">Пероральная НП проводится в том случае, когда приём пищи через рот недостаточен, но возможен. Пероральное использование </w:t>
      </w:r>
      <w:proofErr w:type="spellStart"/>
      <w:r w:rsidRPr="005A3605">
        <w:rPr>
          <w:sz w:val="24"/>
        </w:rPr>
        <w:t>энтеральных</w:t>
      </w:r>
      <w:proofErr w:type="spellEnd"/>
      <w:r w:rsidRPr="005A3605">
        <w:rPr>
          <w:sz w:val="24"/>
        </w:rPr>
        <w:t xml:space="preserve"> смесей заключается в использовании </w:t>
      </w:r>
      <w:proofErr w:type="spellStart"/>
      <w:r w:rsidRPr="005A3605">
        <w:rPr>
          <w:sz w:val="24"/>
        </w:rPr>
        <w:t>гиперкалорической</w:t>
      </w:r>
      <w:proofErr w:type="spellEnd"/>
      <w:r w:rsidRPr="005A3605">
        <w:rPr>
          <w:sz w:val="24"/>
        </w:rPr>
        <w:t xml:space="preserve"> </w:t>
      </w:r>
      <w:proofErr w:type="spellStart"/>
      <w:r w:rsidRPr="005A3605">
        <w:rPr>
          <w:sz w:val="24"/>
        </w:rPr>
        <w:t>энтеральной</w:t>
      </w:r>
      <w:proofErr w:type="spellEnd"/>
      <w:r w:rsidRPr="005A3605">
        <w:rPr>
          <w:sz w:val="24"/>
        </w:rPr>
        <w:t xml:space="preserve"> смеси в тех ситуациях, когда зонд пациенту не нужен и сохранена (или восстановлена) возможность самостоятельного питания через рот, однако потребности в белковых и энергетических субстратах высокие.</w:t>
      </w:r>
    </w:p>
    <w:p w:rsidR="005A3605" w:rsidRDefault="005A3605" w:rsidP="005A3605">
      <w:pPr>
        <w:spacing w:after="120"/>
        <w:ind w:firstLine="360"/>
        <w:rPr>
          <w:sz w:val="24"/>
        </w:rPr>
      </w:pPr>
      <w:r w:rsidRPr="005A3605">
        <w:rPr>
          <w:sz w:val="24"/>
        </w:rPr>
        <w:t xml:space="preserve">Зондовое </w:t>
      </w:r>
      <w:proofErr w:type="spellStart"/>
      <w:r w:rsidRPr="005A3605">
        <w:rPr>
          <w:sz w:val="24"/>
        </w:rPr>
        <w:t>энтеральное</w:t>
      </w:r>
      <w:proofErr w:type="spellEnd"/>
      <w:r w:rsidRPr="005A3605">
        <w:rPr>
          <w:sz w:val="24"/>
        </w:rPr>
        <w:t xml:space="preserve"> питание проводится в том случае, когда питание через рот невозможно, но функция пищеварения сохранена адекватно. Длительность курса определяется длительностью расстройств самостоятельного питания через рот.</w:t>
      </w:r>
    </w:p>
    <w:p w:rsidR="005A3605" w:rsidRDefault="005A3605" w:rsidP="005A3605">
      <w:pPr>
        <w:spacing w:after="120"/>
        <w:ind w:firstLine="360"/>
        <w:rPr>
          <w:sz w:val="24"/>
        </w:rPr>
      </w:pPr>
      <w:r w:rsidRPr="005A3605">
        <w:rPr>
          <w:sz w:val="24"/>
        </w:rPr>
        <w:t xml:space="preserve">Показанием к парентеральному питанию является невозможность адекватного </w:t>
      </w:r>
      <w:proofErr w:type="spellStart"/>
      <w:r w:rsidRPr="005A3605">
        <w:rPr>
          <w:sz w:val="24"/>
        </w:rPr>
        <w:t>энтерального</w:t>
      </w:r>
      <w:proofErr w:type="spellEnd"/>
      <w:r w:rsidRPr="005A3605">
        <w:rPr>
          <w:sz w:val="24"/>
        </w:rPr>
        <w:t xml:space="preserve"> питания в течение более 3 </w:t>
      </w:r>
      <w:proofErr w:type="spellStart"/>
      <w:r w:rsidRPr="005A3605">
        <w:rPr>
          <w:sz w:val="24"/>
        </w:rPr>
        <w:t>сут</w:t>
      </w:r>
      <w:proofErr w:type="spellEnd"/>
      <w:r w:rsidRPr="005A3605">
        <w:rPr>
          <w:sz w:val="24"/>
        </w:rPr>
        <w:t>. В зависимости от продолжительности парентерал</w:t>
      </w:r>
      <w:r>
        <w:rPr>
          <w:sz w:val="24"/>
        </w:rPr>
        <w:t>ьное питание подразделяется на:</w:t>
      </w:r>
    </w:p>
    <w:p w:rsidR="005A3605" w:rsidRDefault="005A3605" w:rsidP="005A3605">
      <w:pPr>
        <w:pStyle w:val="a3"/>
        <w:numPr>
          <w:ilvl w:val="0"/>
          <w:numId w:val="21"/>
        </w:numPr>
        <w:spacing w:after="120"/>
        <w:rPr>
          <w:sz w:val="24"/>
        </w:rPr>
      </w:pPr>
      <w:r>
        <w:rPr>
          <w:sz w:val="24"/>
        </w:rPr>
        <w:lastRenderedPageBreak/>
        <w:t>краткосрочное ПП (10–15 суток):</w:t>
      </w:r>
    </w:p>
    <w:p w:rsidR="005A3605" w:rsidRDefault="005A3605" w:rsidP="005A3605">
      <w:pPr>
        <w:pStyle w:val="a3"/>
        <w:spacing w:after="120"/>
        <w:rPr>
          <w:sz w:val="24"/>
        </w:rPr>
      </w:pPr>
      <w:r w:rsidRPr="005A3605">
        <w:rPr>
          <w:sz w:val="24"/>
        </w:rPr>
        <w:t xml:space="preserve">— острый и тяжёлый </w:t>
      </w:r>
      <w:proofErr w:type="spellStart"/>
      <w:r w:rsidRPr="005A3605">
        <w:rPr>
          <w:sz w:val="24"/>
        </w:rPr>
        <w:t>мукозит</w:t>
      </w:r>
      <w:proofErr w:type="spellEnd"/>
      <w:r w:rsidRPr="005A3605">
        <w:rPr>
          <w:sz w:val="24"/>
        </w:rPr>
        <w:t xml:space="preserve">, </w:t>
      </w:r>
      <w:proofErr w:type="spellStart"/>
      <w:r w:rsidRPr="005A3605">
        <w:rPr>
          <w:sz w:val="24"/>
        </w:rPr>
        <w:t>илеус</w:t>
      </w:r>
      <w:proofErr w:type="spellEnd"/>
      <w:r w:rsidRPr="005A3605">
        <w:rPr>
          <w:sz w:val="24"/>
        </w:rPr>
        <w:t xml:space="preserve">, </w:t>
      </w:r>
      <w:proofErr w:type="spellStart"/>
      <w:r w:rsidRPr="005A3605">
        <w:rPr>
          <w:sz w:val="24"/>
        </w:rPr>
        <w:t>некупируемая</w:t>
      </w:r>
      <w:proofErr w:type="spellEnd"/>
      <w:r w:rsidRPr="005A3605">
        <w:rPr>
          <w:sz w:val="24"/>
        </w:rPr>
        <w:t xml:space="preserve"> рвота;</w:t>
      </w:r>
    </w:p>
    <w:p w:rsidR="005A3605" w:rsidRDefault="005A3605" w:rsidP="005A3605">
      <w:pPr>
        <w:pStyle w:val="a3"/>
        <w:numPr>
          <w:ilvl w:val="0"/>
          <w:numId w:val="21"/>
        </w:numPr>
        <w:spacing w:after="120"/>
        <w:rPr>
          <w:sz w:val="24"/>
        </w:rPr>
      </w:pPr>
      <w:r>
        <w:rPr>
          <w:sz w:val="24"/>
        </w:rPr>
        <w:t>длительное (более 30 суток):</w:t>
      </w:r>
    </w:p>
    <w:p w:rsidR="005A3605" w:rsidRDefault="005A3605" w:rsidP="005A3605">
      <w:pPr>
        <w:pStyle w:val="a3"/>
        <w:spacing w:after="120"/>
        <w:rPr>
          <w:sz w:val="24"/>
        </w:rPr>
      </w:pPr>
      <w:r w:rsidRPr="005A3605">
        <w:rPr>
          <w:sz w:val="24"/>
        </w:rPr>
        <w:t xml:space="preserve">— тяжёлая </w:t>
      </w:r>
      <w:proofErr w:type="spellStart"/>
      <w:r w:rsidRPr="005A3605">
        <w:rPr>
          <w:sz w:val="24"/>
        </w:rPr>
        <w:t>мальабсорбция</w:t>
      </w:r>
      <w:proofErr w:type="spellEnd"/>
      <w:r w:rsidRPr="005A3605">
        <w:rPr>
          <w:sz w:val="24"/>
        </w:rPr>
        <w:t>;</w:t>
      </w:r>
    </w:p>
    <w:p w:rsidR="005A3605" w:rsidRDefault="005A3605" w:rsidP="005A3605">
      <w:pPr>
        <w:pStyle w:val="a3"/>
        <w:spacing w:after="120"/>
        <w:rPr>
          <w:sz w:val="24"/>
        </w:rPr>
      </w:pPr>
      <w:r w:rsidRPr="005A3605">
        <w:rPr>
          <w:sz w:val="24"/>
        </w:rPr>
        <w:t>— подострый или хронический радиационный энтерит;</w:t>
      </w:r>
    </w:p>
    <w:p w:rsidR="005A3605" w:rsidRDefault="005A3605" w:rsidP="005A3605">
      <w:pPr>
        <w:pStyle w:val="a3"/>
        <w:spacing w:after="120"/>
        <w:rPr>
          <w:sz w:val="24"/>
        </w:rPr>
      </w:pPr>
      <w:r w:rsidRPr="005A3605">
        <w:rPr>
          <w:sz w:val="24"/>
        </w:rPr>
        <w:t xml:space="preserve">— тяжёлая </w:t>
      </w:r>
      <w:proofErr w:type="spellStart"/>
      <w:r w:rsidRPr="005A3605">
        <w:rPr>
          <w:sz w:val="24"/>
        </w:rPr>
        <w:t>энтеропатия</w:t>
      </w:r>
      <w:proofErr w:type="spellEnd"/>
      <w:r w:rsidRPr="005A3605">
        <w:rPr>
          <w:sz w:val="24"/>
        </w:rPr>
        <w:t xml:space="preserve"> на фоне реакции «трансплантат против хозяина»</w:t>
      </w:r>
      <w:r>
        <w:rPr>
          <w:sz w:val="24"/>
        </w:rPr>
        <w:t>.</w:t>
      </w:r>
    </w:p>
    <w:p w:rsidR="00AF2E35" w:rsidRPr="003B4C31" w:rsidRDefault="005A3605" w:rsidP="00AF2E35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1" w:name="_Toc136093051"/>
      <w:r>
        <w:rPr>
          <w:b/>
          <w:bCs/>
          <w:color w:val="auto"/>
          <w:sz w:val="28"/>
          <w:szCs w:val="28"/>
        </w:rPr>
        <w:t xml:space="preserve">Мониторинг эффективности </w:t>
      </w:r>
      <w:proofErr w:type="spellStart"/>
      <w:r>
        <w:rPr>
          <w:b/>
          <w:bCs/>
          <w:color w:val="auto"/>
          <w:sz w:val="28"/>
          <w:szCs w:val="28"/>
        </w:rPr>
        <w:t>нутритивной</w:t>
      </w:r>
      <w:proofErr w:type="spellEnd"/>
      <w:r>
        <w:rPr>
          <w:b/>
          <w:bCs/>
          <w:color w:val="auto"/>
          <w:sz w:val="28"/>
          <w:szCs w:val="28"/>
        </w:rPr>
        <w:t xml:space="preserve"> поддержки</w:t>
      </w:r>
      <w:bookmarkEnd w:id="11"/>
    </w:p>
    <w:p w:rsidR="005A3605" w:rsidRDefault="005A3605" w:rsidP="005A3605">
      <w:pPr>
        <w:pStyle w:val="a3"/>
        <w:numPr>
          <w:ilvl w:val="0"/>
          <w:numId w:val="21"/>
        </w:numPr>
        <w:spacing w:after="120"/>
        <w:rPr>
          <w:sz w:val="24"/>
          <w:szCs w:val="20"/>
        </w:rPr>
      </w:pPr>
      <w:r w:rsidRPr="005A3605">
        <w:rPr>
          <w:sz w:val="24"/>
          <w:szCs w:val="20"/>
        </w:rPr>
        <w:t>Общий белок сыворотки крови 1 раз в 5–7 дней;</w:t>
      </w:r>
    </w:p>
    <w:p w:rsidR="005A3605" w:rsidRDefault="005A3605" w:rsidP="005A3605">
      <w:pPr>
        <w:pStyle w:val="a3"/>
        <w:numPr>
          <w:ilvl w:val="0"/>
          <w:numId w:val="21"/>
        </w:numPr>
        <w:spacing w:after="120"/>
        <w:rPr>
          <w:sz w:val="24"/>
          <w:szCs w:val="20"/>
        </w:rPr>
      </w:pPr>
      <w:r w:rsidRPr="005A3605">
        <w:rPr>
          <w:sz w:val="24"/>
          <w:szCs w:val="20"/>
        </w:rPr>
        <w:t>альбумин сыв</w:t>
      </w:r>
      <w:r>
        <w:rPr>
          <w:sz w:val="24"/>
          <w:szCs w:val="20"/>
        </w:rPr>
        <w:t>оротки крови 1 раз в 5–7 дней;</w:t>
      </w:r>
    </w:p>
    <w:p w:rsidR="005A3605" w:rsidRDefault="005A3605" w:rsidP="005A3605">
      <w:pPr>
        <w:pStyle w:val="a3"/>
        <w:numPr>
          <w:ilvl w:val="0"/>
          <w:numId w:val="21"/>
        </w:numPr>
        <w:spacing w:after="120"/>
        <w:rPr>
          <w:sz w:val="24"/>
          <w:szCs w:val="20"/>
        </w:rPr>
      </w:pPr>
      <w:r>
        <w:rPr>
          <w:sz w:val="24"/>
          <w:szCs w:val="20"/>
        </w:rPr>
        <w:t>гемоглобин 1 раз в 5–7 дней;</w:t>
      </w:r>
    </w:p>
    <w:p w:rsidR="005A3605" w:rsidRDefault="005A3605" w:rsidP="005A3605">
      <w:pPr>
        <w:pStyle w:val="a3"/>
        <w:numPr>
          <w:ilvl w:val="0"/>
          <w:numId w:val="21"/>
        </w:numPr>
        <w:spacing w:after="120"/>
        <w:rPr>
          <w:sz w:val="24"/>
          <w:szCs w:val="20"/>
        </w:rPr>
      </w:pPr>
      <w:r>
        <w:rPr>
          <w:sz w:val="24"/>
          <w:szCs w:val="20"/>
        </w:rPr>
        <w:t>л</w:t>
      </w:r>
      <w:r w:rsidRPr="005A3605">
        <w:rPr>
          <w:sz w:val="24"/>
          <w:szCs w:val="20"/>
        </w:rPr>
        <w:t>имфоциты перифер</w:t>
      </w:r>
      <w:r>
        <w:rPr>
          <w:sz w:val="24"/>
          <w:szCs w:val="20"/>
        </w:rPr>
        <w:t>ической крови 1 раз в 5–7 дней;</w:t>
      </w:r>
    </w:p>
    <w:p w:rsidR="005A3605" w:rsidRDefault="005A3605" w:rsidP="005A3605">
      <w:pPr>
        <w:pStyle w:val="a3"/>
        <w:numPr>
          <w:ilvl w:val="0"/>
          <w:numId w:val="21"/>
        </w:numPr>
        <w:spacing w:after="120"/>
        <w:rPr>
          <w:sz w:val="24"/>
          <w:szCs w:val="20"/>
        </w:rPr>
      </w:pPr>
      <w:r w:rsidRPr="005A3605">
        <w:rPr>
          <w:sz w:val="24"/>
          <w:szCs w:val="20"/>
        </w:rPr>
        <w:t>масса тел</w:t>
      </w:r>
      <w:r>
        <w:rPr>
          <w:sz w:val="24"/>
          <w:szCs w:val="20"/>
        </w:rPr>
        <w:t>а и ИМТ тела 1 раз в 7–10 дней.</w:t>
      </w:r>
    </w:p>
    <w:p w:rsidR="005A3605" w:rsidRPr="005A3605" w:rsidRDefault="005A3605" w:rsidP="005A3605">
      <w:pPr>
        <w:spacing w:after="120"/>
        <w:ind w:firstLine="360"/>
        <w:rPr>
          <w:sz w:val="24"/>
          <w:szCs w:val="20"/>
        </w:rPr>
      </w:pPr>
      <w:r w:rsidRPr="005A3605">
        <w:rPr>
          <w:sz w:val="24"/>
          <w:szCs w:val="20"/>
        </w:rPr>
        <w:t>Частота исследования данных показателей может изменяться в зависимости от конкретной клинической ситуации.</w:t>
      </w:r>
    </w:p>
    <w:p w:rsidR="00AF2E35" w:rsidRDefault="00AF2E35" w:rsidP="00AF2E35">
      <w:pPr>
        <w:spacing w:after="120"/>
        <w:ind w:firstLine="708"/>
        <w:rPr>
          <w:sz w:val="24"/>
          <w:szCs w:val="20"/>
        </w:rPr>
      </w:pPr>
    </w:p>
    <w:p w:rsidR="00AF2E35" w:rsidRPr="003B4C31" w:rsidRDefault="00AF2E35" w:rsidP="00AF2E35">
      <w:pPr>
        <w:pStyle w:val="1"/>
        <w:spacing w:after="120"/>
        <w:rPr>
          <w:b/>
          <w:bCs/>
          <w:color w:val="auto"/>
          <w:sz w:val="28"/>
          <w:szCs w:val="28"/>
        </w:rPr>
      </w:pPr>
      <w:r>
        <w:br w:type="page"/>
      </w:r>
      <w:bookmarkStart w:id="12" w:name="_Toc136093052"/>
      <w:r w:rsidRPr="003B4C31">
        <w:rPr>
          <w:b/>
          <w:bCs/>
          <w:color w:val="auto"/>
          <w:sz w:val="28"/>
          <w:szCs w:val="28"/>
        </w:rPr>
        <w:lastRenderedPageBreak/>
        <w:t>Заключение</w:t>
      </w:r>
      <w:bookmarkEnd w:id="12"/>
    </w:p>
    <w:p w:rsidR="005A3605" w:rsidRDefault="005A3605" w:rsidP="00AF2E35">
      <w:pPr>
        <w:spacing w:after="120"/>
        <w:ind w:firstLine="708"/>
        <w:rPr>
          <w:sz w:val="24"/>
          <w:szCs w:val="20"/>
        </w:rPr>
      </w:pPr>
      <w:r w:rsidRPr="005A3605">
        <w:rPr>
          <w:sz w:val="24"/>
          <w:szCs w:val="20"/>
        </w:rPr>
        <w:t>Развитие САКОБ приводит к снижению физической активности, функциональной и физиологической слабости, а также снижает эффективность проводимой терапии, т. е. уменьшает частоту противоопухолевого ответа, отрицательно влияет на качество жизни и показатели выживаемости. Необходима своевременная диагностика синдрома анорексии-кахексии у пациентов, получающих противоопухолевое лечение. При немотивированной потере массы тела более чем на 5 % за последние 6 мес. пациент обязательно должен пройти скрининг на синдром анорексии-кахексии с последующей адекватной терапией.</w:t>
      </w:r>
    </w:p>
    <w:p w:rsidR="007A20F4" w:rsidRDefault="007A20F4" w:rsidP="00AF2E35">
      <w:pPr>
        <w:spacing w:after="120"/>
        <w:ind w:firstLine="708"/>
        <w:rPr>
          <w:sz w:val="24"/>
          <w:szCs w:val="20"/>
        </w:rPr>
      </w:pPr>
      <w:r w:rsidRPr="007A20F4">
        <w:rPr>
          <w:sz w:val="24"/>
          <w:szCs w:val="20"/>
        </w:rPr>
        <w:t xml:space="preserve">Оценка </w:t>
      </w:r>
      <w:proofErr w:type="spellStart"/>
      <w:r w:rsidRPr="007A20F4">
        <w:rPr>
          <w:sz w:val="24"/>
          <w:szCs w:val="20"/>
        </w:rPr>
        <w:t>нутритивного</w:t>
      </w:r>
      <w:proofErr w:type="spellEnd"/>
      <w:r w:rsidRPr="007A20F4">
        <w:rPr>
          <w:sz w:val="24"/>
          <w:szCs w:val="20"/>
        </w:rPr>
        <w:t xml:space="preserve"> статуса в онкологии</w:t>
      </w:r>
      <w:r>
        <w:rPr>
          <w:sz w:val="24"/>
          <w:szCs w:val="20"/>
        </w:rPr>
        <w:t xml:space="preserve"> </w:t>
      </w:r>
      <w:r w:rsidRPr="007A20F4">
        <w:rPr>
          <w:sz w:val="24"/>
          <w:szCs w:val="20"/>
        </w:rPr>
        <w:t xml:space="preserve">– первый и один из ключевых этапов </w:t>
      </w:r>
      <w:proofErr w:type="spellStart"/>
      <w:r w:rsidRPr="007A20F4">
        <w:rPr>
          <w:sz w:val="24"/>
          <w:szCs w:val="20"/>
        </w:rPr>
        <w:t>нутритивного</w:t>
      </w:r>
      <w:proofErr w:type="spellEnd"/>
      <w:r w:rsidRPr="007A20F4">
        <w:rPr>
          <w:sz w:val="24"/>
          <w:szCs w:val="20"/>
        </w:rPr>
        <w:t xml:space="preserve"> сопровождения. И от того, насколько адекватно он осуществляется, зависит адекватность и своевременность</w:t>
      </w:r>
      <w:r>
        <w:rPr>
          <w:sz w:val="24"/>
          <w:szCs w:val="20"/>
        </w:rPr>
        <w:t xml:space="preserve"> </w:t>
      </w:r>
      <w:r w:rsidRPr="007A20F4">
        <w:rPr>
          <w:sz w:val="24"/>
          <w:szCs w:val="20"/>
        </w:rPr>
        <w:t>на</w:t>
      </w:r>
      <w:r>
        <w:rPr>
          <w:sz w:val="24"/>
          <w:szCs w:val="20"/>
        </w:rPr>
        <w:t xml:space="preserve">значения </w:t>
      </w:r>
      <w:proofErr w:type="spellStart"/>
      <w:r>
        <w:rPr>
          <w:sz w:val="24"/>
          <w:szCs w:val="20"/>
        </w:rPr>
        <w:t>нутритивной</w:t>
      </w:r>
      <w:proofErr w:type="spellEnd"/>
      <w:r>
        <w:rPr>
          <w:sz w:val="24"/>
          <w:szCs w:val="20"/>
        </w:rPr>
        <w:t xml:space="preserve"> поддержки.</w:t>
      </w:r>
    </w:p>
    <w:p w:rsidR="005A3605" w:rsidRDefault="007A20F4" w:rsidP="00AF2E35">
      <w:pPr>
        <w:spacing w:after="120"/>
        <w:ind w:firstLine="708"/>
        <w:rPr>
          <w:sz w:val="24"/>
          <w:szCs w:val="20"/>
        </w:rPr>
      </w:pPr>
      <w:r w:rsidRPr="007A20F4">
        <w:rPr>
          <w:sz w:val="24"/>
          <w:szCs w:val="20"/>
        </w:rPr>
        <w:t xml:space="preserve">Критически важным является начать осуществлять оценку </w:t>
      </w:r>
      <w:proofErr w:type="spellStart"/>
      <w:r w:rsidRPr="007A20F4">
        <w:rPr>
          <w:sz w:val="24"/>
          <w:szCs w:val="20"/>
        </w:rPr>
        <w:t>нутритивного</w:t>
      </w:r>
      <w:proofErr w:type="spellEnd"/>
      <w:r w:rsidRPr="007A20F4">
        <w:rPr>
          <w:sz w:val="24"/>
          <w:szCs w:val="20"/>
        </w:rPr>
        <w:t xml:space="preserve"> статуса как можно раньше – фактически, с момента манифестации заболевания – и проводить ее регулярно в динамике, в течение этапов противоопухолевого лечения. Регулярная оценка </w:t>
      </w:r>
      <w:proofErr w:type="spellStart"/>
      <w:r w:rsidRPr="007A20F4">
        <w:rPr>
          <w:sz w:val="24"/>
          <w:szCs w:val="20"/>
        </w:rPr>
        <w:t>нутритивных</w:t>
      </w:r>
      <w:proofErr w:type="spellEnd"/>
      <w:r w:rsidRPr="007A20F4">
        <w:rPr>
          <w:sz w:val="24"/>
          <w:szCs w:val="20"/>
        </w:rPr>
        <w:t xml:space="preserve"> параметров позволяет не только выявить риск развития </w:t>
      </w:r>
      <w:proofErr w:type="spellStart"/>
      <w:r w:rsidRPr="007A20F4">
        <w:rPr>
          <w:sz w:val="24"/>
          <w:szCs w:val="20"/>
        </w:rPr>
        <w:t>нутритивных</w:t>
      </w:r>
      <w:proofErr w:type="spellEnd"/>
      <w:r w:rsidRPr="007A20F4">
        <w:rPr>
          <w:sz w:val="24"/>
          <w:szCs w:val="20"/>
        </w:rPr>
        <w:t xml:space="preserve"> нарушений, но и проанализировать адекватность и полноценность проводимой </w:t>
      </w:r>
      <w:proofErr w:type="spellStart"/>
      <w:r w:rsidRPr="007A20F4">
        <w:rPr>
          <w:sz w:val="24"/>
          <w:szCs w:val="20"/>
        </w:rPr>
        <w:t>нутритивной</w:t>
      </w:r>
      <w:proofErr w:type="spellEnd"/>
      <w:r w:rsidRPr="007A20F4">
        <w:rPr>
          <w:sz w:val="24"/>
          <w:szCs w:val="20"/>
        </w:rPr>
        <w:t xml:space="preserve"> коррекции</w:t>
      </w:r>
      <w:r>
        <w:rPr>
          <w:sz w:val="24"/>
          <w:szCs w:val="20"/>
        </w:rPr>
        <w:t>.</w:t>
      </w:r>
    </w:p>
    <w:p w:rsidR="00AF2E35" w:rsidRDefault="00AF2E35" w:rsidP="00AF2E35">
      <w:pPr>
        <w:spacing w:after="120"/>
        <w:ind w:firstLine="708"/>
        <w:rPr>
          <w:sz w:val="24"/>
          <w:szCs w:val="20"/>
        </w:rPr>
      </w:pPr>
    </w:p>
    <w:p w:rsidR="00AF2E35" w:rsidRDefault="00AF2E35" w:rsidP="00AF2E35">
      <w:pPr>
        <w:spacing w:after="120"/>
        <w:ind w:firstLine="708"/>
        <w:rPr>
          <w:sz w:val="24"/>
          <w:szCs w:val="20"/>
        </w:rPr>
      </w:pPr>
    </w:p>
    <w:p w:rsidR="00AF2E35" w:rsidRPr="003B4C31" w:rsidRDefault="00AF2E35" w:rsidP="00AF2E35">
      <w:pPr>
        <w:spacing w:line="259" w:lineRule="auto"/>
        <w:rPr>
          <w:sz w:val="24"/>
          <w:szCs w:val="20"/>
        </w:rPr>
      </w:pPr>
      <w:r w:rsidRPr="003B4C31">
        <w:rPr>
          <w:sz w:val="24"/>
          <w:szCs w:val="20"/>
        </w:rPr>
        <w:br w:type="page"/>
      </w:r>
    </w:p>
    <w:p w:rsidR="00AF2E35" w:rsidRPr="003B4C31" w:rsidRDefault="00AF2E35" w:rsidP="00AF2E35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3" w:name="_Toc136093053"/>
      <w:r w:rsidRPr="003B4C31">
        <w:rPr>
          <w:b/>
          <w:bCs/>
          <w:color w:val="auto"/>
          <w:sz w:val="28"/>
          <w:szCs w:val="28"/>
        </w:rPr>
        <w:lastRenderedPageBreak/>
        <w:t>Список литературы</w:t>
      </w:r>
      <w:bookmarkEnd w:id="13"/>
    </w:p>
    <w:p w:rsidR="00C12C94" w:rsidRDefault="00C12C94" w:rsidP="00AF2E35">
      <w:pPr>
        <w:pStyle w:val="a3"/>
        <w:numPr>
          <w:ilvl w:val="0"/>
          <w:numId w:val="1"/>
        </w:numPr>
        <w:spacing w:after="120"/>
        <w:rPr>
          <w:sz w:val="24"/>
          <w:szCs w:val="20"/>
        </w:rPr>
      </w:pPr>
      <w:r w:rsidRPr="00C12C94">
        <w:rPr>
          <w:sz w:val="24"/>
          <w:szCs w:val="20"/>
        </w:rPr>
        <w:t xml:space="preserve">Практические рекомендации по коррекции синдрома анорексии-кахексии у онкологических больных </w:t>
      </w:r>
      <w:r>
        <w:rPr>
          <w:sz w:val="24"/>
          <w:szCs w:val="20"/>
        </w:rPr>
        <w:t xml:space="preserve">/ </w:t>
      </w:r>
      <w:r w:rsidRPr="00C12C94">
        <w:rPr>
          <w:sz w:val="24"/>
          <w:szCs w:val="20"/>
        </w:rPr>
        <w:t>Снегово</w:t>
      </w:r>
      <w:r>
        <w:rPr>
          <w:sz w:val="24"/>
          <w:szCs w:val="20"/>
        </w:rPr>
        <w:t>й</w:t>
      </w:r>
      <w:r w:rsidRPr="00C12C94">
        <w:rPr>
          <w:sz w:val="24"/>
          <w:szCs w:val="20"/>
        </w:rPr>
        <w:t xml:space="preserve"> А.В., Кононенко И.Б., Ларионова В.Б., </w:t>
      </w:r>
      <w:proofErr w:type="spellStart"/>
      <w:r w:rsidRPr="00C12C94">
        <w:rPr>
          <w:sz w:val="24"/>
          <w:szCs w:val="20"/>
        </w:rPr>
        <w:t>Манзюк</w:t>
      </w:r>
      <w:proofErr w:type="spellEnd"/>
      <w:r w:rsidRPr="00C12C94">
        <w:rPr>
          <w:sz w:val="24"/>
          <w:szCs w:val="20"/>
        </w:rPr>
        <w:t xml:space="preserve"> Л.В., Салтанов А.И., </w:t>
      </w:r>
      <w:proofErr w:type="spellStart"/>
      <w:r w:rsidRPr="00C12C94">
        <w:rPr>
          <w:sz w:val="24"/>
          <w:szCs w:val="20"/>
        </w:rPr>
        <w:t>Сельчук</w:t>
      </w:r>
      <w:proofErr w:type="spellEnd"/>
      <w:r w:rsidRPr="00C12C94">
        <w:rPr>
          <w:sz w:val="24"/>
          <w:szCs w:val="20"/>
        </w:rPr>
        <w:t xml:space="preserve"> В.Ю. // Злокачественные опухоли. - 2015. - </w:t>
      </w:r>
      <w:proofErr w:type="spellStart"/>
      <w:r w:rsidRPr="00C12C94">
        <w:rPr>
          <w:sz w:val="24"/>
          <w:szCs w:val="20"/>
        </w:rPr>
        <w:t>No</w:t>
      </w:r>
      <w:proofErr w:type="spellEnd"/>
      <w:r w:rsidRPr="00C12C94">
        <w:rPr>
          <w:sz w:val="24"/>
          <w:szCs w:val="20"/>
        </w:rPr>
        <w:t xml:space="preserve"> 4, </w:t>
      </w:r>
      <w:proofErr w:type="spellStart"/>
      <w:r w:rsidRPr="00C12C94">
        <w:rPr>
          <w:sz w:val="24"/>
          <w:szCs w:val="20"/>
        </w:rPr>
        <w:t>спецвыпуск</w:t>
      </w:r>
      <w:proofErr w:type="spellEnd"/>
      <w:r w:rsidRPr="00C12C94">
        <w:rPr>
          <w:sz w:val="24"/>
          <w:szCs w:val="20"/>
        </w:rPr>
        <w:t>. - С. 412-6.</w:t>
      </w:r>
    </w:p>
    <w:p w:rsidR="00C12C94" w:rsidRDefault="00C12C94" w:rsidP="00AF2E35">
      <w:pPr>
        <w:pStyle w:val="a3"/>
        <w:numPr>
          <w:ilvl w:val="0"/>
          <w:numId w:val="1"/>
        </w:numPr>
        <w:spacing w:after="120"/>
        <w:rPr>
          <w:sz w:val="24"/>
          <w:szCs w:val="20"/>
        </w:rPr>
      </w:pPr>
      <w:r w:rsidRPr="00C12C94">
        <w:rPr>
          <w:sz w:val="24"/>
          <w:szCs w:val="20"/>
        </w:rPr>
        <w:t xml:space="preserve">Кахексия и </w:t>
      </w:r>
      <w:proofErr w:type="spellStart"/>
      <w:r w:rsidRPr="00C12C94">
        <w:rPr>
          <w:sz w:val="24"/>
          <w:szCs w:val="20"/>
        </w:rPr>
        <w:t>саркопения</w:t>
      </w:r>
      <w:proofErr w:type="spellEnd"/>
      <w:r w:rsidRPr="00C12C94">
        <w:rPr>
          <w:sz w:val="24"/>
          <w:szCs w:val="20"/>
        </w:rPr>
        <w:t xml:space="preserve"> у онкологических пациентов: диагностика и лечебная тактика. Клиническое питание и метаболизм. </w:t>
      </w:r>
      <w:r>
        <w:rPr>
          <w:sz w:val="24"/>
          <w:szCs w:val="20"/>
        </w:rPr>
        <w:t xml:space="preserve">/ </w:t>
      </w:r>
      <w:proofErr w:type="spellStart"/>
      <w:r w:rsidRPr="00C12C94">
        <w:rPr>
          <w:sz w:val="24"/>
          <w:szCs w:val="20"/>
        </w:rPr>
        <w:t>Хорошилов</w:t>
      </w:r>
      <w:proofErr w:type="spellEnd"/>
      <w:r w:rsidRPr="00C12C94">
        <w:rPr>
          <w:sz w:val="24"/>
          <w:szCs w:val="20"/>
        </w:rPr>
        <w:t xml:space="preserve"> И.Е. </w:t>
      </w:r>
      <w:r>
        <w:rPr>
          <w:sz w:val="24"/>
          <w:szCs w:val="20"/>
        </w:rPr>
        <w:t xml:space="preserve">// - </w:t>
      </w:r>
      <w:r w:rsidRPr="00C12C94">
        <w:rPr>
          <w:sz w:val="24"/>
          <w:szCs w:val="20"/>
        </w:rPr>
        <w:t>2020;1(1):36-46. </w:t>
      </w:r>
    </w:p>
    <w:p w:rsidR="007A20F4" w:rsidRDefault="007A20F4" w:rsidP="00AF2E35">
      <w:pPr>
        <w:pStyle w:val="a3"/>
        <w:numPr>
          <w:ilvl w:val="0"/>
          <w:numId w:val="1"/>
        </w:numPr>
        <w:spacing w:after="120"/>
        <w:rPr>
          <w:sz w:val="24"/>
          <w:szCs w:val="20"/>
        </w:rPr>
      </w:pPr>
      <w:r w:rsidRPr="007A20F4">
        <w:rPr>
          <w:sz w:val="24"/>
          <w:szCs w:val="20"/>
        </w:rPr>
        <w:t xml:space="preserve">Дополнительное пероральное питание в составе </w:t>
      </w:r>
      <w:proofErr w:type="spellStart"/>
      <w:r w:rsidRPr="007A20F4">
        <w:rPr>
          <w:sz w:val="24"/>
          <w:szCs w:val="20"/>
        </w:rPr>
        <w:t>нутритивной</w:t>
      </w:r>
      <w:proofErr w:type="spellEnd"/>
      <w:r w:rsidRPr="007A20F4">
        <w:rPr>
          <w:sz w:val="24"/>
          <w:szCs w:val="20"/>
        </w:rPr>
        <w:t xml:space="preserve"> поддержки в </w:t>
      </w:r>
      <w:proofErr w:type="spellStart"/>
      <w:r w:rsidRPr="007A20F4">
        <w:rPr>
          <w:sz w:val="24"/>
          <w:szCs w:val="20"/>
        </w:rPr>
        <w:t>онкохирургии</w:t>
      </w:r>
      <w:proofErr w:type="spellEnd"/>
      <w:r w:rsidRPr="007A20F4">
        <w:rPr>
          <w:sz w:val="24"/>
          <w:szCs w:val="20"/>
        </w:rPr>
        <w:t xml:space="preserve">. Вестник анестезиологии и реаниматологии. </w:t>
      </w:r>
      <w:r>
        <w:rPr>
          <w:sz w:val="24"/>
          <w:szCs w:val="20"/>
        </w:rPr>
        <w:t xml:space="preserve">/ </w:t>
      </w:r>
      <w:r w:rsidRPr="007A20F4">
        <w:rPr>
          <w:sz w:val="24"/>
          <w:szCs w:val="20"/>
        </w:rPr>
        <w:t xml:space="preserve">Потапов А.Л. </w:t>
      </w:r>
      <w:r>
        <w:rPr>
          <w:sz w:val="24"/>
          <w:szCs w:val="20"/>
        </w:rPr>
        <w:t xml:space="preserve">// - </w:t>
      </w:r>
      <w:r w:rsidRPr="007A20F4">
        <w:rPr>
          <w:sz w:val="24"/>
          <w:szCs w:val="20"/>
        </w:rPr>
        <w:t>2020; 17(2): 64–69</w:t>
      </w:r>
      <w:r>
        <w:rPr>
          <w:sz w:val="24"/>
          <w:szCs w:val="20"/>
        </w:rPr>
        <w:t>.</w:t>
      </w:r>
    </w:p>
    <w:p w:rsidR="00C12C94" w:rsidRDefault="00C12C94" w:rsidP="00AF2E35">
      <w:pPr>
        <w:pStyle w:val="a3"/>
        <w:numPr>
          <w:ilvl w:val="0"/>
          <w:numId w:val="1"/>
        </w:numPr>
        <w:spacing w:after="120"/>
        <w:rPr>
          <w:sz w:val="24"/>
          <w:szCs w:val="20"/>
        </w:rPr>
      </w:pPr>
      <w:proofErr w:type="spellStart"/>
      <w:r w:rsidRPr="00C12C94">
        <w:rPr>
          <w:sz w:val="24"/>
          <w:szCs w:val="20"/>
        </w:rPr>
        <w:t>Нутритивная</w:t>
      </w:r>
      <w:proofErr w:type="spellEnd"/>
      <w:r w:rsidRPr="00C12C94">
        <w:rPr>
          <w:sz w:val="24"/>
          <w:szCs w:val="20"/>
        </w:rPr>
        <w:t xml:space="preserve"> недостаточность и терапия онкологических пациентов. Современный взгляд на проблему. Сибирский онкологический журнал. </w:t>
      </w:r>
      <w:r>
        <w:rPr>
          <w:sz w:val="24"/>
          <w:szCs w:val="20"/>
        </w:rPr>
        <w:t xml:space="preserve">/ </w:t>
      </w:r>
      <w:proofErr w:type="spellStart"/>
      <w:r w:rsidRPr="00C12C94">
        <w:rPr>
          <w:sz w:val="24"/>
          <w:szCs w:val="20"/>
        </w:rPr>
        <w:t>Гамеева</w:t>
      </w:r>
      <w:proofErr w:type="spellEnd"/>
      <w:r w:rsidRPr="00C12C94">
        <w:rPr>
          <w:sz w:val="24"/>
          <w:szCs w:val="20"/>
        </w:rPr>
        <w:t xml:space="preserve"> Е.В., Хороненко В.Э., </w:t>
      </w:r>
      <w:proofErr w:type="spellStart"/>
      <w:r w:rsidRPr="00C12C94">
        <w:rPr>
          <w:sz w:val="24"/>
          <w:szCs w:val="20"/>
        </w:rPr>
        <w:t>Шеметова</w:t>
      </w:r>
      <w:proofErr w:type="spellEnd"/>
      <w:r w:rsidRPr="00C12C94">
        <w:rPr>
          <w:sz w:val="24"/>
          <w:szCs w:val="20"/>
        </w:rPr>
        <w:t xml:space="preserve"> М.М. </w:t>
      </w:r>
      <w:r>
        <w:rPr>
          <w:sz w:val="24"/>
          <w:szCs w:val="20"/>
        </w:rPr>
        <w:t xml:space="preserve">// - </w:t>
      </w:r>
      <w:r w:rsidRPr="00C12C94">
        <w:rPr>
          <w:sz w:val="24"/>
          <w:szCs w:val="20"/>
        </w:rPr>
        <w:t>2020;</w:t>
      </w:r>
      <w:r>
        <w:rPr>
          <w:sz w:val="24"/>
          <w:szCs w:val="20"/>
        </w:rPr>
        <w:t xml:space="preserve"> </w:t>
      </w:r>
      <w:r w:rsidRPr="00C12C94">
        <w:rPr>
          <w:sz w:val="24"/>
          <w:szCs w:val="20"/>
        </w:rPr>
        <w:t>19(2):116-124. </w:t>
      </w:r>
    </w:p>
    <w:p w:rsidR="007A20F4" w:rsidRDefault="007A20F4" w:rsidP="00AF2E35">
      <w:pPr>
        <w:pStyle w:val="a3"/>
        <w:numPr>
          <w:ilvl w:val="0"/>
          <w:numId w:val="1"/>
        </w:numPr>
        <w:spacing w:after="120"/>
        <w:rPr>
          <w:sz w:val="24"/>
          <w:szCs w:val="20"/>
        </w:rPr>
      </w:pPr>
      <w:r w:rsidRPr="007A20F4">
        <w:rPr>
          <w:sz w:val="24"/>
          <w:szCs w:val="20"/>
        </w:rPr>
        <w:t xml:space="preserve">Дополнительное пероральное питание: прикладная классификация смесей и ключевые правила применения в онкологии. Вопросы питания. </w:t>
      </w:r>
      <w:r>
        <w:rPr>
          <w:sz w:val="24"/>
          <w:szCs w:val="20"/>
        </w:rPr>
        <w:t xml:space="preserve">/ </w:t>
      </w:r>
      <w:r w:rsidRPr="007A20F4">
        <w:rPr>
          <w:sz w:val="24"/>
          <w:szCs w:val="20"/>
        </w:rPr>
        <w:t xml:space="preserve">Потапов А.Л., Хороненко В.Э., </w:t>
      </w:r>
      <w:proofErr w:type="spellStart"/>
      <w:r w:rsidRPr="007A20F4">
        <w:rPr>
          <w:sz w:val="24"/>
          <w:szCs w:val="20"/>
        </w:rPr>
        <w:t>Гамеева</w:t>
      </w:r>
      <w:proofErr w:type="spellEnd"/>
      <w:r w:rsidRPr="007A20F4">
        <w:rPr>
          <w:sz w:val="24"/>
          <w:szCs w:val="20"/>
        </w:rPr>
        <w:t xml:space="preserve"> Е.В. и др. </w:t>
      </w:r>
      <w:r>
        <w:rPr>
          <w:sz w:val="24"/>
          <w:szCs w:val="20"/>
        </w:rPr>
        <w:t xml:space="preserve">// - </w:t>
      </w:r>
      <w:r w:rsidRPr="007A20F4">
        <w:rPr>
          <w:sz w:val="24"/>
          <w:szCs w:val="20"/>
        </w:rPr>
        <w:t>2020; 89(1): 69–76.</w:t>
      </w:r>
    </w:p>
    <w:p w:rsidR="007A20F4" w:rsidRDefault="007A20F4" w:rsidP="00AF2E35">
      <w:pPr>
        <w:pStyle w:val="a3"/>
        <w:numPr>
          <w:ilvl w:val="0"/>
          <w:numId w:val="1"/>
        </w:numPr>
        <w:spacing w:after="120"/>
        <w:rPr>
          <w:sz w:val="24"/>
          <w:szCs w:val="20"/>
        </w:rPr>
      </w:pPr>
      <w:r>
        <w:rPr>
          <w:sz w:val="24"/>
          <w:szCs w:val="20"/>
        </w:rPr>
        <w:t xml:space="preserve">Российский научно-практический журнал </w:t>
      </w:r>
      <w:r>
        <w:rPr>
          <w:sz w:val="24"/>
          <w:szCs w:val="20"/>
          <w:lang w:val="en-US"/>
        </w:rPr>
        <w:t>PALLIUM</w:t>
      </w:r>
      <w:r>
        <w:rPr>
          <w:sz w:val="24"/>
          <w:szCs w:val="20"/>
        </w:rPr>
        <w:t xml:space="preserve"> – </w:t>
      </w:r>
      <w:proofErr w:type="spellStart"/>
      <w:r>
        <w:rPr>
          <w:sz w:val="24"/>
          <w:szCs w:val="20"/>
        </w:rPr>
        <w:t>Нутритивная</w:t>
      </w:r>
      <w:proofErr w:type="spellEnd"/>
      <w:r>
        <w:rPr>
          <w:sz w:val="24"/>
          <w:szCs w:val="20"/>
        </w:rPr>
        <w:t xml:space="preserve"> поддержка в паллиативной медицине / Ассоциация профессиональных участников </w:t>
      </w:r>
      <w:proofErr w:type="spellStart"/>
      <w:r>
        <w:rPr>
          <w:sz w:val="24"/>
          <w:szCs w:val="20"/>
        </w:rPr>
        <w:t>хосписной</w:t>
      </w:r>
      <w:proofErr w:type="spellEnd"/>
      <w:r>
        <w:rPr>
          <w:sz w:val="24"/>
          <w:szCs w:val="20"/>
        </w:rPr>
        <w:t xml:space="preserve"> помощи // - 2022г. - №4 (17).</w:t>
      </w:r>
    </w:p>
    <w:p w:rsidR="00AF2E35" w:rsidRPr="00CC78C5" w:rsidRDefault="00AF2E35" w:rsidP="00AF2E35">
      <w:pPr>
        <w:pStyle w:val="a3"/>
        <w:numPr>
          <w:ilvl w:val="0"/>
          <w:numId w:val="1"/>
        </w:numPr>
        <w:spacing w:after="120"/>
        <w:rPr>
          <w:rStyle w:val="a4"/>
          <w:color w:val="auto"/>
          <w:sz w:val="24"/>
          <w:szCs w:val="20"/>
          <w:u w:val="none"/>
        </w:rPr>
      </w:pPr>
      <w:r w:rsidRPr="003B4C31">
        <w:rPr>
          <w:sz w:val="24"/>
          <w:szCs w:val="20"/>
        </w:rPr>
        <w:t xml:space="preserve">Портал российского общества клинической онкологии – </w:t>
      </w:r>
      <w:hyperlink r:id="rId7" w:history="1">
        <w:r w:rsidRPr="003B4C31">
          <w:rPr>
            <w:rStyle w:val="a4"/>
            <w:sz w:val="24"/>
            <w:szCs w:val="20"/>
          </w:rPr>
          <w:t>https://rosoncoweb.ru/</w:t>
        </w:r>
      </w:hyperlink>
    </w:p>
    <w:p w:rsidR="00AF2E35" w:rsidRPr="00CE3EE5" w:rsidRDefault="00AF2E35" w:rsidP="00AF2E35">
      <w:pPr>
        <w:spacing w:after="120" w:line="259" w:lineRule="auto"/>
        <w:ind w:left="360"/>
      </w:pPr>
    </w:p>
    <w:p w:rsidR="00AF2E35" w:rsidRDefault="00AF2E35" w:rsidP="00AF2E35"/>
    <w:p w:rsidR="008C2BE3" w:rsidRDefault="008C2BE3"/>
    <w:sectPr w:rsidR="008C2BE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19B"/>
    <w:multiLevelType w:val="hybridMultilevel"/>
    <w:tmpl w:val="2A52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681"/>
    <w:multiLevelType w:val="hybridMultilevel"/>
    <w:tmpl w:val="6360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FB9"/>
    <w:multiLevelType w:val="hybridMultilevel"/>
    <w:tmpl w:val="5146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3D49"/>
    <w:multiLevelType w:val="hybridMultilevel"/>
    <w:tmpl w:val="9E52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D0333"/>
    <w:multiLevelType w:val="hybridMultilevel"/>
    <w:tmpl w:val="C8AA9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4411"/>
    <w:multiLevelType w:val="hybridMultilevel"/>
    <w:tmpl w:val="8AEA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01360"/>
    <w:multiLevelType w:val="hybridMultilevel"/>
    <w:tmpl w:val="A584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690E"/>
    <w:multiLevelType w:val="hybridMultilevel"/>
    <w:tmpl w:val="1AF6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465"/>
    <w:multiLevelType w:val="hybridMultilevel"/>
    <w:tmpl w:val="4D88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95763"/>
    <w:multiLevelType w:val="hybridMultilevel"/>
    <w:tmpl w:val="50F2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45D9F"/>
    <w:multiLevelType w:val="hybridMultilevel"/>
    <w:tmpl w:val="AD1C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7389E"/>
    <w:multiLevelType w:val="hybridMultilevel"/>
    <w:tmpl w:val="DE38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007D"/>
    <w:multiLevelType w:val="hybridMultilevel"/>
    <w:tmpl w:val="B00E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3C9D"/>
    <w:multiLevelType w:val="hybridMultilevel"/>
    <w:tmpl w:val="17BE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52081"/>
    <w:multiLevelType w:val="hybridMultilevel"/>
    <w:tmpl w:val="22F4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F2B10"/>
    <w:multiLevelType w:val="hybridMultilevel"/>
    <w:tmpl w:val="98FA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64E28"/>
    <w:multiLevelType w:val="hybridMultilevel"/>
    <w:tmpl w:val="1AC2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21AC9"/>
    <w:multiLevelType w:val="hybridMultilevel"/>
    <w:tmpl w:val="747C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C766F"/>
    <w:multiLevelType w:val="multilevel"/>
    <w:tmpl w:val="36E8E10A"/>
    <w:lvl w:ilvl="0">
      <w:start w:val="1"/>
      <w:numFmt w:val="decimal"/>
      <w:suff w:val="nothing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19" w15:restartNumberingAfterBreak="0">
    <w:nsid w:val="6EB31E12"/>
    <w:multiLevelType w:val="hybridMultilevel"/>
    <w:tmpl w:val="9302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B5EBE"/>
    <w:multiLevelType w:val="hybridMultilevel"/>
    <w:tmpl w:val="BD06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15"/>
  </w:num>
  <w:num w:numId="8">
    <w:abstractNumId w:val="10"/>
  </w:num>
  <w:num w:numId="9">
    <w:abstractNumId w:val="17"/>
  </w:num>
  <w:num w:numId="10">
    <w:abstractNumId w:val="14"/>
  </w:num>
  <w:num w:numId="11">
    <w:abstractNumId w:val="19"/>
  </w:num>
  <w:num w:numId="12">
    <w:abstractNumId w:val="16"/>
  </w:num>
  <w:num w:numId="13">
    <w:abstractNumId w:val="3"/>
  </w:num>
  <w:num w:numId="14">
    <w:abstractNumId w:val="7"/>
  </w:num>
  <w:num w:numId="15">
    <w:abstractNumId w:val="2"/>
  </w:num>
  <w:num w:numId="16">
    <w:abstractNumId w:val="1"/>
  </w:num>
  <w:num w:numId="17">
    <w:abstractNumId w:val="9"/>
  </w:num>
  <w:num w:numId="18">
    <w:abstractNumId w:val="8"/>
  </w:num>
  <w:num w:numId="19">
    <w:abstractNumId w:val="20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8F"/>
    <w:rsid w:val="00176D08"/>
    <w:rsid w:val="003443B9"/>
    <w:rsid w:val="00412970"/>
    <w:rsid w:val="005A3605"/>
    <w:rsid w:val="005D6B26"/>
    <w:rsid w:val="007A20F4"/>
    <w:rsid w:val="008152E3"/>
    <w:rsid w:val="00836D20"/>
    <w:rsid w:val="008C2BE3"/>
    <w:rsid w:val="00A40C8F"/>
    <w:rsid w:val="00AD05D5"/>
    <w:rsid w:val="00AF2E35"/>
    <w:rsid w:val="00BF22DB"/>
    <w:rsid w:val="00C12C94"/>
    <w:rsid w:val="00CC78C5"/>
    <w:rsid w:val="00FA30C0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73E9"/>
  <w15:docId w15:val="{AB5C271D-078C-4E92-8F7D-CCCD8790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35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F2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E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F2E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2E35"/>
    <w:rPr>
      <w:color w:val="0563C1" w:themeColor="hyperlink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AF2E35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F2E35"/>
    <w:pPr>
      <w:spacing w:after="100"/>
    </w:pPr>
  </w:style>
  <w:style w:type="table" w:styleId="a6">
    <w:name w:val="Table Grid"/>
    <w:basedOn w:val="a1"/>
    <w:uiPriority w:val="59"/>
    <w:rsid w:val="00AF2E3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6B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oncowe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4187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Корпус-2 этаж-Пост 2</dc:creator>
  <cp:lastModifiedBy>Ольга Докторова</cp:lastModifiedBy>
  <cp:revision>3</cp:revision>
  <cp:lastPrinted>2023-05-27T08:30:00Z</cp:lastPrinted>
  <dcterms:created xsi:type="dcterms:W3CDTF">2024-01-07T08:36:00Z</dcterms:created>
  <dcterms:modified xsi:type="dcterms:W3CDTF">2024-05-19T13:27:00Z</dcterms:modified>
</cp:coreProperties>
</file>