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E0" w:rsidRDefault="00690720" w:rsidP="005935E0">
      <w:pPr>
        <w:keepNext/>
        <w:keepLines/>
        <w:spacing w:before="240" w:after="0" w:line="360" w:lineRule="auto"/>
        <w:jc w:val="both"/>
        <w:outlineLvl w:val="0"/>
        <w:rPr>
          <w:rFonts w:ascii="Times New Roman" w:eastAsia="Times New Roman" w:hAnsi="Times New Roman" w:cs="Times New Roman"/>
          <w:b/>
          <w:color w:val="000000"/>
          <w:sz w:val="28"/>
          <w:szCs w:val="32"/>
        </w:rPr>
      </w:pPr>
      <w:bookmarkStart w:id="0" w:name="_Toc42265563"/>
      <w:bookmarkStart w:id="1" w:name="_Toc42265758"/>
      <w:r>
        <w:rPr>
          <w:rFonts w:ascii="Times New Roman" w:eastAsia="Times New Roman" w:hAnsi="Times New Roman" w:cs="Times New Roman"/>
          <w:b/>
          <w:color w:val="000000"/>
          <w:sz w:val="28"/>
          <w:szCs w:val="32"/>
        </w:rPr>
        <w:t>Тема п</w:t>
      </w:r>
      <w:r w:rsidR="005935E0">
        <w:rPr>
          <w:rFonts w:ascii="Times New Roman" w:eastAsia="Times New Roman" w:hAnsi="Times New Roman" w:cs="Times New Roman"/>
          <w:b/>
          <w:color w:val="000000"/>
          <w:sz w:val="28"/>
          <w:szCs w:val="32"/>
        </w:rPr>
        <w:t>р</w:t>
      </w:r>
      <w:r>
        <w:rPr>
          <w:rFonts w:ascii="Times New Roman" w:eastAsia="Times New Roman" w:hAnsi="Times New Roman" w:cs="Times New Roman"/>
          <w:b/>
          <w:color w:val="000000"/>
          <w:sz w:val="28"/>
          <w:szCs w:val="32"/>
        </w:rPr>
        <w:t>о</w:t>
      </w:r>
      <w:bookmarkStart w:id="2" w:name="_GoBack"/>
      <w:bookmarkEnd w:id="2"/>
      <w:r w:rsidR="005935E0">
        <w:rPr>
          <w:rFonts w:ascii="Times New Roman" w:eastAsia="Times New Roman" w:hAnsi="Times New Roman" w:cs="Times New Roman"/>
          <w:b/>
          <w:color w:val="000000"/>
          <w:sz w:val="28"/>
          <w:szCs w:val="32"/>
        </w:rPr>
        <w:t>смотрена</w:t>
      </w:r>
    </w:p>
    <w:p w:rsidR="005935E0" w:rsidRPr="005935E0" w:rsidRDefault="005935E0" w:rsidP="005935E0">
      <w:pPr>
        <w:keepNext/>
        <w:keepLines/>
        <w:spacing w:before="240" w:after="0" w:line="360" w:lineRule="auto"/>
        <w:jc w:val="both"/>
        <w:outlineLvl w:val="0"/>
        <w:rPr>
          <w:rFonts w:ascii="Times New Roman" w:eastAsia="Times New Roman" w:hAnsi="Times New Roman" w:cs="Times New Roman"/>
          <w:b/>
          <w:color w:val="000000"/>
          <w:sz w:val="28"/>
          <w:szCs w:val="32"/>
        </w:rPr>
      </w:pPr>
      <w:r w:rsidRPr="005935E0">
        <w:rPr>
          <w:rFonts w:ascii="Times New Roman" w:eastAsia="Times New Roman" w:hAnsi="Times New Roman" w:cs="Times New Roman"/>
          <w:b/>
          <w:color w:val="000000"/>
          <w:sz w:val="28"/>
          <w:szCs w:val="32"/>
        </w:rPr>
        <w:t>Тема № 7. Минеральные воды. Анализ ассортимента. Хранение. Реализация.</w:t>
      </w:r>
      <w:bookmarkEnd w:id="0"/>
      <w:bookmarkEnd w:id="1"/>
      <w:r w:rsidRPr="005935E0">
        <w:rPr>
          <w:rFonts w:ascii="Times New Roman" w:eastAsia="Times New Roman" w:hAnsi="Times New Roman" w:cs="Times New Roman"/>
          <w:b/>
          <w:color w:val="000000"/>
          <w:sz w:val="28"/>
          <w:szCs w:val="32"/>
        </w:rPr>
        <w:t xml:space="preserve"> </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b/>
          <w:sz w:val="28"/>
          <w:szCs w:val="28"/>
        </w:rPr>
        <w:t>Минеральные воды</w:t>
      </w:r>
      <w:r w:rsidRPr="005935E0">
        <w:rPr>
          <w:rFonts w:ascii="Times New Roman" w:eastAsia="Calibri" w:hAnsi="Times New Roman" w:cs="Times New Roman"/>
          <w:sz w:val="28"/>
          <w:szCs w:val="28"/>
        </w:rPr>
        <w:t xml:space="preserve">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 </w:t>
      </w:r>
    </w:p>
    <w:p w:rsidR="005935E0" w:rsidRPr="005935E0" w:rsidRDefault="005935E0" w:rsidP="005935E0">
      <w:pPr>
        <w:spacing w:after="0" w:line="360" w:lineRule="auto"/>
        <w:ind w:firstLine="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Классификация минеральных вод:</w:t>
      </w:r>
    </w:p>
    <w:p w:rsidR="005935E0" w:rsidRPr="005935E0" w:rsidRDefault="005935E0" w:rsidP="005935E0">
      <w:pPr>
        <w:numPr>
          <w:ilvl w:val="0"/>
          <w:numId w:val="1"/>
        </w:numPr>
        <w:spacing w:after="0" w:line="360" w:lineRule="auto"/>
        <w:ind w:left="709"/>
        <w:jc w:val="both"/>
        <w:rPr>
          <w:rFonts w:ascii="Times New Roman" w:eastAsia="Calibri" w:hAnsi="Times New Roman" w:cs="Times New Roman"/>
          <w:sz w:val="28"/>
          <w:szCs w:val="28"/>
        </w:rPr>
      </w:pPr>
      <w:r w:rsidRPr="005935E0">
        <w:rPr>
          <w:rFonts w:ascii="Times New Roman" w:eastAsia="Calibri" w:hAnsi="Times New Roman" w:cs="Times New Roman"/>
          <w:b/>
          <w:sz w:val="28"/>
          <w:szCs w:val="28"/>
        </w:rPr>
        <w:t>Лечебные воды</w:t>
      </w:r>
      <w:r w:rsidRPr="005935E0">
        <w:rPr>
          <w:rFonts w:ascii="Times New Roman" w:eastAsia="Calibri" w:hAnsi="Times New Roman" w:cs="Times New Roman"/>
          <w:sz w:val="28"/>
          <w:szCs w:val="28"/>
        </w:rPr>
        <w:t xml:space="preserve"> с минерализацией от 10 до 15 г/л или меньше, при наличии в них ионов мышьяка, бора и других биологически активных микрокомпонентов. Лечебные воды обладают выраженным лечебным действием на организм человека и применяются только по назначению врача. Среди лечебных вод есть универсальные, которые могут быть применены при различных заболеваниях органов пищеварения и нарушениях обмена веществ, и воды с сугубо специфическим действием.</w:t>
      </w:r>
    </w:p>
    <w:p w:rsidR="005935E0" w:rsidRPr="005935E0" w:rsidRDefault="005935E0" w:rsidP="005935E0">
      <w:pPr>
        <w:numPr>
          <w:ilvl w:val="0"/>
          <w:numId w:val="1"/>
        </w:numPr>
        <w:spacing w:after="0" w:line="360" w:lineRule="auto"/>
        <w:ind w:left="709"/>
        <w:jc w:val="both"/>
        <w:rPr>
          <w:rFonts w:ascii="Times New Roman" w:eastAsia="Calibri" w:hAnsi="Times New Roman" w:cs="Times New Roman"/>
          <w:sz w:val="28"/>
          <w:szCs w:val="28"/>
        </w:rPr>
      </w:pPr>
      <w:r w:rsidRPr="005935E0">
        <w:rPr>
          <w:rFonts w:ascii="Times New Roman" w:eastAsia="Calibri" w:hAnsi="Times New Roman" w:cs="Times New Roman"/>
          <w:b/>
          <w:sz w:val="28"/>
          <w:szCs w:val="28"/>
        </w:rPr>
        <w:t>Лечебно-столовые воды</w:t>
      </w:r>
      <w:r w:rsidRPr="005935E0">
        <w:rPr>
          <w:rFonts w:ascii="Times New Roman" w:eastAsia="Calibri" w:hAnsi="Times New Roman" w:cs="Times New Roman"/>
          <w:sz w:val="28"/>
          <w:szCs w:val="28"/>
        </w:rPr>
        <w:t xml:space="preserve"> с минерализацией от 1 до 10 г/л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w:t>
      </w:r>
    </w:p>
    <w:p w:rsidR="005935E0" w:rsidRPr="005935E0" w:rsidRDefault="005935E0" w:rsidP="005935E0">
      <w:pPr>
        <w:numPr>
          <w:ilvl w:val="0"/>
          <w:numId w:val="1"/>
        </w:numPr>
        <w:spacing w:after="0" w:line="360" w:lineRule="auto"/>
        <w:ind w:left="709"/>
        <w:jc w:val="both"/>
        <w:rPr>
          <w:rFonts w:ascii="Times New Roman" w:eastAsia="Calibri" w:hAnsi="Times New Roman" w:cs="Times New Roman"/>
          <w:sz w:val="28"/>
          <w:szCs w:val="28"/>
        </w:rPr>
      </w:pPr>
      <w:r w:rsidRPr="005935E0">
        <w:rPr>
          <w:rFonts w:ascii="Times New Roman" w:eastAsia="Calibri" w:hAnsi="Times New Roman" w:cs="Times New Roman"/>
          <w:b/>
          <w:sz w:val="28"/>
          <w:szCs w:val="28"/>
        </w:rPr>
        <w:t>Столовые минеральные воды</w:t>
      </w:r>
      <w:r w:rsidRPr="005935E0">
        <w:rPr>
          <w:rFonts w:ascii="Times New Roman" w:eastAsia="Calibri" w:hAnsi="Times New Roman" w:cs="Times New Roman"/>
          <w:sz w:val="28"/>
          <w:szCs w:val="28"/>
        </w:rPr>
        <w:t xml:space="preserve"> - это слабоминерализованные воды (до 1 г/л), практически не имеющие лечебного значения, но обладающие приятными вкусовыми качествами.</w:t>
      </w:r>
    </w:p>
    <w:p w:rsidR="005935E0" w:rsidRPr="005935E0" w:rsidRDefault="005935E0" w:rsidP="005935E0">
      <w:pPr>
        <w:spacing w:after="0" w:line="360" w:lineRule="auto"/>
        <w:ind w:left="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Современная классификация минеральных вод по химическому составу:</w:t>
      </w:r>
    </w:p>
    <w:p w:rsidR="005935E0" w:rsidRPr="005935E0" w:rsidRDefault="005935E0" w:rsidP="005935E0">
      <w:pPr>
        <w:spacing w:after="0" w:line="360" w:lineRule="auto"/>
        <w:ind w:left="709"/>
        <w:jc w:val="both"/>
        <w:rPr>
          <w:rFonts w:ascii="Times New Roman" w:eastAsia="Calibri" w:hAnsi="Times New Roman" w:cs="Times New Roman"/>
          <w:sz w:val="28"/>
          <w:szCs w:val="28"/>
        </w:rPr>
      </w:pPr>
    </w:p>
    <w:p w:rsidR="005935E0" w:rsidRPr="005935E0" w:rsidRDefault="005935E0" w:rsidP="005935E0">
      <w:pPr>
        <w:spacing w:after="0" w:line="360" w:lineRule="auto"/>
        <w:ind w:left="709"/>
        <w:jc w:val="both"/>
        <w:rPr>
          <w:rFonts w:ascii="Times New Roman" w:eastAsia="Calibri" w:hAnsi="Times New Roman" w:cs="Times New Roman"/>
          <w:sz w:val="28"/>
          <w:szCs w:val="28"/>
        </w:rPr>
      </w:pPr>
    </w:p>
    <w:p w:rsidR="005935E0" w:rsidRPr="005935E0" w:rsidRDefault="005935E0" w:rsidP="005935E0">
      <w:pPr>
        <w:spacing w:after="0" w:line="360" w:lineRule="auto"/>
        <w:ind w:left="709"/>
        <w:jc w:val="both"/>
        <w:rPr>
          <w:rFonts w:ascii="Times New Roman" w:eastAsia="Calibri" w:hAnsi="Times New Roman" w:cs="Times New Roman"/>
          <w:sz w:val="28"/>
          <w:szCs w:val="28"/>
        </w:rPr>
      </w:pPr>
    </w:p>
    <w:p w:rsidR="005935E0" w:rsidRPr="005935E0" w:rsidRDefault="005935E0" w:rsidP="005935E0">
      <w:pPr>
        <w:spacing w:after="0" w:line="360" w:lineRule="auto"/>
        <w:jc w:val="both"/>
        <w:rPr>
          <w:rFonts w:ascii="Times New Roman" w:eastAsia="Calibri" w:hAnsi="Times New Roman" w:cs="Times New Roman"/>
          <w:noProof/>
          <w:sz w:val="28"/>
          <w:szCs w:val="28"/>
          <w:lang w:eastAsia="ru-RU"/>
        </w:rPr>
      </w:pPr>
    </w:p>
    <w:tbl>
      <w:tblPr>
        <w:tblStyle w:val="5"/>
        <w:tblW w:w="0" w:type="auto"/>
        <w:tblInd w:w="709" w:type="dxa"/>
        <w:tblLook w:val="04A0" w:firstRow="1" w:lastRow="0" w:firstColumn="1" w:lastColumn="0" w:noHBand="0" w:noVBand="1"/>
      </w:tblPr>
      <w:tblGrid>
        <w:gridCol w:w="4949"/>
        <w:gridCol w:w="3970"/>
      </w:tblGrid>
      <w:tr w:rsidR="005935E0" w:rsidRPr="005935E0" w:rsidTr="0030149C">
        <w:tc>
          <w:tcPr>
            <w:tcW w:w="8919" w:type="dxa"/>
            <w:gridSpan w:val="2"/>
          </w:tcPr>
          <w:p w:rsidR="005935E0" w:rsidRPr="005935E0" w:rsidRDefault="005935E0" w:rsidP="005935E0">
            <w:pPr>
              <w:spacing w:line="360" w:lineRule="auto"/>
              <w:jc w:val="both"/>
              <w:rPr>
                <w:rFonts w:eastAsia="Calibri"/>
                <w:sz w:val="24"/>
                <w:szCs w:val="28"/>
              </w:rPr>
            </w:pPr>
            <w:r w:rsidRPr="005935E0">
              <w:rPr>
                <w:rFonts w:eastAsia="Calibri"/>
                <w:sz w:val="24"/>
                <w:szCs w:val="28"/>
              </w:rPr>
              <w:t xml:space="preserve">Классификация </w:t>
            </w:r>
            <w:proofErr w:type="spellStart"/>
            <w:r w:rsidRPr="005935E0">
              <w:rPr>
                <w:rFonts w:eastAsia="Calibri"/>
                <w:sz w:val="24"/>
                <w:szCs w:val="28"/>
              </w:rPr>
              <w:t>лебных</w:t>
            </w:r>
            <w:proofErr w:type="spellEnd"/>
            <w:r w:rsidRPr="005935E0">
              <w:rPr>
                <w:rFonts w:eastAsia="Calibri"/>
                <w:sz w:val="24"/>
                <w:szCs w:val="28"/>
              </w:rPr>
              <w:t xml:space="preserve"> и лечебно-столовых </w:t>
            </w:r>
            <w:proofErr w:type="spellStart"/>
            <w:r w:rsidRPr="005935E0">
              <w:rPr>
                <w:rFonts w:eastAsia="Calibri"/>
                <w:sz w:val="24"/>
                <w:szCs w:val="28"/>
              </w:rPr>
              <w:t>мигнеральных</w:t>
            </w:r>
            <w:proofErr w:type="spellEnd"/>
            <w:r w:rsidRPr="005935E0">
              <w:rPr>
                <w:rFonts w:eastAsia="Calibri"/>
                <w:sz w:val="24"/>
                <w:szCs w:val="28"/>
              </w:rPr>
              <w:t xml:space="preserve"> вод </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Гидрокарбонатные натриевые (и натриево-</w:t>
            </w:r>
            <w:proofErr w:type="spellStart"/>
            <w:r w:rsidRPr="005935E0">
              <w:rPr>
                <w:rFonts w:eastAsia="Calibri"/>
                <w:sz w:val="24"/>
                <w:szCs w:val="28"/>
              </w:rPr>
              <w:t>калььциевые</w:t>
            </w:r>
            <w:proofErr w:type="spellEnd"/>
            <w:r w:rsidRPr="005935E0">
              <w:rPr>
                <w:rFonts w:eastAsia="Calibri"/>
                <w:sz w:val="24"/>
                <w:szCs w:val="28"/>
              </w:rPr>
              <w:t>)</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Сульфатно-хлоридные, хлоридно-сульфатные и сульфатные другого катионного состава</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anchor distT="0" distB="0" distL="114300" distR="114300" simplePos="0" relativeHeight="251660288" behindDoc="0" locked="0" layoutInCell="1" allowOverlap="1" wp14:anchorId="551003A1" wp14:editId="626813E0">
                  <wp:simplePos x="0" y="0"/>
                  <wp:positionH relativeFrom="column">
                    <wp:posOffset>327660</wp:posOffset>
                  </wp:positionH>
                  <wp:positionV relativeFrom="paragraph">
                    <wp:posOffset>17780</wp:posOffset>
                  </wp:positionV>
                  <wp:extent cx="1858010" cy="354647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010" cy="3546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anchor distT="0" distB="0" distL="114300" distR="114300" simplePos="0" relativeHeight="251659264" behindDoc="0" locked="0" layoutInCell="1" allowOverlap="1" wp14:anchorId="4DCF50CA" wp14:editId="255B3C1D">
                  <wp:simplePos x="0" y="0"/>
                  <wp:positionH relativeFrom="column">
                    <wp:posOffset>674370</wp:posOffset>
                  </wp:positionH>
                  <wp:positionV relativeFrom="paragraph">
                    <wp:posOffset>208915</wp:posOffset>
                  </wp:positionV>
                  <wp:extent cx="915670" cy="3199765"/>
                  <wp:effectExtent l="0" t="0" r="0" b="635"/>
                  <wp:wrapSquare wrapText="bothSides"/>
                  <wp:docPr id="6" name="Рисунок 6" descr="Средства для лечения желудочно-кишечного тракта МВЖ В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редства для лечения желудочно-кишечного тракта МВЖ Вод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670" cy="3199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Гидрокарбонатные и гидрокарбонатно-сульфатные кальциево-магниевые</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Сульфатные кальциевые</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381DD923" wp14:editId="6C1FDAD2">
                  <wp:extent cx="3336053" cy="3336053"/>
                  <wp:effectExtent l="0" t="0" r="0" b="0"/>
                  <wp:docPr id="7" name="Рисунок 7" descr="Вода Нарзан минеральная природная питьевая лечебно-столов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ода Нарзан минеральная природная питьевая лечебно-столовая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944" cy="3348944"/>
                          </a:xfrm>
                          <a:prstGeom prst="rect">
                            <a:avLst/>
                          </a:prstGeom>
                          <a:noFill/>
                          <a:ln>
                            <a:noFill/>
                          </a:ln>
                        </pic:spPr>
                      </pic:pic>
                    </a:graphicData>
                  </a:graphic>
                </wp:inline>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1D1A9297" wp14:editId="1F767EB4">
                  <wp:extent cx="2693119" cy="3140850"/>
                  <wp:effectExtent l="0" t="0" r="0" b="2540"/>
                  <wp:docPr id="19" name="Рисунок 19" descr="Вода минеральная лечебно-столовая «Зеленый ключ» [2007]. Продаж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ода минеральная лечебно-столовая «Зеленый ключ» [2007]. Продаж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545" cy="3181000"/>
                          </a:xfrm>
                          <a:prstGeom prst="rect">
                            <a:avLst/>
                          </a:prstGeom>
                          <a:noFill/>
                          <a:ln>
                            <a:noFill/>
                          </a:ln>
                        </pic:spPr>
                      </pic:pic>
                    </a:graphicData>
                  </a:graphic>
                </wp:inline>
              </w:drawing>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lastRenderedPageBreak/>
              <w:t xml:space="preserve">Гидрокарбонатные и сульфатно-гидрокарбонатные </w:t>
            </w:r>
            <w:proofErr w:type="spellStart"/>
            <w:r w:rsidRPr="005935E0">
              <w:rPr>
                <w:rFonts w:eastAsia="Calibri"/>
                <w:sz w:val="24"/>
                <w:szCs w:val="28"/>
              </w:rPr>
              <w:t>нариево</w:t>
            </w:r>
            <w:proofErr w:type="spellEnd"/>
            <w:r w:rsidRPr="005935E0">
              <w:rPr>
                <w:rFonts w:eastAsia="Calibri"/>
                <w:sz w:val="24"/>
                <w:szCs w:val="28"/>
              </w:rPr>
              <w:t>-кальциевые (и натриевые)</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Хлоридные натриевые и натриево-кальциевые</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1FE77CAF" wp14:editId="0EA70F62">
                  <wp:extent cx="3396343" cy="3396343"/>
                  <wp:effectExtent l="0" t="0" r="0" b="0"/>
                  <wp:docPr id="20" name="Рисунок 20" descr="Вода минеральная СМИРНОВСКАЯ элита 0,5л (стекло) цена в Махачкал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да минеральная СМИРНОВСКАЯ элита 0,5л (стекло) цена в Махачкал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830" cy="3406830"/>
                          </a:xfrm>
                          <a:prstGeom prst="rect">
                            <a:avLst/>
                          </a:prstGeom>
                          <a:noFill/>
                          <a:ln>
                            <a:noFill/>
                          </a:ln>
                        </pic:spPr>
                      </pic:pic>
                    </a:graphicData>
                  </a:graphic>
                </wp:inline>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3A05D2DB" wp14:editId="0C76F480">
                  <wp:extent cx="2506352" cy="3748035"/>
                  <wp:effectExtent l="0" t="0" r="8255" b="5080"/>
                  <wp:docPr id="21" name="Рисунок 21" descr="Birštono mineraliniai vandenys ir Ko, ЗАО | Lit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rštono mineraliniai vandenys ir Ko, ЗАО | Lit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234" cy="3807675"/>
                          </a:xfrm>
                          <a:prstGeom prst="rect">
                            <a:avLst/>
                          </a:prstGeom>
                          <a:noFill/>
                          <a:ln>
                            <a:noFill/>
                          </a:ln>
                        </pic:spPr>
                      </pic:pic>
                    </a:graphicData>
                  </a:graphic>
                </wp:inline>
              </w:drawing>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proofErr w:type="spellStart"/>
            <w:r w:rsidRPr="005935E0">
              <w:rPr>
                <w:rFonts w:eastAsia="Calibri"/>
                <w:sz w:val="24"/>
                <w:szCs w:val="28"/>
              </w:rPr>
              <w:t>Гидрокабонатно</w:t>
            </w:r>
            <w:proofErr w:type="spellEnd"/>
            <w:r w:rsidRPr="005935E0">
              <w:rPr>
                <w:rFonts w:eastAsia="Calibri"/>
                <w:sz w:val="24"/>
                <w:szCs w:val="28"/>
              </w:rPr>
              <w:t>-хлоридные и хлоридно-гидрокарбонатные натриевые и натриево-кальциевые</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Хлоридные кальциевые</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4A8E9D47" wp14:editId="5C349145">
                  <wp:extent cx="3205424" cy="3205424"/>
                  <wp:effectExtent l="0" t="0" r="0" b="0"/>
                  <wp:docPr id="22" name="Рисунок 22" descr="Минеральная вода Ессентуки №17 газированная (стекло), 0,54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инеральная вода Ессентуки №17 газированная (стекло), 0,54л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7086" cy="3227086"/>
                          </a:xfrm>
                          <a:prstGeom prst="rect">
                            <a:avLst/>
                          </a:prstGeom>
                          <a:noFill/>
                          <a:ln>
                            <a:noFill/>
                          </a:ln>
                        </pic:spPr>
                      </pic:pic>
                    </a:graphicData>
                  </a:graphic>
                </wp:inline>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67B5F428" wp14:editId="4A64988B">
                  <wp:extent cx="2577507" cy="3579305"/>
                  <wp:effectExtent l="0" t="0" r="0" b="2540"/>
                  <wp:docPr id="23" name="Рисунок 23" descr="Лугела” - комплекс жидких минералов из Гру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угела” - комплекс жидких минералов из Грузи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106" cy="3625963"/>
                          </a:xfrm>
                          <a:prstGeom prst="rect">
                            <a:avLst/>
                          </a:prstGeom>
                          <a:noFill/>
                          <a:ln>
                            <a:noFill/>
                          </a:ln>
                        </pic:spPr>
                      </pic:pic>
                    </a:graphicData>
                  </a:graphic>
                </wp:inline>
              </w:drawing>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lastRenderedPageBreak/>
              <w:t>Воды сложного анионного состава</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Слабоминерализованные</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103CE98F" wp14:editId="0BD8DD5B">
                  <wp:extent cx="2863857" cy="3869055"/>
                  <wp:effectExtent l="0" t="0" r="0" b="0"/>
                  <wp:docPr id="24" name="Рисунок 24" descr="Машук-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шук-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207" cy="3889793"/>
                          </a:xfrm>
                          <a:prstGeom prst="rect">
                            <a:avLst/>
                          </a:prstGeom>
                          <a:noFill/>
                          <a:ln>
                            <a:noFill/>
                          </a:ln>
                        </pic:spPr>
                      </pic:pic>
                    </a:graphicData>
                  </a:graphic>
                </wp:inline>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19B0ADB3" wp14:editId="2A046400">
                  <wp:extent cx="2421890" cy="3627755"/>
                  <wp:effectExtent l="0" t="0" r="0" b="0"/>
                  <wp:docPr id="25" name="Рисунок 25" descr="Bereziv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rezivs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1890" cy="3627755"/>
                          </a:xfrm>
                          <a:prstGeom prst="rect">
                            <a:avLst/>
                          </a:prstGeom>
                          <a:noFill/>
                          <a:ln>
                            <a:noFill/>
                          </a:ln>
                        </pic:spPr>
                      </pic:pic>
                    </a:graphicData>
                  </a:graphic>
                </wp:inline>
              </w:drawing>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proofErr w:type="spellStart"/>
            <w:r w:rsidRPr="005935E0">
              <w:rPr>
                <w:rFonts w:eastAsia="Calibri"/>
                <w:sz w:val="24"/>
                <w:szCs w:val="28"/>
              </w:rPr>
              <w:t>Хоридно</w:t>
            </w:r>
            <w:proofErr w:type="spellEnd"/>
            <w:r w:rsidRPr="005935E0">
              <w:rPr>
                <w:rFonts w:eastAsia="Calibri"/>
                <w:sz w:val="24"/>
                <w:szCs w:val="28"/>
              </w:rPr>
              <w:t>-сульфатные и сульфатно-хлоридные натриевые</w:t>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Железистые</w:t>
            </w:r>
          </w:p>
        </w:tc>
      </w:tr>
      <w:tr w:rsidR="005935E0" w:rsidRPr="005935E0" w:rsidTr="0030149C">
        <w:tc>
          <w:tcPr>
            <w:tcW w:w="4815"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anchor distT="0" distB="0" distL="114300" distR="114300" simplePos="0" relativeHeight="251661312" behindDoc="0" locked="0" layoutInCell="1" allowOverlap="1" wp14:anchorId="057D21C8" wp14:editId="2C85979A">
                  <wp:simplePos x="0" y="0"/>
                  <wp:positionH relativeFrom="column">
                    <wp:posOffset>387441</wp:posOffset>
                  </wp:positionH>
                  <wp:positionV relativeFrom="paragraph">
                    <wp:posOffset>50241</wp:posOffset>
                  </wp:positionV>
                  <wp:extent cx="1964192" cy="3537020"/>
                  <wp:effectExtent l="0" t="0" r="0" b="0"/>
                  <wp:wrapSquare wrapText="bothSides"/>
                  <wp:docPr id="26" name="Рисунок 26" descr="Липецкая Росинка «Лечебно-стол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ипецкая Росинка «Лечебно-столова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4192" cy="3537020"/>
                          </a:xfrm>
                          <a:prstGeom prst="rect">
                            <a:avLst/>
                          </a:prstGeom>
                          <a:noFill/>
                          <a:ln>
                            <a:noFill/>
                          </a:ln>
                        </pic:spPr>
                      </pic:pic>
                    </a:graphicData>
                  </a:graphic>
                </wp:anchor>
              </w:drawing>
            </w:r>
          </w:p>
        </w:tc>
        <w:tc>
          <w:tcPr>
            <w:tcW w:w="4104"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inline distT="0" distB="0" distL="0" distR="0" wp14:anchorId="1C15AD4A" wp14:editId="06A5A828">
                  <wp:extent cx="2641912" cy="3516923"/>
                  <wp:effectExtent l="0" t="0" r="6350" b="7620"/>
                  <wp:docPr id="27" name="Рисунок 27" descr="Марциальная вода питьевая вода. Доставка воды в офис, на д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циальная вода питьевая вода. Доставка воды в офис, на дом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0929" cy="3568862"/>
                          </a:xfrm>
                          <a:prstGeom prst="rect">
                            <a:avLst/>
                          </a:prstGeom>
                          <a:noFill/>
                          <a:ln>
                            <a:noFill/>
                          </a:ln>
                        </pic:spPr>
                      </pic:pic>
                    </a:graphicData>
                  </a:graphic>
                </wp:inline>
              </w:drawing>
            </w:r>
          </w:p>
        </w:tc>
      </w:tr>
    </w:tbl>
    <w:p w:rsidR="005935E0" w:rsidRPr="005935E0" w:rsidRDefault="005935E0" w:rsidP="005935E0">
      <w:pPr>
        <w:spacing w:after="0" w:line="360" w:lineRule="auto"/>
        <w:ind w:left="709"/>
        <w:jc w:val="both"/>
        <w:rPr>
          <w:rFonts w:ascii="Times New Roman" w:eastAsia="Calibri" w:hAnsi="Times New Roman" w:cs="Times New Roman"/>
          <w:sz w:val="28"/>
          <w:szCs w:val="28"/>
        </w:rPr>
      </w:pPr>
    </w:p>
    <w:p w:rsidR="005935E0" w:rsidRPr="005935E0" w:rsidRDefault="005935E0" w:rsidP="005935E0">
      <w:pPr>
        <w:spacing w:after="0" w:line="360" w:lineRule="auto"/>
        <w:jc w:val="both"/>
        <w:rPr>
          <w:rFonts w:ascii="Times New Roman" w:eastAsia="Calibri" w:hAnsi="Times New Roman" w:cs="Times New Roman"/>
          <w:sz w:val="28"/>
          <w:szCs w:val="28"/>
        </w:rPr>
      </w:pPr>
    </w:p>
    <w:p w:rsidR="005935E0" w:rsidRPr="005935E0" w:rsidRDefault="005935E0" w:rsidP="005935E0">
      <w:pPr>
        <w:spacing w:after="0" w:line="360" w:lineRule="auto"/>
        <w:ind w:firstLine="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Классификация по степени минерализации:</w:t>
      </w:r>
    </w:p>
    <w:tbl>
      <w:tblPr>
        <w:tblStyle w:val="5"/>
        <w:tblW w:w="0" w:type="auto"/>
        <w:tblLook w:val="04A0" w:firstRow="1" w:lastRow="0" w:firstColumn="1" w:lastColumn="0" w:noHBand="0" w:noVBand="1"/>
      </w:tblPr>
      <w:tblGrid>
        <w:gridCol w:w="3209"/>
        <w:gridCol w:w="3209"/>
        <w:gridCol w:w="3210"/>
      </w:tblGrid>
      <w:tr w:rsidR="005935E0" w:rsidRPr="005935E0" w:rsidTr="0030149C">
        <w:tc>
          <w:tcPr>
            <w:tcW w:w="3209" w:type="dxa"/>
            <w:hideMark/>
          </w:tcPr>
          <w:p w:rsidR="005935E0" w:rsidRPr="005935E0" w:rsidRDefault="005935E0" w:rsidP="005935E0">
            <w:pPr>
              <w:spacing w:line="315" w:lineRule="atLeast"/>
              <w:jc w:val="center"/>
              <w:textAlignment w:val="baseline"/>
              <w:rPr>
                <w:spacing w:val="2"/>
                <w:sz w:val="24"/>
                <w:szCs w:val="24"/>
              </w:rPr>
            </w:pPr>
            <w:r w:rsidRPr="005935E0">
              <w:rPr>
                <w:spacing w:val="2"/>
                <w:sz w:val="24"/>
                <w:szCs w:val="24"/>
              </w:rPr>
              <w:lastRenderedPageBreak/>
              <w:t>Классификация минеральных вод по минерализации</w:t>
            </w:r>
          </w:p>
        </w:tc>
        <w:tc>
          <w:tcPr>
            <w:tcW w:w="3209" w:type="dxa"/>
            <w:hideMark/>
          </w:tcPr>
          <w:p w:rsidR="005935E0" w:rsidRPr="005935E0" w:rsidRDefault="005935E0" w:rsidP="005935E0">
            <w:pPr>
              <w:spacing w:line="315" w:lineRule="atLeast"/>
              <w:jc w:val="center"/>
              <w:textAlignment w:val="baseline"/>
              <w:rPr>
                <w:spacing w:val="2"/>
                <w:sz w:val="24"/>
                <w:szCs w:val="24"/>
              </w:rPr>
            </w:pPr>
            <w:r w:rsidRPr="005935E0">
              <w:rPr>
                <w:spacing w:val="2"/>
                <w:sz w:val="24"/>
                <w:szCs w:val="24"/>
              </w:rPr>
              <w:t>Нормы минерализации воды</w:t>
            </w:r>
          </w:p>
        </w:tc>
        <w:tc>
          <w:tcPr>
            <w:tcW w:w="3210" w:type="dxa"/>
            <w:hideMark/>
          </w:tcPr>
          <w:p w:rsidR="005935E0" w:rsidRPr="005935E0" w:rsidRDefault="005935E0" w:rsidP="005935E0">
            <w:pPr>
              <w:spacing w:line="315" w:lineRule="atLeast"/>
              <w:jc w:val="center"/>
              <w:textAlignment w:val="baseline"/>
              <w:rPr>
                <w:spacing w:val="2"/>
                <w:sz w:val="24"/>
                <w:szCs w:val="24"/>
              </w:rPr>
            </w:pPr>
            <w:r w:rsidRPr="005935E0">
              <w:rPr>
                <w:spacing w:val="2"/>
                <w:sz w:val="24"/>
                <w:szCs w:val="24"/>
              </w:rPr>
              <w:t>Назначение</w:t>
            </w:r>
          </w:p>
        </w:tc>
      </w:tr>
      <w:tr w:rsidR="005935E0" w:rsidRPr="005935E0" w:rsidTr="0030149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Пресная</w:t>
            </w:r>
          </w:p>
        </w:t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До 1 г/дм</w:t>
            </w:r>
            <w:r w:rsidRPr="005935E0">
              <w:rPr>
                <w:spacing w:val="2"/>
                <w:sz w:val="24"/>
                <w:szCs w:val="24"/>
                <w:vertAlign w:val="superscript"/>
              </w:rPr>
              <w:t>3</w:t>
            </w:r>
            <w:r w:rsidRPr="005935E0">
              <w:rPr>
                <w:spacing w:val="2"/>
                <w:sz w:val="24"/>
                <w:szCs w:val="24"/>
              </w:rPr>
              <w:t> </w:t>
            </w:r>
            <w:proofErr w:type="spellStart"/>
            <w:r w:rsidRPr="005935E0">
              <w:rPr>
                <w:spacing w:val="2"/>
                <w:sz w:val="24"/>
                <w:szCs w:val="24"/>
              </w:rPr>
              <w:t>включ</w:t>
            </w:r>
            <w:proofErr w:type="spellEnd"/>
            <w:r w:rsidRPr="005935E0">
              <w:rPr>
                <w:spacing w:val="2"/>
                <w:sz w:val="24"/>
                <w:szCs w:val="24"/>
              </w:rPr>
              <w:t>.</w:t>
            </w:r>
          </w:p>
        </w:tc>
        <w:tc>
          <w:tcPr>
            <w:tcW w:w="3210"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Столовая, лечебно-столовая, лечебная</w:t>
            </w:r>
          </w:p>
        </w:tc>
      </w:tr>
      <w:tr w:rsidR="005935E0" w:rsidRPr="005935E0" w:rsidTr="0030149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Слабоминерализованная</w:t>
            </w:r>
          </w:p>
        </w:t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Св. 1 до 2 г/дм</w:t>
            </w:r>
            <w:r w:rsidRPr="005935E0">
              <w:rPr>
                <w:spacing w:val="2"/>
                <w:sz w:val="24"/>
                <w:szCs w:val="24"/>
                <w:vertAlign w:val="superscript"/>
              </w:rPr>
              <w:t>3</w:t>
            </w:r>
            <w:r w:rsidRPr="005935E0">
              <w:rPr>
                <w:spacing w:val="2"/>
                <w:sz w:val="24"/>
                <w:szCs w:val="24"/>
              </w:rPr>
              <w:t> </w:t>
            </w:r>
            <w:proofErr w:type="spellStart"/>
            <w:r w:rsidRPr="005935E0">
              <w:rPr>
                <w:spacing w:val="2"/>
                <w:sz w:val="24"/>
                <w:szCs w:val="24"/>
              </w:rPr>
              <w:t>включ</w:t>
            </w:r>
            <w:proofErr w:type="spellEnd"/>
            <w:r w:rsidRPr="005935E0">
              <w:rPr>
                <w:spacing w:val="2"/>
                <w:sz w:val="24"/>
                <w:szCs w:val="24"/>
              </w:rPr>
              <w:t>.</w:t>
            </w:r>
          </w:p>
        </w:tc>
        <w:tc>
          <w:tcPr>
            <w:tcW w:w="3210" w:type="dxa"/>
            <w:vMerge w:val="restart"/>
            <w:hideMark/>
          </w:tcPr>
          <w:p w:rsidR="005935E0" w:rsidRPr="005935E0" w:rsidRDefault="005935E0" w:rsidP="005935E0">
            <w:pPr>
              <w:spacing w:line="315" w:lineRule="atLeast"/>
              <w:jc w:val="center"/>
              <w:textAlignment w:val="baseline"/>
              <w:rPr>
                <w:spacing w:val="2"/>
                <w:sz w:val="24"/>
                <w:szCs w:val="24"/>
              </w:rPr>
            </w:pPr>
            <w:r w:rsidRPr="005935E0">
              <w:rPr>
                <w:spacing w:val="2"/>
                <w:sz w:val="24"/>
                <w:szCs w:val="24"/>
              </w:rPr>
              <w:t>Лечебно-столовая, лечебная</w:t>
            </w:r>
          </w:p>
        </w:tc>
      </w:tr>
      <w:tr w:rsidR="005935E0" w:rsidRPr="005935E0" w:rsidTr="0030149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Маломинерализованная</w:t>
            </w:r>
          </w:p>
        </w:t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Св. 2 до 5 г/дм</w:t>
            </w:r>
            <w:r w:rsidRPr="005935E0">
              <w:rPr>
                <w:spacing w:val="2"/>
                <w:sz w:val="24"/>
                <w:szCs w:val="24"/>
                <w:vertAlign w:val="superscript"/>
              </w:rPr>
              <w:t>3</w:t>
            </w:r>
            <w:r w:rsidRPr="005935E0">
              <w:rPr>
                <w:spacing w:val="2"/>
                <w:sz w:val="24"/>
                <w:szCs w:val="24"/>
              </w:rPr>
              <w:t> </w:t>
            </w:r>
            <w:proofErr w:type="spellStart"/>
            <w:r w:rsidRPr="005935E0">
              <w:rPr>
                <w:spacing w:val="2"/>
                <w:sz w:val="24"/>
                <w:szCs w:val="24"/>
              </w:rPr>
              <w:t>включ</w:t>
            </w:r>
            <w:proofErr w:type="spellEnd"/>
            <w:r w:rsidRPr="005935E0">
              <w:rPr>
                <w:spacing w:val="2"/>
                <w:sz w:val="24"/>
                <w:szCs w:val="24"/>
              </w:rPr>
              <w:t>.</w:t>
            </w:r>
          </w:p>
        </w:tc>
        <w:tc>
          <w:tcPr>
            <w:tcW w:w="3210" w:type="dxa"/>
            <w:vMerge/>
            <w:hideMark/>
          </w:tcPr>
          <w:p w:rsidR="005935E0" w:rsidRPr="005935E0" w:rsidRDefault="005935E0" w:rsidP="005935E0">
            <w:pPr>
              <w:spacing w:line="315" w:lineRule="atLeast"/>
              <w:textAlignment w:val="baseline"/>
              <w:rPr>
                <w:spacing w:val="2"/>
                <w:sz w:val="24"/>
                <w:szCs w:val="24"/>
              </w:rPr>
            </w:pPr>
          </w:p>
        </w:tc>
      </w:tr>
      <w:tr w:rsidR="005935E0" w:rsidRPr="005935E0" w:rsidTr="0030149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Среднеминерализованная</w:t>
            </w:r>
          </w:p>
        </w:t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Св. 5 до 10 г/дм</w:t>
            </w:r>
            <w:r w:rsidRPr="005935E0">
              <w:rPr>
                <w:spacing w:val="2"/>
                <w:sz w:val="24"/>
                <w:szCs w:val="24"/>
                <w:vertAlign w:val="superscript"/>
              </w:rPr>
              <w:t>3</w:t>
            </w:r>
            <w:r w:rsidRPr="005935E0">
              <w:rPr>
                <w:spacing w:val="2"/>
                <w:sz w:val="24"/>
                <w:szCs w:val="24"/>
              </w:rPr>
              <w:t> </w:t>
            </w:r>
            <w:proofErr w:type="spellStart"/>
            <w:r w:rsidRPr="005935E0">
              <w:rPr>
                <w:spacing w:val="2"/>
                <w:sz w:val="24"/>
                <w:szCs w:val="24"/>
              </w:rPr>
              <w:t>включ</w:t>
            </w:r>
            <w:proofErr w:type="spellEnd"/>
            <w:r w:rsidRPr="005935E0">
              <w:rPr>
                <w:spacing w:val="2"/>
                <w:sz w:val="24"/>
                <w:szCs w:val="24"/>
              </w:rPr>
              <w:t>.</w:t>
            </w:r>
          </w:p>
        </w:tc>
        <w:tc>
          <w:tcPr>
            <w:tcW w:w="0" w:type="auto"/>
            <w:vMerge/>
            <w:hideMark/>
          </w:tcPr>
          <w:p w:rsidR="005935E0" w:rsidRPr="005935E0" w:rsidRDefault="005935E0" w:rsidP="005935E0">
            <w:pPr>
              <w:rPr>
                <w:sz w:val="24"/>
                <w:szCs w:val="24"/>
              </w:rPr>
            </w:pPr>
          </w:p>
        </w:tc>
      </w:tr>
      <w:tr w:rsidR="005935E0" w:rsidRPr="005935E0" w:rsidTr="0030149C">
        <w:trPr>
          <w:trHeight w:val="65"/>
        </w:trPr>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Высокоминерализованная</w:t>
            </w:r>
          </w:p>
        </w:tc>
        <w:tc>
          <w:tcPr>
            <w:tcW w:w="3209"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Св. 10 до 15 г/дм</w:t>
            </w:r>
            <w:r w:rsidRPr="005935E0">
              <w:rPr>
                <w:spacing w:val="2"/>
                <w:sz w:val="24"/>
                <w:szCs w:val="24"/>
                <w:vertAlign w:val="superscript"/>
              </w:rPr>
              <w:t>3</w:t>
            </w:r>
            <w:r w:rsidRPr="005935E0">
              <w:rPr>
                <w:spacing w:val="2"/>
                <w:sz w:val="24"/>
                <w:szCs w:val="24"/>
              </w:rPr>
              <w:t> </w:t>
            </w:r>
            <w:proofErr w:type="spellStart"/>
            <w:r w:rsidRPr="005935E0">
              <w:rPr>
                <w:spacing w:val="2"/>
                <w:sz w:val="24"/>
                <w:szCs w:val="24"/>
              </w:rPr>
              <w:t>включ</w:t>
            </w:r>
            <w:proofErr w:type="spellEnd"/>
            <w:r w:rsidRPr="005935E0">
              <w:rPr>
                <w:spacing w:val="2"/>
                <w:sz w:val="24"/>
                <w:szCs w:val="24"/>
              </w:rPr>
              <w:t>.</w:t>
            </w:r>
          </w:p>
        </w:tc>
        <w:tc>
          <w:tcPr>
            <w:tcW w:w="3210" w:type="dxa"/>
            <w:hideMark/>
          </w:tcPr>
          <w:p w:rsidR="005935E0" w:rsidRPr="005935E0" w:rsidRDefault="005935E0" w:rsidP="005935E0">
            <w:pPr>
              <w:spacing w:line="315" w:lineRule="atLeast"/>
              <w:textAlignment w:val="baseline"/>
              <w:rPr>
                <w:spacing w:val="2"/>
                <w:sz w:val="24"/>
                <w:szCs w:val="24"/>
              </w:rPr>
            </w:pPr>
            <w:r w:rsidRPr="005935E0">
              <w:rPr>
                <w:spacing w:val="2"/>
                <w:sz w:val="24"/>
                <w:szCs w:val="24"/>
              </w:rPr>
              <w:t>Лечебная</w:t>
            </w:r>
          </w:p>
        </w:tc>
      </w:tr>
    </w:tbl>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Минеральные воды применяются наружно в виде ванн (газовых и минеральных), а также внутрь для лечения и профилактики.</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noProof/>
          <w:sz w:val="28"/>
          <w:szCs w:val="28"/>
          <w:lang w:eastAsia="ru-RU"/>
        </w:rPr>
        <w:drawing>
          <wp:inline distT="0" distB="0" distL="0" distR="0" wp14:anchorId="1C30C9D2" wp14:editId="16BB351D">
            <wp:extent cx="5581650" cy="4286250"/>
            <wp:effectExtent l="38100" t="0" r="1905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935E0" w:rsidRPr="005935E0" w:rsidRDefault="005935E0" w:rsidP="005935E0">
      <w:pPr>
        <w:spacing w:after="0" w:line="360" w:lineRule="auto"/>
        <w:ind w:firstLine="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Согласно ГОСТу Р 54316-2011 «Воды минеральные природные питьевые. Общие технические условия» на маркировке должна быть следующая информация:</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наименования продукта;</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указания степени насыщения двуокисью углерода - газированная или негазированная;</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наименования группы минеральной воды;</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lastRenderedPageBreak/>
        <w:t>номера скважины (скважин) и, при наличии, наименования месторождения (участка месторождения) или наименования источника;</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объема, л;</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товарного знака изготовителя (при наличии);</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назначения воды (столовая, лечебная, лечебно-столовая);</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минерализации, г/л;</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условий хранения;</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даты розлива;</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срока годности;</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основного ионного состава и при наличии массовой концентрации биологически активных компонентов, мг/л;</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медицинских показаний по применению (для лечебных и лечебно-столовых вод) в соответствии с приложением В;</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обозначения документа, в соответствии с которым изготовлена минеральная вода;</w:t>
      </w:r>
    </w:p>
    <w:p w:rsidR="005935E0" w:rsidRPr="005935E0" w:rsidRDefault="005935E0" w:rsidP="005935E0">
      <w:pPr>
        <w:numPr>
          <w:ilvl w:val="0"/>
          <w:numId w:val="2"/>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информации о подтверждении соответствия.</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w:t>
      </w:r>
      <w:r w:rsidRPr="005935E0">
        <w:rPr>
          <w:rFonts w:ascii="Times New Roman" w:eastAsia="Calibri" w:hAnsi="Times New Roman" w:cs="Times New Roman"/>
          <w:sz w:val="28"/>
          <w:szCs w:val="28"/>
        </w:rPr>
        <w:lastRenderedPageBreak/>
        <w:t>условии, что данная природная минеральная вода добывается в пределах этого географического объекта.</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При содержании фторидов в столовых минеральных водах более 1 мг/</w:t>
      </w:r>
      <w:proofErr w:type="spellStart"/>
      <w:r w:rsidRPr="005935E0">
        <w:rPr>
          <w:rFonts w:ascii="Times New Roman" w:eastAsia="Calibri" w:hAnsi="Times New Roman" w:cs="Times New Roman"/>
          <w:sz w:val="28"/>
          <w:szCs w:val="28"/>
        </w:rPr>
        <w:t>дм</w:t>
      </w:r>
      <w:proofErr w:type="spellEnd"/>
      <w:r w:rsidRPr="005935E0">
        <w:rPr>
          <w:rFonts w:ascii="Times New Roman" w:eastAsia="Calibri" w:hAnsi="Times New Roman" w:cs="Times New Roman"/>
          <w:sz w:val="28"/>
          <w:szCs w:val="28"/>
        </w:rPr>
        <w:t xml:space="preserve"> "Содержит фториды"; при содержании фторидов более 2,0 "Высокое содержание фторидов: не пригодна для регулярного употребления детьми до семи лет".</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Маркировка транспортной тары с нанесением необходимых манипуляционных знаков: "Беречь от влаги", "Верх" для всех видов тары, а для стеклянной тары дополнительно должен быть нанесен знак "Хрупкое. Осторожно".</w:t>
      </w:r>
    </w:p>
    <w:p w:rsidR="005935E0" w:rsidRPr="005935E0" w:rsidRDefault="005935E0" w:rsidP="005935E0">
      <w:pPr>
        <w:spacing w:after="0" w:line="360" w:lineRule="auto"/>
        <w:ind w:firstLine="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Манипуляционные знаки (пиктограммы):</w:t>
      </w:r>
    </w:p>
    <w:tbl>
      <w:tblPr>
        <w:tblStyle w:val="1"/>
        <w:tblW w:w="9747" w:type="dxa"/>
        <w:tblLook w:val="04A0" w:firstRow="1" w:lastRow="0" w:firstColumn="1" w:lastColumn="0" w:noHBand="0" w:noVBand="1"/>
      </w:tblPr>
      <w:tblGrid>
        <w:gridCol w:w="2990"/>
        <w:gridCol w:w="3384"/>
        <w:gridCol w:w="3373"/>
      </w:tblGrid>
      <w:tr w:rsidR="005935E0" w:rsidRPr="005935E0" w:rsidTr="0030149C">
        <w:trPr>
          <w:trHeight w:val="617"/>
        </w:trPr>
        <w:tc>
          <w:tcPr>
            <w:tcW w:w="2990"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Беречь от влаги</w:t>
            </w:r>
          </w:p>
        </w:tc>
        <w:tc>
          <w:tcPr>
            <w:tcW w:w="3384"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Верх</w:t>
            </w:r>
          </w:p>
        </w:tc>
        <w:tc>
          <w:tcPr>
            <w:tcW w:w="3373" w:type="dxa"/>
          </w:tcPr>
          <w:p w:rsidR="005935E0" w:rsidRPr="005935E0" w:rsidRDefault="005935E0" w:rsidP="005935E0">
            <w:pPr>
              <w:spacing w:line="360" w:lineRule="auto"/>
              <w:jc w:val="both"/>
              <w:rPr>
                <w:rFonts w:eastAsia="Calibri"/>
                <w:sz w:val="24"/>
                <w:szCs w:val="28"/>
              </w:rPr>
            </w:pPr>
            <w:r w:rsidRPr="005935E0">
              <w:rPr>
                <w:rFonts w:eastAsia="Calibri"/>
                <w:sz w:val="24"/>
                <w:szCs w:val="28"/>
              </w:rPr>
              <w:t>Хрупкое. Осторожно</w:t>
            </w:r>
          </w:p>
        </w:tc>
      </w:tr>
      <w:tr w:rsidR="005935E0" w:rsidRPr="005935E0" w:rsidTr="0030149C">
        <w:trPr>
          <w:trHeight w:val="2320"/>
        </w:trPr>
        <w:tc>
          <w:tcPr>
            <w:tcW w:w="2990" w:type="dxa"/>
          </w:tcPr>
          <w:p w:rsidR="005935E0" w:rsidRPr="005935E0" w:rsidRDefault="005935E0" w:rsidP="005935E0">
            <w:pPr>
              <w:spacing w:line="360" w:lineRule="auto"/>
              <w:jc w:val="both"/>
              <w:rPr>
                <w:rFonts w:eastAsia="Calibri"/>
                <w:sz w:val="28"/>
                <w:szCs w:val="28"/>
              </w:rPr>
            </w:pPr>
            <w:r w:rsidRPr="005935E0">
              <w:rPr>
                <w:rFonts w:eastAsia="Calibri"/>
                <w:noProof/>
                <w:sz w:val="28"/>
                <w:szCs w:val="28"/>
              </w:rPr>
              <w:drawing>
                <wp:anchor distT="0" distB="0" distL="114300" distR="114300" simplePos="0" relativeHeight="251662336" behindDoc="0" locked="0" layoutInCell="1" allowOverlap="1" wp14:anchorId="26F15960" wp14:editId="13FE886D">
                  <wp:simplePos x="0" y="0"/>
                  <wp:positionH relativeFrom="column">
                    <wp:posOffset>248285</wp:posOffset>
                  </wp:positionH>
                  <wp:positionV relativeFrom="paragraph">
                    <wp:posOffset>104140</wp:posOffset>
                  </wp:positionV>
                  <wp:extent cx="1056005" cy="1228725"/>
                  <wp:effectExtent l="0" t="0" r="0" b="9525"/>
                  <wp:wrapSquare wrapText="bothSides"/>
                  <wp:docPr id="29" name="Рисунок 29" descr="Adelavida | Векторный клипарт/Векторний кліпарт | Комментар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elavida | Векторный клипарт/Векторний кліпарт | Комментарии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600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84" w:type="dxa"/>
          </w:tcPr>
          <w:p w:rsidR="005935E0" w:rsidRPr="005935E0" w:rsidRDefault="005935E0" w:rsidP="005935E0">
            <w:pPr>
              <w:spacing w:line="360" w:lineRule="auto"/>
              <w:jc w:val="both"/>
              <w:rPr>
                <w:rFonts w:eastAsia="Calibri"/>
                <w:sz w:val="28"/>
                <w:szCs w:val="28"/>
              </w:rPr>
            </w:pPr>
            <w:r w:rsidRPr="005935E0">
              <w:rPr>
                <w:rFonts w:eastAsia="Calibri"/>
                <w:noProof/>
                <w:sz w:val="28"/>
                <w:szCs w:val="28"/>
              </w:rPr>
              <w:drawing>
                <wp:anchor distT="0" distB="0" distL="114300" distR="114300" simplePos="0" relativeHeight="251663360" behindDoc="0" locked="0" layoutInCell="1" allowOverlap="1" wp14:anchorId="26C47B31" wp14:editId="5AB6C61D">
                  <wp:simplePos x="0" y="0"/>
                  <wp:positionH relativeFrom="column">
                    <wp:posOffset>134620</wp:posOffset>
                  </wp:positionH>
                  <wp:positionV relativeFrom="paragraph">
                    <wp:posOffset>18415</wp:posOffset>
                  </wp:positionV>
                  <wp:extent cx="1371600" cy="1371600"/>
                  <wp:effectExtent l="0" t="0" r="0" b="0"/>
                  <wp:wrapSquare wrapText="bothSides"/>
                  <wp:docPr id="30" name="Рисунок 30" descr="Манипуляцпонный знак Верх (This sid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нипуляцпонный знак Верх (This side u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73" w:type="dxa"/>
          </w:tcPr>
          <w:p w:rsidR="005935E0" w:rsidRPr="005935E0" w:rsidRDefault="005935E0" w:rsidP="005935E0">
            <w:pPr>
              <w:spacing w:line="360" w:lineRule="auto"/>
              <w:jc w:val="both"/>
              <w:rPr>
                <w:rFonts w:eastAsia="Calibri"/>
                <w:sz w:val="28"/>
                <w:szCs w:val="28"/>
              </w:rPr>
            </w:pPr>
            <w:r w:rsidRPr="005935E0">
              <w:rPr>
                <w:rFonts w:eastAsia="Calibri"/>
                <w:noProof/>
                <w:sz w:val="28"/>
                <w:szCs w:val="28"/>
              </w:rPr>
              <w:drawing>
                <wp:anchor distT="0" distB="0" distL="114300" distR="114300" simplePos="0" relativeHeight="251664384" behindDoc="0" locked="0" layoutInCell="1" allowOverlap="1" wp14:anchorId="30DB3308" wp14:editId="64419458">
                  <wp:simplePos x="0" y="0"/>
                  <wp:positionH relativeFrom="column">
                    <wp:posOffset>702310</wp:posOffset>
                  </wp:positionH>
                  <wp:positionV relativeFrom="paragraph">
                    <wp:posOffset>208915</wp:posOffset>
                  </wp:positionV>
                  <wp:extent cx="1076325" cy="1076325"/>
                  <wp:effectExtent l="0" t="0" r="9525" b="9525"/>
                  <wp:wrapSquare wrapText="bothSides"/>
                  <wp:docPr id="31" name="Рисунок 31" descr="Манипуляцпонный знак Осторожно: хруп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нипуляцпонный знак Осторожно: хрупкое"/>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35E0" w:rsidRPr="005935E0" w:rsidTr="0030149C">
        <w:trPr>
          <w:trHeight w:val="1480"/>
        </w:trPr>
        <w:tc>
          <w:tcPr>
            <w:tcW w:w="2990" w:type="dxa"/>
          </w:tcPr>
          <w:p w:rsidR="005935E0" w:rsidRPr="005935E0" w:rsidRDefault="005935E0" w:rsidP="005935E0">
            <w:pPr>
              <w:spacing w:line="360" w:lineRule="auto"/>
              <w:jc w:val="both"/>
              <w:rPr>
                <w:rFonts w:eastAsia="Calibri"/>
                <w:sz w:val="24"/>
                <w:szCs w:val="24"/>
              </w:rPr>
            </w:pPr>
            <w:r w:rsidRPr="005935E0">
              <w:rPr>
                <w:rFonts w:eastAsia="Calibri"/>
                <w:sz w:val="24"/>
                <w:szCs w:val="24"/>
              </w:rPr>
              <w:t>Возможность утилизации использованной упаковки- петля Мебиуса</w:t>
            </w:r>
          </w:p>
        </w:tc>
        <w:tc>
          <w:tcPr>
            <w:tcW w:w="3384" w:type="dxa"/>
          </w:tcPr>
          <w:p w:rsidR="005935E0" w:rsidRPr="005935E0" w:rsidRDefault="005935E0" w:rsidP="005935E0">
            <w:pPr>
              <w:spacing w:line="360" w:lineRule="auto"/>
              <w:jc w:val="both"/>
              <w:rPr>
                <w:rFonts w:eastAsia="Calibri"/>
                <w:sz w:val="24"/>
                <w:szCs w:val="24"/>
              </w:rPr>
            </w:pPr>
            <w:r w:rsidRPr="005935E0">
              <w:rPr>
                <w:rFonts w:eastAsia="Calibri"/>
                <w:sz w:val="24"/>
                <w:szCs w:val="24"/>
              </w:rPr>
              <w:t>Упаковка, предназначенная для контакта с пищевой продукцией</w:t>
            </w:r>
          </w:p>
        </w:tc>
        <w:tc>
          <w:tcPr>
            <w:tcW w:w="3373" w:type="dxa"/>
          </w:tcPr>
          <w:p w:rsidR="005935E0" w:rsidRPr="005935E0" w:rsidRDefault="005935E0" w:rsidP="005935E0">
            <w:pPr>
              <w:spacing w:line="360" w:lineRule="auto"/>
              <w:jc w:val="both"/>
              <w:rPr>
                <w:rFonts w:eastAsia="Calibri"/>
                <w:sz w:val="24"/>
                <w:szCs w:val="24"/>
              </w:rPr>
            </w:pPr>
            <w:r w:rsidRPr="005935E0">
              <w:rPr>
                <w:rFonts w:eastAsia="Calibri"/>
                <w:sz w:val="24"/>
                <w:szCs w:val="24"/>
              </w:rPr>
              <w:t>Аббревиатура материала, из которого изготавливается упаковка</w:t>
            </w:r>
          </w:p>
        </w:tc>
      </w:tr>
      <w:tr w:rsidR="005935E0" w:rsidRPr="005935E0" w:rsidTr="0030149C">
        <w:trPr>
          <w:trHeight w:val="2320"/>
        </w:trPr>
        <w:tc>
          <w:tcPr>
            <w:tcW w:w="2990" w:type="dxa"/>
          </w:tcPr>
          <w:p w:rsidR="005935E0" w:rsidRPr="005935E0" w:rsidRDefault="005935E0" w:rsidP="005935E0">
            <w:pPr>
              <w:spacing w:line="360" w:lineRule="auto"/>
              <w:jc w:val="both"/>
              <w:rPr>
                <w:rFonts w:eastAsia="Calibri"/>
                <w:sz w:val="28"/>
                <w:szCs w:val="28"/>
              </w:rPr>
            </w:pPr>
            <w:r w:rsidRPr="005935E0">
              <w:rPr>
                <w:rFonts w:eastAsia="Calibri"/>
                <w:noProof/>
                <w:sz w:val="28"/>
                <w:szCs w:val="28"/>
              </w:rPr>
              <w:drawing>
                <wp:anchor distT="0" distB="0" distL="114300" distR="114300" simplePos="0" relativeHeight="251667456" behindDoc="0" locked="0" layoutInCell="1" allowOverlap="1" wp14:anchorId="42E4D706" wp14:editId="6019DFF6">
                  <wp:simplePos x="0" y="0"/>
                  <wp:positionH relativeFrom="column">
                    <wp:posOffset>229235</wp:posOffset>
                  </wp:positionH>
                  <wp:positionV relativeFrom="paragraph">
                    <wp:posOffset>250190</wp:posOffset>
                  </wp:positionV>
                  <wp:extent cx="1237615" cy="1213485"/>
                  <wp:effectExtent l="0" t="0" r="635" b="5715"/>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7615" cy="1213485"/>
                          </a:xfrm>
                          <a:prstGeom prst="rect">
                            <a:avLst/>
                          </a:prstGeom>
                          <a:noFill/>
                        </pic:spPr>
                      </pic:pic>
                    </a:graphicData>
                  </a:graphic>
                </wp:anchor>
              </w:drawing>
            </w:r>
          </w:p>
        </w:tc>
        <w:tc>
          <w:tcPr>
            <w:tcW w:w="3384" w:type="dxa"/>
          </w:tcPr>
          <w:p w:rsidR="005935E0" w:rsidRPr="005935E0" w:rsidRDefault="005935E0" w:rsidP="005935E0">
            <w:pPr>
              <w:spacing w:line="360" w:lineRule="auto"/>
              <w:jc w:val="both"/>
              <w:rPr>
                <w:rFonts w:eastAsia="Calibri"/>
                <w:sz w:val="28"/>
                <w:szCs w:val="28"/>
              </w:rPr>
            </w:pPr>
            <w:r w:rsidRPr="005935E0">
              <w:rPr>
                <w:rFonts w:eastAsia="Calibri"/>
                <w:noProof/>
                <w:sz w:val="28"/>
                <w:szCs w:val="28"/>
              </w:rPr>
              <w:drawing>
                <wp:anchor distT="0" distB="0" distL="114300" distR="114300" simplePos="0" relativeHeight="251665408" behindDoc="0" locked="0" layoutInCell="1" allowOverlap="1" wp14:anchorId="5BB1D7F4" wp14:editId="50B68195">
                  <wp:simplePos x="0" y="0"/>
                  <wp:positionH relativeFrom="column">
                    <wp:posOffset>334010</wp:posOffset>
                  </wp:positionH>
                  <wp:positionV relativeFrom="paragraph">
                    <wp:posOffset>0</wp:posOffset>
                  </wp:positionV>
                  <wp:extent cx="1514475" cy="1535412"/>
                  <wp:effectExtent l="0" t="0" r="0" b="8255"/>
                  <wp:wrapSquare wrapText="bothSides"/>
                  <wp:docPr id="33" name="Рисунок 33" descr="ТР ТС 005/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Р ТС 005/2011 Технический регламент Таможенного союза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1535412"/>
                          </a:xfrm>
                          <a:prstGeom prst="rect">
                            <a:avLst/>
                          </a:prstGeom>
                          <a:noFill/>
                          <a:ln>
                            <a:noFill/>
                          </a:ln>
                        </pic:spPr>
                      </pic:pic>
                    </a:graphicData>
                  </a:graphic>
                </wp:anchor>
              </w:drawing>
            </w:r>
          </w:p>
        </w:tc>
        <w:tc>
          <w:tcPr>
            <w:tcW w:w="3373" w:type="dxa"/>
          </w:tcPr>
          <w:p w:rsidR="005935E0" w:rsidRPr="005935E0" w:rsidRDefault="005935E0" w:rsidP="005935E0">
            <w:pPr>
              <w:spacing w:line="360" w:lineRule="auto"/>
              <w:jc w:val="both"/>
              <w:rPr>
                <w:rFonts w:eastAsia="Calibri"/>
                <w:sz w:val="24"/>
                <w:szCs w:val="28"/>
              </w:rPr>
            </w:pPr>
            <w:r w:rsidRPr="005935E0">
              <w:rPr>
                <w:rFonts w:eastAsia="Calibri"/>
                <w:noProof/>
                <w:sz w:val="24"/>
                <w:szCs w:val="28"/>
              </w:rPr>
              <w:drawing>
                <wp:anchor distT="0" distB="0" distL="114300" distR="114300" simplePos="0" relativeHeight="251666432" behindDoc="0" locked="0" layoutInCell="1" allowOverlap="1" wp14:anchorId="04961816" wp14:editId="0D26A723">
                  <wp:simplePos x="0" y="0"/>
                  <wp:positionH relativeFrom="column">
                    <wp:posOffset>89534</wp:posOffset>
                  </wp:positionH>
                  <wp:positionV relativeFrom="paragraph">
                    <wp:posOffset>564515</wp:posOffset>
                  </wp:positionV>
                  <wp:extent cx="1971675" cy="733425"/>
                  <wp:effectExtent l="0" t="0" r="9525" b="9525"/>
                  <wp:wrapSquare wrapText="bothSides"/>
                  <wp:docPr id="34" name="Рисунок 34" descr="ТР ТС 005/2011 Технический регламент Таможенн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 ТС 005/2011 Технический регламент Таможенного союза "/>
                          <pic:cNvPicPr>
                            <a:picLocks noChangeAspect="1" noChangeArrowheads="1"/>
                          </pic:cNvPicPr>
                        </pic:nvPicPr>
                        <pic:blipFill rotWithShape="1">
                          <a:blip r:embed="rId27">
                            <a:extLst>
                              <a:ext uri="{28A0092B-C50C-407E-A947-70E740481C1C}">
                                <a14:useLocalDpi xmlns:a14="http://schemas.microsoft.com/office/drawing/2010/main" val="0"/>
                              </a:ext>
                            </a:extLst>
                          </a:blip>
                          <a:srcRect l="54582" t="-2597" r="-196" b="2597"/>
                          <a:stretch/>
                        </pic:blipFill>
                        <pic:spPr bwMode="auto">
                          <a:xfrm>
                            <a:off x="0" y="0"/>
                            <a:ext cx="19716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bl>
    <w:p w:rsidR="005935E0" w:rsidRPr="005935E0" w:rsidRDefault="005935E0" w:rsidP="005935E0">
      <w:pPr>
        <w:spacing w:after="0" w:line="360" w:lineRule="auto"/>
        <w:jc w:val="both"/>
        <w:rPr>
          <w:rFonts w:ascii="Times New Roman" w:eastAsia="Calibri" w:hAnsi="Times New Roman" w:cs="Times New Roman"/>
          <w:sz w:val="28"/>
          <w:szCs w:val="28"/>
        </w:rPr>
      </w:pP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 Маркировка непрозрачной групповой упаковки минеральных вод должна содержать следующую информацию:</w:t>
      </w:r>
    </w:p>
    <w:p w:rsidR="005935E0" w:rsidRPr="005935E0" w:rsidRDefault="005935E0" w:rsidP="005935E0">
      <w:pPr>
        <w:numPr>
          <w:ilvl w:val="0"/>
          <w:numId w:val="3"/>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наименование продукта;</w:t>
      </w:r>
    </w:p>
    <w:p w:rsidR="005935E0" w:rsidRPr="005935E0" w:rsidRDefault="005935E0" w:rsidP="005935E0">
      <w:pPr>
        <w:numPr>
          <w:ilvl w:val="0"/>
          <w:numId w:val="3"/>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наименование и местонахождение (адрес) изготовителя;</w:t>
      </w:r>
    </w:p>
    <w:p w:rsidR="005935E0" w:rsidRPr="005935E0" w:rsidRDefault="005935E0" w:rsidP="005935E0">
      <w:pPr>
        <w:numPr>
          <w:ilvl w:val="0"/>
          <w:numId w:val="3"/>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lastRenderedPageBreak/>
        <w:t>число упаковочных единиц;</w:t>
      </w:r>
    </w:p>
    <w:p w:rsidR="005935E0" w:rsidRPr="005935E0" w:rsidRDefault="005935E0" w:rsidP="005935E0">
      <w:pPr>
        <w:numPr>
          <w:ilvl w:val="0"/>
          <w:numId w:val="3"/>
        </w:numPr>
        <w:spacing w:after="0" w:line="360" w:lineRule="auto"/>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объем минеральной воды в потребительской таре</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На прозрачную групповую упаковку минеральных вод транспортную маркировку не наносят.</w:t>
      </w:r>
    </w:p>
    <w:p w:rsidR="005935E0" w:rsidRPr="005935E0" w:rsidRDefault="005935E0" w:rsidP="005935E0">
      <w:pPr>
        <w:spacing w:after="0" w:line="360" w:lineRule="auto"/>
        <w:ind w:firstLine="709"/>
        <w:jc w:val="both"/>
        <w:rPr>
          <w:rFonts w:ascii="Times New Roman" w:eastAsia="Calibri" w:hAnsi="Times New Roman" w:cs="Times New Roman"/>
          <w:b/>
          <w:sz w:val="28"/>
          <w:szCs w:val="28"/>
        </w:rPr>
      </w:pPr>
      <w:r w:rsidRPr="005935E0">
        <w:rPr>
          <w:rFonts w:ascii="Times New Roman" w:eastAsia="Calibri" w:hAnsi="Times New Roman" w:cs="Times New Roman"/>
          <w:b/>
          <w:sz w:val="28"/>
          <w:szCs w:val="28"/>
        </w:rPr>
        <w:t>Правила хранения по ГОСТу 13273-88 «Воды минеральные питьевые лечебные и лечебно-столовые. Технические условия»</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Минеральные воды, разлитые в потребительскую тару, не являются скоропортящейся продукцией.</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Срок годности минеральных вод конкретных наименований,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Бутылки с минеральной водой, укупоренные </w:t>
      </w:r>
      <w:proofErr w:type="spellStart"/>
      <w:r w:rsidRPr="005935E0">
        <w:rPr>
          <w:rFonts w:ascii="Times New Roman" w:eastAsia="Calibri" w:hAnsi="Times New Roman" w:cs="Times New Roman"/>
          <w:sz w:val="28"/>
          <w:szCs w:val="28"/>
        </w:rPr>
        <w:t>кроненпробками</w:t>
      </w:r>
      <w:proofErr w:type="spellEnd"/>
      <w:r w:rsidRPr="005935E0">
        <w:rPr>
          <w:rFonts w:ascii="Times New Roman" w:eastAsia="Calibri" w:hAnsi="Times New Roman" w:cs="Times New Roman"/>
          <w:sz w:val="28"/>
          <w:szCs w:val="28"/>
        </w:rPr>
        <w:t xml:space="preserve"> с прокладками из </w:t>
      </w:r>
      <w:proofErr w:type="spellStart"/>
      <w:r w:rsidRPr="005935E0">
        <w:rPr>
          <w:rFonts w:ascii="Times New Roman" w:eastAsia="Calibri" w:hAnsi="Times New Roman" w:cs="Times New Roman"/>
          <w:sz w:val="28"/>
          <w:szCs w:val="28"/>
        </w:rPr>
        <w:t>цельнорезаной</w:t>
      </w:r>
      <w:proofErr w:type="spellEnd"/>
      <w:r w:rsidRPr="005935E0">
        <w:rPr>
          <w:rFonts w:ascii="Times New Roman" w:eastAsia="Calibri" w:hAnsi="Times New Roman" w:cs="Times New Roman"/>
          <w:sz w:val="28"/>
          <w:szCs w:val="28"/>
        </w:rPr>
        <w:t xml:space="preserve"> пробки, хранят в горизонтальном положении в ящиках или штабелях без ящиков высотой не более 18 рядов.</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Бутылки с минеральной водой, укупоренные </w:t>
      </w:r>
      <w:proofErr w:type="spellStart"/>
      <w:r w:rsidRPr="005935E0">
        <w:rPr>
          <w:rFonts w:ascii="Times New Roman" w:eastAsia="Calibri" w:hAnsi="Times New Roman" w:cs="Times New Roman"/>
          <w:sz w:val="28"/>
          <w:szCs w:val="28"/>
        </w:rPr>
        <w:t>кроненпробками</w:t>
      </w:r>
      <w:proofErr w:type="spellEnd"/>
      <w:r w:rsidRPr="005935E0">
        <w:rPr>
          <w:rFonts w:ascii="Times New Roman" w:eastAsia="Calibri" w:hAnsi="Times New Roman" w:cs="Times New Roman"/>
          <w:sz w:val="28"/>
          <w:szCs w:val="28"/>
        </w:rPr>
        <w:t xml:space="preserve"> с прокладками из пластизолей (паст), хранят в горизонтальном и вертикальном положениях.</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Допускается хранение бутылок с минеральной водой, укупоренных </w:t>
      </w:r>
      <w:proofErr w:type="spellStart"/>
      <w:r w:rsidRPr="005935E0">
        <w:rPr>
          <w:rFonts w:ascii="Times New Roman" w:eastAsia="Calibri" w:hAnsi="Times New Roman" w:cs="Times New Roman"/>
          <w:sz w:val="28"/>
          <w:szCs w:val="28"/>
        </w:rPr>
        <w:t>кроненпробками</w:t>
      </w:r>
      <w:proofErr w:type="spellEnd"/>
      <w:r w:rsidRPr="005935E0">
        <w:rPr>
          <w:rFonts w:ascii="Times New Roman" w:eastAsia="Calibri" w:hAnsi="Times New Roman" w:cs="Times New Roman"/>
          <w:sz w:val="28"/>
          <w:szCs w:val="28"/>
        </w:rPr>
        <w:t xml:space="preserve"> с прокладками из </w:t>
      </w:r>
      <w:proofErr w:type="spellStart"/>
      <w:r w:rsidRPr="005935E0">
        <w:rPr>
          <w:rFonts w:ascii="Times New Roman" w:eastAsia="Calibri" w:hAnsi="Times New Roman" w:cs="Times New Roman"/>
          <w:sz w:val="28"/>
          <w:szCs w:val="28"/>
        </w:rPr>
        <w:t>цельнорезаной</w:t>
      </w:r>
      <w:proofErr w:type="spellEnd"/>
      <w:r w:rsidRPr="005935E0">
        <w:rPr>
          <w:rFonts w:ascii="Times New Roman" w:eastAsia="Calibri" w:hAnsi="Times New Roman" w:cs="Times New Roman"/>
          <w:sz w:val="28"/>
          <w:szCs w:val="28"/>
        </w:rPr>
        <w:t xml:space="preserve"> пробки, на предприятии-изготовителе в вертикальном положении сроком не более 5 дней.</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Минеральные воды, разлитые в бутылки, хранят в специальных проветриваемых темных складских помещениях, предохраняемых от попадания влаги, при температуре от 5 до 20 °С.</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 xml:space="preserve">Допускается при хранении появление на внешней поверхности </w:t>
      </w:r>
      <w:proofErr w:type="spellStart"/>
      <w:r w:rsidRPr="005935E0">
        <w:rPr>
          <w:rFonts w:ascii="Times New Roman" w:eastAsia="Calibri" w:hAnsi="Times New Roman" w:cs="Times New Roman"/>
          <w:sz w:val="28"/>
          <w:szCs w:val="28"/>
        </w:rPr>
        <w:t>кроненпробок</w:t>
      </w:r>
      <w:proofErr w:type="spellEnd"/>
      <w:r w:rsidRPr="005935E0">
        <w:rPr>
          <w:rFonts w:ascii="Times New Roman" w:eastAsia="Calibri" w:hAnsi="Times New Roman" w:cs="Times New Roman"/>
          <w:sz w:val="28"/>
          <w:szCs w:val="28"/>
        </w:rPr>
        <w:t xml:space="preserve"> отдельных пятен ржавчины, не нарушающих герметичности укупоривания.</w:t>
      </w:r>
    </w:p>
    <w:p w:rsidR="005935E0" w:rsidRPr="005935E0" w:rsidRDefault="005935E0" w:rsidP="005935E0">
      <w:pPr>
        <w:spacing w:after="0" w:line="360" w:lineRule="auto"/>
        <w:ind w:firstLine="709"/>
        <w:jc w:val="both"/>
        <w:rPr>
          <w:rFonts w:ascii="Times New Roman" w:eastAsia="Calibri" w:hAnsi="Times New Roman" w:cs="Times New Roman"/>
          <w:sz w:val="28"/>
          <w:szCs w:val="28"/>
        </w:rPr>
      </w:pPr>
      <w:r w:rsidRPr="005935E0">
        <w:rPr>
          <w:rFonts w:ascii="Times New Roman" w:eastAsia="Calibri" w:hAnsi="Times New Roman" w:cs="Times New Roman"/>
          <w:sz w:val="28"/>
          <w:szCs w:val="28"/>
        </w:rPr>
        <w:t>Отпускают минеральные воды из аптеки по запросу покупателя (лечебные и лечебно-столовые –по рекомендации врача)</w:t>
      </w:r>
    </w:p>
    <w:tbl>
      <w:tblPr>
        <w:tblStyle w:val="5"/>
        <w:tblW w:w="0" w:type="auto"/>
        <w:tblInd w:w="-431" w:type="dxa"/>
        <w:tblLayout w:type="fixed"/>
        <w:tblLook w:val="04A0" w:firstRow="1" w:lastRow="0" w:firstColumn="1" w:lastColumn="0" w:noHBand="0" w:noVBand="1"/>
      </w:tblPr>
      <w:tblGrid>
        <w:gridCol w:w="1419"/>
        <w:gridCol w:w="2976"/>
        <w:gridCol w:w="2835"/>
        <w:gridCol w:w="2829"/>
      </w:tblGrid>
      <w:tr w:rsidR="005935E0" w:rsidRPr="005935E0" w:rsidTr="0030149C">
        <w:tc>
          <w:tcPr>
            <w:tcW w:w="1419" w:type="dxa"/>
          </w:tcPr>
          <w:p w:rsidR="005935E0" w:rsidRPr="005935E0" w:rsidRDefault="005935E0" w:rsidP="005935E0">
            <w:pPr>
              <w:jc w:val="both"/>
              <w:rPr>
                <w:b/>
                <w:sz w:val="24"/>
                <w:szCs w:val="24"/>
              </w:rPr>
            </w:pPr>
            <w:r w:rsidRPr="005935E0">
              <w:rPr>
                <w:b/>
                <w:sz w:val="24"/>
                <w:szCs w:val="24"/>
              </w:rPr>
              <w:t>Параметр</w:t>
            </w:r>
          </w:p>
        </w:tc>
        <w:tc>
          <w:tcPr>
            <w:tcW w:w="2976" w:type="dxa"/>
          </w:tcPr>
          <w:p w:rsidR="005935E0" w:rsidRPr="005935E0" w:rsidRDefault="005935E0" w:rsidP="005935E0">
            <w:pPr>
              <w:jc w:val="both"/>
              <w:rPr>
                <w:b/>
                <w:sz w:val="24"/>
                <w:szCs w:val="24"/>
                <w:lang w:val="en-US"/>
              </w:rPr>
            </w:pPr>
            <w:proofErr w:type="spellStart"/>
            <w:r w:rsidRPr="005935E0">
              <w:rPr>
                <w:b/>
                <w:sz w:val="24"/>
                <w:szCs w:val="24"/>
              </w:rPr>
              <w:t>Донат</w:t>
            </w:r>
            <w:proofErr w:type="spellEnd"/>
            <w:r w:rsidRPr="005935E0">
              <w:rPr>
                <w:b/>
                <w:sz w:val="24"/>
                <w:szCs w:val="24"/>
              </w:rPr>
              <w:t xml:space="preserve"> </w:t>
            </w:r>
            <w:r w:rsidRPr="005935E0">
              <w:rPr>
                <w:b/>
                <w:sz w:val="24"/>
                <w:szCs w:val="24"/>
                <w:lang w:val="en-US"/>
              </w:rPr>
              <w:t>Mg</w:t>
            </w:r>
          </w:p>
        </w:tc>
        <w:tc>
          <w:tcPr>
            <w:tcW w:w="2835" w:type="dxa"/>
          </w:tcPr>
          <w:p w:rsidR="005935E0" w:rsidRPr="005935E0" w:rsidRDefault="005935E0" w:rsidP="005935E0">
            <w:pPr>
              <w:jc w:val="both"/>
              <w:rPr>
                <w:b/>
                <w:sz w:val="24"/>
                <w:szCs w:val="24"/>
              </w:rPr>
            </w:pPr>
            <w:r w:rsidRPr="005935E0">
              <w:rPr>
                <w:b/>
                <w:sz w:val="24"/>
                <w:szCs w:val="24"/>
              </w:rPr>
              <w:t>Ессентуки 17</w:t>
            </w:r>
          </w:p>
        </w:tc>
        <w:tc>
          <w:tcPr>
            <w:tcW w:w="2829" w:type="dxa"/>
          </w:tcPr>
          <w:p w:rsidR="005935E0" w:rsidRPr="005935E0" w:rsidRDefault="005935E0" w:rsidP="005935E0">
            <w:pPr>
              <w:jc w:val="both"/>
              <w:rPr>
                <w:b/>
                <w:sz w:val="24"/>
                <w:szCs w:val="24"/>
              </w:rPr>
            </w:pPr>
            <w:r w:rsidRPr="005935E0">
              <w:rPr>
                <w:b/>
                <w:sz w:val="24"/>
                <w:szCs w:val="24"/>
              </w:rPr>
              <w:t>Боржоми</w:t>
            </w:r>
          </w:p>
        </w:tc>
      </w:tr>
      <w:tr w:rsidR="005935E0" w:rsidRPr="005935E0" w:rsidTr="0030149C">
        <w:tc>
          <w:tcPr>
            <w:tcW w:w="1419" w:type="dxa"/>
          </w:tcPr>
          <w:p w:rsidR="005935E0" w:rsidRPr="005935E0" w:rsidRDefault="005935E0" w:rsidP="005935E0">
            <w:pPr>
              <w:jc w:val="both"/>
              <w:rPr>
                <w:sz w:val="24"/>
                <w:szCs w:val="24"/>
              </w:rPr>
            </w:pPr>
          </w:p>
        </w:tc>
        <w:tc>
          <w:tcPr>
            <w:tcW w:w="2976" w:type="dxa"/>
          </w:tcPr>
          <w:p w:rsidR="005935E0" w:rsidRPr="005935E0" w:rsidRDefault="005935E0" w:rsidP="005935E0">
            <w:pPr>
              <w:jc w:val="both"/>
              <w:rPr>
                <w:sz w:val="24"/>
                <w:szCs w:val="24"/>
              </w:rPr>
            </w:pPr>
            <w:r w:rsidRPr="005935E0">
              <w:rPr>
                <w:noProof/>
                <w:sz w:val="24"/>
                <w:szCs w:val="24"/>
              </w:rPr>
              <w:drawing>
                <wp:inline distT="0" distB="0" distL="0" distR="0" wp14:anchorId="1EE6A476" wp14:editId="114005EE">
                  <wp:extent cx="1420760" cy="2804746"/>
                  <wp:effectExtent l="0" t="0" r="8255" b="0"/>
                  <wp:docPr id="35" name="Рисунок 35" descr="Вода минеральная Донат Mg ПЭТ 1л — купить в Санкт-Петербурге 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ода минеральная Донат Mg ПЭТ 1л — купить в Санкт-Петербурге в ..."/>
                          <pic:cNvPicPr>
                            <a:picLocks noChangeAspect="1" noChangeArrowheads="1"/>
                          </pic:cNvPicPr>
                        </pic:nvPicPr>
                        <pic:blipFill rotWithShape="1">
                          <a:blip r:embed="rId28">
                            <a:extLst>
                              <a:ext uri="{28A0092B-C50C-407E-A947-70E740481C1C}">
                                <a14:useLocalDpi xmlns:a14="http://schemas.microsoft.com/office/drawing/2010/main" val="0"/>
                              </a:ext>
                            </a:extLst>
                          </a:blip>
                          <a:srcRect l="33264" r="32966"/>
                          <a:stretch/>
                        </pic:blipFill>
                        <pic:spPr bwMode="auto">
                          <a:xfrm>
                            <a:off x="0" y="0"/>
                            <a:ext cx="1442622" cy="28479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rsidR="005935E0" w:rsidRPr="005935E0" w:rsidRDefault="005935E0" w:rsidP="005935E0">
            <w:pPr>
              <w:jc w:val="both"/>
              <w:rPr>
                <w:sz w:val="24"/>
                <w:szCs w:val="24"/>
              </w:rPr>
            </w:pPr>
            <w:r w:rsidRPr="005935E0">
              <w:rPr>
                <w:noProof/>
                <w:sz w:val="24"/>
                <w:szCs w:val="24"/>
              </w:rPr>
              <w:drawing>
                <wp:inline distT="0" distB="0" distL="0" distR="0" wp14:anchorId="603044BD" wp14:editId="36C9F93A">
                  <wp:extent cx="1547446" cy="2777901"/>
                  <wp:effectExtent l="0" t="0" r="0" b="3810"/>
                  <wp:docPr id="36" name="Рисунок 36" descr="Лечебная вода Вода Ессентуки № 17 / Yessentuki, цена 474 ру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чебная вода Вода Ессентуки № 17 / Yessentuki, цена 474 руб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4729" cy="2808926"/>
                          </a:xfrm>
                          <a:prstGeom prst="rect">
                            <a:avLst/>
                          </a:prstGeom>
                          <a:noFill/>
                          <a:ln>
                            <a:noFill/>
                          </a:ln>
                        </pic:spPr>
                      </pic:pic>
                    </a:graphicData>
                  </a:graphic>
                </wp:inline>
              </w:drawing>
            </w:r>
          </w:p>
        </w:tc>
        <w:tc>
          <w:tcPr>
            <w:tcW w:w="2829" w:type="dxa"/>
          </w:tcPr>
          <w:p w:rsidR="005935E0" w:rsidRPr="005935E0" w:rsidRDefault="005935E0" w:rsidP="005935E0">
            <w:pPr>
              <w:jc w:val="both"/>
              <w:rPr>
                <w:sz w:val="24"/>
                <w:szCs w:val="24"/>
              </w:rPr>
            </w:pPr>
            <w:r w:rsidRPr="005935E0">
              <w:rPr>
                <w:noProof/>
                <w:sz w:val="24"/>
                <w:szCs w:val="24"/>
              </w:rPr>
              <w:drawing>
                <wp:inline distT="0" distB="0" distL="0" distR="0" wp14:anchorId="7D6AF57E" wp14:editId="0B58D14C">
                  <wp:extent cx="1406769" cy="2689399"/>
                  <wp:effectExtent l="0" t="0" r="3175" b="0"/>
                  <wp:docPr id="37" name="Рисунок 37" descr="Вода минеральная Боржоми газированная, 0.5 л - купить c достав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ода минеральная Боржоми газированная, 0.5 л - купить c доставкой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3181" r="26003" b="4789"/>
                          <a:stretch/>
                        </pic:blipFill>
                        <pic:spPr bwMode="auto">
                          <a:xfrm>
                            <a:off x="0" y="0"/>
                            <a:ext cx="1413797" cy="2702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35E0" w:rsidRPr="005935E0" w:rsidTr="0030149C">
        <w:tc>
          <w:tcPr>
            <w:tcW w:w="1419" w:type="dxa"/>
          </w:tcPr>
          <w:p w:rsidR="005935E0" w:rsidRPr="005935E0" w:rsidRDefault="005935E0" w:rsidP="005935E0">
            <w:pPr>
              <w:jc w:val="both"/>
              <w:rPr>
                <w:sz w:val="24"/>
                <w:szCs w:val="24"/>
              </w:rPr>
            </w:pPr>
            <w:r w:rsidRPr="005935E0">
              <w:rPr>
                <w:sz w:val="24"/>
                <w:szCs w:val="24"/>
              </w:rPr>
              <w:t>Вид минерализации</w:t>
            </w:r>
          </w:p>
        </w:tc>
        <w:tc>
          <w:tcPr>
            <w:tcW w:w="2976" w:type="dxa"/>
          </w:tcPr>
          <w:p w:rsidR="005935E0" w:rsidRPr="005935E0" w:rsidRDefault="005935E0" w:rsidP="005935E0">
            <w:pPr>
              <w:jc w:val="both"/>
              <w:rPr>
                <w:sz w:val="24"/>
                <w:szCs w:val="24"/>
              </w:rPr>
            </w:pPr>
            <w:r w:rsidRPr="005935E0">
              <w:rPr>
                <w:sz w:val="24"/>
                <w:szCs w:val="24"/>
              </w:rPr>
              <w:t>Лечебная</w:t>
            </w:r>
          </w:p>
          <w:p w:rsidR="005935E0" w:rsidRPr="005935E0" w:rsidRDefault="005935E0" w:rsidP="005935E0">
            <w:pPr>
              <w:jc w:val="both"/>
              <w:rPr>
                <w:sz w:val="24"/>
                <w:szCs w:val="24"/>
              </w:rPr>
            </w:pPr>
            <w:r w:rsidRPr="005935E0">
              <w:rPr>
                <w:sz w:val="24"/>
                <w:szCs w:val="24"/>
              </w:rPr>
              <w:t>Минерализация 13,0 – 13,3 г/л</w:t>
            </w:r>
          </w:p>
        </w:tc>
        <w:tc>
          <w:tcPr>
            <w:tcW w:w="2835" w:type="dxa"/>
          </w:tcPr>
          <w:p w:rsidR="005935E0" w:rsidRPr="005935E0" w:rsidRDefault="005935E0" w:rsidP="005935E0">
            <w:pPr>
              <w:jc w:val="both"/>
              <w:rPr>
                <w:sz w:val="24"/>
                <w:szCs w:val="24"/>
              </w:rPr>
            </w:pPr>
            <w:r w:rsidRPr="005935E0">
              <w:rPr>
                <w:sz w:val="24"/>
                <w:szCs w:val="24"/>
              </w:rPr>
              <w:t>Лечебная</w:t>
            </w:r>
          </w:p>
          <w:p w:rsidR="005935E0" w:rsidRPr="005935E0" w:rsidRDefault="005935E0" w:rsidP="005935E0">
            <w:pPr>
              <w:jc w:val="both"/>
              <w:rPr>
                <w:sz w:val="24"/>
                <w:szCs w:val="24"/>
              </w:rPr>
            </w:pPr>
            <w:r w:rsidRPr="005935E0">
              <w:rPr>
                <w:sz w:val="24"/>
                <w:szCs w:val="24"/>
              </w:rPr>
              <w:t>Минерализация 10,0-14,0 г/л</w:t>
            </w:r>
          </w:p>
        </w:tc>
        <w:tc>
          <w:tcPr>
            <w:tcW w:w="2829" w:type="dxa"/>
          </w:tcPr>
          <w:p w:rsidR="005935E0" w:rsidRPr="005935E0" w:rsidRDefault="005935E0" w:rsidP="005935E0">
            <w:pPr>
              <w:jc w:val="both"/>
              <w:rPr>
                <w:sz w:val="24"/>
                <w:szCs w:val="24"/>
              </w:rPr>
            </w:pPr>
            <w:r w:rsidRPr="005935E0">
              <w:rPr>
                <w:sz w:val="24"/>
                <w:szCs w:val="24"/>
              </w:rPr>
              <w:t>Лечебно-столовая</w:t>
            </w:r>
          </w:p>
          <w:p w:rsidR="005935E0" w:rsidRPr="005935E0" w:rsidRDefault="005935E0" w:rsidP="005935E0">
            <w:pPr>
              <w:jc w:val="both"/>
              <w:rPr>
                <w:sz w:val="24"/>
                <w:szCs w:val="24"/>
              </w:rPr>
            </w:pPr>
            <w:r w:rsidRPr="005935E0">
              <w:rPr>
                <w:sz w:val="24"/>
                <w:szCs w:val="24"/>
              </w:rPr>
              <w:t>Минерализация 5,0-7,5 г/л</w:t>
            </w:r>
          </w:p>
        </w:tc>
      </w:tr>
      <w:tr w:rsidR="005935E0" w:rsidRPr="005935E0" w:rsidTr="0030149C">
        <w:tc>
          <w:tcPr>
            <w:tcW w:w="1419" w:type="dxa"/>
          </w:tcPr>
          <w:p w:rsidR="005935E0" w:rsidRPr="005935E0" w:rsidRDefault="005935E0" w:rsidP="005935E0">
            <w:pPr>
              <w:jc w:val="both"/>
              <w:rPr>
                <w:sz w:val="24"/>
                <w:szCs w:val="24"/>
              </w:rPr>
            </w:pPr>
            <w:r w:rsidRPr="005935E0">
              <w:rPr>
                <w:sz w:val="24"/>
                <w:szCs w:val="24"/>
              </w:rPr>
              <w:t>Химический состав (мг/л)</w:t>
            </w:r>
          </w:p>
        </w:tc>
        <w:tc>
          <w:tcPr>
            <w:tcW w:w="2976" w:type="dxa"/>
          </w:tcPr>
          <w:p w:rsidR="005935E0" w:rsidRPr="005935E0" w:rsidRDefault="005935E0" w:rsidP="005935E0">
            <w:pPr>
              <w:jc w:val="both"/>
              <w:rPr>
                <w:sz w:val="24"/>
                <w:szCs w:val="24"/>
              </w:rPr>
            </w:pPr>
            <w:r w:rsidRPr="005935E0">
              <w:rPr>
                <w:sz w:val="24"/>
                <w:szCs w:val="24"/>
              </w:rPr>
              <w:t xml:space="preserve">Магний 950-1100 натрий 1200-1600 кальций 340-420 гидрокарбонаты 7400-7900 </w:t>
            </w:r>
          </w:p>
          <w:p w:rsidR="005935E0" w:rsidRPr="005935E0" w:rsidRDefault="005935E0" w:rsidP="005935E0">
            <w:pPr>
              <w:jc w:val="both"/>
              <w:rPr>
                <w:sz w:val="24"/>
                <w:szCs w:val="24"/>
              </w:rPr>
            </w:pPr>
            <w:r w:rsidRPr="005935E0">
              <w:rPr>
                <w:sz w:val="24"/>
                <w:szCs w:val="24"/>
              </w:rPr>
              <w:t xml:space="preserve">сульфаты 2200-2600 </w:t>
            </w:r>
          </w:p>
          <w:p w:rsidR="005935E0" w:rsidRPr="005935E0" w:rsidRDefault="005935E0" w:rsidP="005935E0">
            <w:pPr>
              <w:jc w:val="both"/>
              <w:rPr>
                <w:sz w:val="24"/>
                <w:szCs w:val="24"/>
              </w:rPr>
            </w:pPr>
            <w:r w:rsidRPr="005935E0">
              <w:rPr>
                <w:sz w:val="24"/>
                <w:szCs w:val="24"/>
              </w:rPr>
              <w:t xml:space="preserve">хлориды 55-63 </w:t>
            </w:r>
          </w:p>
        </w:tc>
        <w:tc>
          <w:tcPr>
            <w:tcW w:w="2835" w:type="dxa"/>
          </w:tcPr>
          <w:p w:rsidR="005935E0" w:rsidRPr="005935E0" w:rsidRDefault="005935E0" w:rsidP="005935E0">
            <w:pPr>
              <w:jc w:val="both"/>
              <w:rPr>
                <w:sz w:val="24"/>
                <w:szCs w:val="24"/>
              </w:rPr>
            </w:pPr>
            <w:r w:rsidRPr="005935E0">
              <w:rPr>
                <w:sz w:val="24"/>
                <w:szCs w:val="24"/>
              </w:rPr>
              <w:t>гидрокарбонаты 4900-6500</w:t>
            </w:r>
          </w:p>
          <w:p w:rsidR="005935E0" w:rsidRPr="005935E0" w:rsidRDefault="005935E0" w:rsidP="005935E0">
            <w:pPr>
              <w:jc w:val="both"/>
              <w:rPr>
                <w:sz w:val="24"/>
                <w:szCs w:val="24"/>
              </w:rPr>
            </w:pPr>
            <w:r w:rsidRPr="005935E0">
              <w:rPr>
                <w:sz w:val="24"/>
                <w:szCs w:val="24"/>
              </w:rPr>
              <w:t>сульфаты &lt;25</w:t>
            </w:r>
          </w:p>
          <w:p w:rsidR="005935E0" w:rsidRPr="005935E0" w:rsidRDefault="005935E0" w:rsidP="005935E0">
            <w:pPr>
              <w:jc w:val="both"/>
              <w:rPr>
                <w:sz w:val="24"/>
                <w:szCs w:val="24"/>
              </w:rPr>
            </w:pPr>
            <w:r w:rsidRPr="005935E0">
              <w:rPr>
                <w:sz w:val="24"/>
                <w:szCs w:val="24"/>
              </w:rPr>
              <w:t xml:space="preserve">хлориды 1700-2800, </w:t>
            </w:r>
          </w:p>
          <w:p w:rsidR="005935E0" w:rsidRPr="005935E0" w:rsidRDefault="005935E0" w:rsidP="005935E0">
            <w:pPr>
              <w:jc w:val="both"/>
              <w:rPr>
                <w:sz w:val="24"/>
                <w:szCs w:val="24"/>
              </w:rPr>
            </w:pPr>
            <w:r w:rsidRPr="005935E0">
              <w:rPr>
                <w:sz w:val="24"/>
                <w:szCs w:val="24"/>
              </w:rPr>
              <w:t>натрий + калий 3300-4000</w:t>
            </w:r>
          </w:p>
          <w:p w:rsidR="005935E0" w:rsidRPr="005935E0" w:rsidRDefault="005935E0" w:rsidP="005935E0">
            <w:pPr>
              <w:jc w:val="both"/>
              <w:rPr>
                <w:sz w:val="24"/>
                <w:szCs w:val="24"/>
              </w:rPr>
            </w:pPr>
            <w:r w:rsidRPr="005935E0">
              <w:rPr>
                <w:sz w:val="24"/>
                <w:szCs w:val="24"/>
              </w:rPr>
              <w:t>кальций 50-200</w:t>
            </w:r>
          </w:p>
          <w:p w:rsidR="005935E0" w:rsidRPr="005935E0" w:rsidRDefault="005935E0" w:rsidP="005935E0">
            <w:pPr>
              <w:jc w:val="both"/>
              <w:rPr>
                <w:sz w:val="24"/>
                <w:szCs w:val="24"/>
              </w:rPr>
            </w:pPr>
            <w:r w:rsidRPr="005935E0">
              <w:rPr>
                <w:sz w:val="24"/>
                <w:szCs w:val="24"/>
              </w:rPr>
              <w:t>магний &lt;150.</w:t>
            </w:r>
          </w:p>
        </w:tc>
        <w:tc>
          <w:tcPr>
            <w:tcW w:w="2829" w:type="dxa"/>
          </w:tcPr>
          <w:p w:rsidR="005935E0" w:rsidRPr="005935E0" w:rsidRDefault="005935E0" w:rsidP="005935E0">
            <w:pPr>
              <w:jc w:val="both"/>
              <w:rPr>
                <w:sz w:val="24"/>
                <w:szCs w:val="24"/>
              </w:rPr>
            </w:pPr>
            <w:r w:rsidRPr="005935E0">
              <w:rPr>
                <w:sz w:val="24"/>
                <w:szCs w:val="24"/>
              </w:rPr>
              <w:t xml:space="preserve">Натрий 1000-2000 </w:t>
            </w:r>
          </w:p>
          <w:p w:rsidR="005935E0" w:rsidRPr="005935E0" w:rsidRDefault="005935E0" w:rsidP="005935E0">
            <w:pPr>
              <w:jc w:val="both"/>
              <w:rPr>
                <w:sz w:val="24"/>
                <w:szCs w:val="24"/>
              </w:rPr>
            </w:pPr>
            <w:r w:rsidRPr="005935E0">
              <w:rPr>
                <w:sz w:val="24"/>
                <w:szCs w:val="24"/>
              </w:rPr>
              <w:t xml:space="preserve">Хлориды 250-500 </w:t>
            </w:r>
          </w:p>
          <w:p w:rsidR="005935E0" w:rsidRPr="005935E0" w:rsidRDefault="005935E0" w:rsidP="005935E0">
            <w:pPr>
              <w:jc w:val="both"/>
              <w:rPr>
                <w:sz w:val="24"/>
                <w:szCs w:val="24"/>
              </w:rPr>
            </w:pPr>
            <w:r w:rsidRPr="005935E0">
              <w:rPr>
                <w:sz w:val="24"/>
                <w:szCs w:val="24"/>
              </w:rPr>
              <w:t xml:space="preserve">Кальций 20-150 </w:t>
            </w:r>
          </w:p>
          <w:p w:rsidR="005935E0" w:rsidRPr="005935E0" w:rsidRDefault="005935E0" w:rsidP="005935E0">
            <w:pPr>
              <w:jc w:val="both"/>
              <w:rPr>
                <w:sz w:val="24"/>
                <w:szCs w:val="24"/>
              </w:rPr>
            </w:pPr>
            <w:r w:rsidRPr="005935E0">
              <w:rPr>
                <w:sz w:val="24"/>
                <w:szCs w:val="24"/>
              </w:rPr>
              <w:t xml:space="preserve">Магний 20-150 </w:t>
            </w:r>
          </w:p>
          <w:p w:rsidR="005935E0" w:rsidRPr="005935E0" w:rsidRDefault="005935E0" w:rsidP="005935E0">
            <w:pPr>
              <w:jc w:val="both"/>
              <w:rPr>
                <w:sz w:val="24"/>
                <w:szCs w:val="24"/>
              </w:rPr>
            </w:pPr>
            <w:r w:rsidRPr="005935E0">
              <w:rPr>
                <w:sz w:val="24"/>
                <w:szCs w:val="24"/>
              </w:rPr>
              <w:t>Калий 14-45</w:t>
            </w:r>
          </w:p>
        </w:tc>
      </w:tr>
      <w:tr w:rsidR="005935E0" w:rsidRPr="005935E0" w:rsidTr="0030149C">
        <w:tc>
          <w:tcPr>
            <w:tcW w:w="1419" w:type="dxa"/>
          </w:tcPr>
          <w:p w:rsidR="005935E0" w:rsidRPr="005935E0" w:rsidRDefault="005935E0" w:rsidP="005935E0">
            <w:pPr>
              <w:jc w:val="both"/>
              <w:rPr>
                <w:sz w:val="24"/>
                <w:szCs w:val="24"/>
              </w:rPr>
            </w:pPr>
            <w:r w:rsidRPr="005935E0">
              <w:rPr>
                <w:sz w:val="24"/>
                <w:szCs w:val="24"/>
              </w:rPr>
              <w:t>Показания</w:t>
            </w:r>
          </w:p>
        </w:tc>
        <w:tc>
          <w:tcPr>
            <w:tcW w:w="2976" w:type="dxa"/>
          </w:tcPr>
          <w:p w:rsidR="005935E0" w:rsidRPr="005935E0" w:rsidRDefault="005935E0" w:rsidP="005935E0">
            <w:pPr>
              <w:jc w:val="both"/>
              <w:rPr>
                <w:sz w:val="24"/>
                <w:szCs w:val="24"/>
              </w:rPr>
            </w:pPr>
            <w:r w:rsidRPr="005935E0">
              <w:rPr>
                <w:sz w:val="24"/>
                <w:szCs w:val="24"/>
              </w:rPr>
              <w:t xml:space="preserve">Очищение организма, </w:t>
            </w:r>
          </w:p>
          <w:p w:rsidR="005935E0" w:rsidRPr="005935E0" w:rsidRDefault="005935E0" w:rsidP="005935E0">
            <w:pPr>
              <w:jc w:val="both"/>
              <w:rPr>
                <w:sz w:val="24"/>
                <w:szCs w:val="24"/>
              </w:rPr>
            </w:pPr>
            <w:r w:rsidRPr="005935E0">
              <w:rPr>
                <w:sz w:val="24"/>
                <w:szCs w:val="24"/>
              </w:rPr>
              <w:t xml:space="preserve">Сахарный диабет, </w:t>
            </w:r>
          </w:p>
          <w:p w:rsidR="005935E0" w:rsidRPr="005935E0" w:rsidRDefault="005935E0" w:rsidP="005935E0">
            <w:pPr>
              <w:jc w:val="both"/>
              <w:rPr>
                <w:sz w:val="24"/>
                <w:szCs w:val="24"/>
              </w:rPr>
            </w:pPr>
            <w:r w:rsidRPr="005935E0">
              <w:rPr>
                <w:sz w:val="24"/>
                <w:szCs w:val="24"/>
              </w:rPr>
              <w:t xml:space="preserve">Подагра, Запор, </w:t>
            </w:r>
          </w:p>
          <w:p w:rsidR="005935E0" w:rsidRPr="005935E0" w:rsidRDefault="005935E0" w:rsidP="005935E0">
            <w:pPr>
              <w:jc w:val="both"/>
              <w:rPr>
                <w:sz w:val="24"/>
                <w:szCs w:val="24"/>
              </w:rPr>
            </w:pPr>
            <w:r w:rsidRPr="005935E0">
              <w:rPr>
                <w:sz w:val="24"/>
                <w:szCs w:val="24"/>
              </w:rPr>
              <w:t xml:space="preserve">Ожирение, Гастрит, изжога, Язва желудка, язва двенадцатиперстной кишки, </w:t>
            </w:r>
          </w:p>
          <w:p w:rsidR="005935E0" w:rsidRPr="005935E0" w:rsidRDefault="005935E0" w:rsidP="005935E0">
            <w:pPr>
              <w:jc w:val="both"/>
              <w:rPr>
                <w:sz w:val="24"/>
                <w:szCs w:val="24"/>
              </w:rPr>
            </w:pPr>
            <w:r w:rsidRPr="005935E0">
              <w:rPr>
                <w:sz w:val="24"/>
                <w:szCs w:val="24"/>
              </w:rPr>
              <w:t xml:space="preserve">Хронический гепатит, панкреатит, холецистит, </w:t>
            </w:r>
          </w:p>
          <w:p w:rsidR="005935E0" w:rsidRPr="005935E0" w:rsidRDefault="005935E0" w:rsidP="005935E0">
            <w:pPr>
              <w:jc w:val="both"/>
              <w:rPr>
                <w:sz w:val="24"/>
                <w:szCs w:val="24"/>
              </w:rPr>
            </w:pPr>
          </w:p>
        </w:tc>
        <w:tc>
          <w:tcPr>
            <w:tcW w:w="2835" w:type="dxa"/>
          </w:tcPr>
          <w:p w:rsidR="005935E0" w:rsidRPr="005935E0" w:rsidRDefault="005935E0" w:rsidP="005935E0">
            <w:pPr>
              <w:jc w:val="both"/>
              <w:rPr>
                <w:sz w:val="24"/>
                <w:szCs w:val="24"/>
              </w:rPr>
            </w:pPr>
            <w:r w:rsidRPr="005935E0">
              <w:rPr>
                <w:sz w:val="24"/>
                <w:szCs w:val="24"/>
              </w:rPr>
              <w:t>хронические заболевания у ЖКТ;</w:t>
            </w:r>
          </w:p>
          <w:p w:rsidR="005935E0" w:rsidRPr="005935E0" w:rsidRDefault="005935E0" w:rsidP="005935E0">
            <w:pPr>
              <w:jc w:val="both"/>
              <w:rPr>
                <w:sz w:val="24"/>
                <w:szCs w:val="24"/>
              </w:rPr>
            </w:pPr>
            <w:r w:rsidRPr="005935E0">
              <w:rPr>
                <w:sz w:val="24"/>
                <w:szCs w:val="24"/>
              </w:rPr>
              <w:t>обмена веществ;</w:t>
            </w:r>
          </w:p>
          <w:p w:rsidR="005935E0" w:rsidRPr="005935E0" w:rsidRDefault="005935E0" w:rsidP="005935E0">
            <w:pPr>
              <w:jc w:val="both"/>
              <w:rPr>
                <w:sz w:val="24"/>
                <w:szCs w:val="24"/>
              </w:rPr>
            </w:pPr>
            <w:r w:rsidRPr="005935E0">
              <w:rPr>
                <w:sz w:val="24"/>
                <w:szCs w:val="24"/>
              </w:rPr>
              <w:t>сахарный диабет;</w:t>
            </w:r>
          </w:p>
          <w:p w:rsidR="005935E0" w:rsidRPr="005935E0" w:rsidRDefault="005935E0" w:rsidP="005935E0">
            <w:pPr>
              <w:jc w:val="both"/>
              <w:rPr>
                <w:sz w:val="24"/>
                <w:szCs w:val="24"/>
              </w:rPr>
            </w:pPr>
            <w:proofErr w:type="spellStart"/>
            <w:r w:rsidRPr="005935E0">
              <w:rPr>
                <w:sz w:val="24"/>
                <w:szCs w:val="24"/>
              </w:rPr>
              <w:t>оксалурия</w:t>
            </w:r>
            <w:proofErr w:type="spellEnd"/>
            <w:r w:rsidRPr="005935E0">
              <w:rPr>
                <w:sz w:val="24"/>
                <w:szCs w:val="24"/>
              </w:rPr>
              <w:t>;</w:t>
            </w:r>
          </w:p>
          <w:p w:rsidR="005935E0" w:rsidRPr="005935E0" w:rsidRDefault="005935E0" w:rsidP="005935E0">
            <w:pPr>
              <w:jc w:val="both"/>
              <w:rPr>
                <w:sz w:val="24"/>
                <w:szCs w:val="24"/>
              </w:rPr>
            </w:pPr>
            <w:r w:rsidRPr="005935E0">
              <w:rPr>
                <w:sz w:val="24"/>
                <w:szCs w:val="24"/>
              </w:rPr>
              <w:t>фосфатурия;</w:t>
            </w:r>
          </w:p>
          <w:p w:rsidR="005935E0" w:rsidRPr="005935E0" w:rsidRDefault="005935E0" w:rsidP="005935E0">
            <w:pPr>
              <w:jc w:val="both"/>
              <w:rPr>
                <w:sz w:val="24"/>
                <w:szCs w:val="24"/>
              </w:rPr>
            </w:pPr>
            <w:r w:rsidRPr="005935E0">
              <w:rPr>
                <w:sz w:val="24"/>
                <w:szCs w:val="24"/>
              </w:rPr>
              <w:t>ожирение;</w:t>
            </w:r>
          </w:p>
          <w:p w:rsidR="005935E0" w:rsidRPr="005935E0" w:rsidRDefault="005935E0" w:rsidP="005935E0">
            <w:pPr>
              <w:jc w:val="both"/>
              <w:rPr>
                <w:sz w:val="24"/>
                <w:szCs w:val="24"/>
              </w:rPr>
            </w:pPr>
            <w:r w:rsidRPr="005935E0">
              <w:rPr>
                <w:sz w:val="24"/>
                <w:szCs w:val="24"/>
              </w:rPr>
              <w:t>диатез</w:t>
            </w:r>
          </w:p>
        </w:tc>
        <w:tc>
          <w:tcPr>
            <w:tcW w:w="2829" w:type="dxa"/>
          </w:tcPr>
          <w:p w:rsidR="005935E0" w:rsidRPr="005935E0" w:rsidRDefault="005935E0" w:rsidP="005935E0">
            <w:pPr>
              <w:jc w:val="both"/>
              <w:rPr>
                <w:sz w:val="24"/>
                <w:szCs w:val="24"/>
              </w:rPr>
            </w:pPr>
            <w:r w:rsidRPr="005935E0">
              <w:rPr>
                <w:sz w:val="24"/>
                <w:szCs w:val="24"/>
              </w:rPr>
              <w:t>хронический гастрит с нормальной и повышенной секреторной функцией желудка;</w:t>
            </w:r>
          </w:p>
          <w:p w:rsidR="005935E0" w:rsidRPr="005935E0" w:rsidRDefault="005935E0" w:rsidP="005935E0">
            <w:pPr>
              <w:jc w:val="both"/>
              <w:rPr>
                <w:sz w:val="24"/>
                <w:szCs w:val="24"/>
              </w:rPr>
            </w:pPr>
            <w:r w:rsidRPr="005935E0">
              <w:rPr>
                <w:sz w:val="24"/>
                <w:szCs w:val="24"/>
              </w:rPr>
              <w:t>язва желудка и двенадцатиперстной кишки; болезни печени, жёлчного пузыря и желчевыводящих путей; болезни поджелудочной железы; сахарный диабет; ожирение;</w:t>
            </w:r>
          </w:p>
          <w:p w:rsidR="005935E0" w:rsidRPr="005935E0" w:rsidRDefault="005935E0" w:rsidP="005935E0">
            <w:pPr>
              <w:jc w:val="both"/>
              <w:rPr>
                <w:sz w:val="24"/>
                <w:szCs w:val="24"/>
              </w:rPr>
            </w:pPr>
            <w:r w:rsidRPr="005935E0">
              <w:rPr>
                <w:sz w:val="24"/>
                <w:szCs w:val="24"/>
              </w:rPr>
              <w:t>болезни мочевыводящих путей</w:t>
            </w:r>
          </w:p>
        </w:tc>
      </w:tr>
      <w:tr w:rsidR="005935E0" w:rsidRPr="005935E0" w:rsidTr="0030149C">
        <w:tc>
          <w:tcPr>
            <w:tcW w:w="1419" w:type="dxa"/>
          </w:tcPr>
          <w:p w:rsidR="005935E0" w:rsidRPr="005935E0" w:rsidRDefault="005935E0" w:rsidP="005935E0">
            <w:pPr>
              <w:jc w:val="both"/>
              <w:rPr>
                <w:sz w:val="24"/>
                <w:szCs w:val="24"/>
              </w:rPr>
            </w:pPr>
            <w:r w:rsidRPr="005935E0">
              <w:rPr>
                <w:sz w:val="24"/>
                <w:szCs w:val="24"/>
              </w:rPr>
              <w:t>Противопоказания</w:t>
            </w:r>
          </w:p>
        </w:tc>
        <w:tc>
          <w:tcPr>
            <w:tcW w:w="2976" w:type="dxa"/>
          </w:tcPr>
          <w:p w:rsidR="005935E0" w:rsidRPr="005935E0" w:rsidRDefault="005935E0" w:rsidP="005935E0">
            <w:pPr>
              <w:jc w:val="both"/>
              <w:rPr>
                <w:sz w:val="24"/>
                <w:szCs w:val="24"/>
              </w:rPr>
            </w:pPr>
            <w:r w:rsidRPr="005935E0">
              <w:rPr>
                <w:sz w:val="24"/>
                <w:szCs w:val="24"/>
              </w:rPr>
              <w:t>При вышеуказанных заболеваниях лишь вне</w:t>
            </w:r>
          </w:p>
          <w:p w:rsidR="005935E0" w:rsidRPr="005935E0" w:rsidRDefault="005935E0" w:rsidP="005935E0">
            <w:pPr>
              <w:jc w:val="both"/>
              <w:rPr>
                <w:sz w:val="24"/>
                <w:szCs w:val="24"/>
              </w:rPr>
            </w:pPr>
            <w:r w:rsidRPr="005935E0">
              <w:rPr>
                <w:sz w:val="24"/>
                <w:szCs w:val="24"/>
              </w:rPr>
              <w:t>фазы обострения.</w:t>
            </w:r>
          </w:p>
          <w:p w:rsidR="005935E0" w:rsidRPr="005935E0" w:rsidRDefault="005935E0" w:rsidP="005935E0">
            <w:pPr>
              <w:jc w:val="both"/>
              <w:rPr>
                <w:sz w:val="24"/>
                <w:szCs w:val="24"/>
              </w:rPr>
            </w:pPr>
            <w:r w:rsidRPr="005935E0">
              <w:rPr>
                <w:sz w:val="24"/>
                <w:szCs w:val="24"/>
              </w:rPr>
              <w:t>Не рекомендуется для питья без консультации с врачом.</w:t>
            </w:r>
          </w:p>
        </w:tc>
        <w:tc>
          <w:tcPr>
            <w:tcW w:w="2835" w:type="dxa"/>
          </w:tcPr>
          <w:p w:rsidR="005935E0" w:rsidRPr="005935E0" w:rsidRDefault="005935E0" w:rsidP="005935E0">
            <w:pPr>
              <w:jc w:val="both"/>
              <w:rPr>
                <w:sz w:val="24"/>
                <w:szCs w:val="24"/>
              </w:rPr>
            </w:pPr>
            <w:r w:rsidRPr="005935E0">
              <w:rPr>
                <w:sz w:val="24"/>
                <w:szCs w:val="24"/>
              </w:rPr>
              <w:t>При вышеуказанных заболеваниях лишь вне</w:t>
            </w:r>
          </w:p>
          <w:p w:rsidR="005935E0" w:rsidRPr="005935E0" w:rsidRDefault="005935E0" w:rsidP="005935E0">
            <w:pPr>
              <w:jc w:val="both"/>
              <w:rPr>
                <w:sz w:val="24"/>
                <w:szCs w:val="24"/>
              </w:rPr>
            </w:pPr>
            <w:r w:rsidRPr="005935E0">
              <w:rPr>
                <w:sz w:val="24"/>
                <w:szCs w:val="24"/>
              </w:rPr>
              <w:t>фазы обострения.</w:t>
            </w:r>
          </w:p>
          <w:p w:rsidR="005935E0" w:rsidRPr="005935E0" w:rsidRDefault="005935E0" w:rsidP="005935E0">
            <w:pPr>
              <w:jc w:val="both"/>
              <w:rPr>
                <w:sz w:val="24"/>
                <w:szCs w:val="24"/>
              </w:rPr>
            </w:pPr>
            <w:r w:rsidRPr="005935E0">
              <w:rPr>
                <w:sz w:val="24"/>
                <w:szCs w:val="24"/>
              </w:rPr>
              <w:t>Не рекомендуется для питья без консультации с врачом.</w:t>
            </w:r>
          </w:p>
        </w:tc>
        <w:tc>
          <w:tcPr>
            <w:tcW w:w="2829" w:type="dxa"/>
          </w:tcPr>
          <w:p w:rsidR="005935E0" w:rsidRPr="005935E0" w:rsidRDefault="005935E0" w:rsidP="005935E0">
            <w:pPr>
              <w:jc w:val="both"/>
              <w:rPr>
                <w:sz w:val="24"/>
                <w:szCs w:val="24"/>
              </w:rPr>
            </w:pPr>
            <w:r w:rsidRPr="005935E0">
              <w:rPr>
                <w:sz w:val="24"/>
                <w:szCs w:val="24"/>
              </w:rPr>
              <w:t>При вышеуказанных заболеваниях применяется только вне фазы обострения.</w:t>
            </w:r>
          </w:p>
        </w:tc>
      </w:tr>
    </w:tbl>
    <w:p w:rsidR="004444D6" w:rsidRPr="005935E0" w:rsidRDefault="004444D6" w:rsidP="005935E0"/>
    <w:sectPr w:rsidR="004444D6" w:rsidRPr="005935E0" w:rsidSect="006614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212"/>
    <w:multiLevelType w:val="hybridMultilevel"/>
    <w:tmpl w:val="11B6D864"/>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EE373D7"/>
    <w:multiLevelType w:val="hybridMultilevel"/>
    <w:tmpl w:val="86F49EF4"/>
    <w:lvl w:ilvl="0" w:tplc="EFB6A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F7491E"/>
    <w:multiLevelType w:val="hybridMultilevel"/>
    <w:tmpl w:val="8A50BE56"/>
    <w:lvl w:ilvl="0" w:tplc="EFB6A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E7"/>
    <w:rsid w:val="001B0F3E"/>
    <w:rsid w:val="002D3A79"/>
    <w:rsid w:val="003952A0"/>
    <w:rsid w:val="004444D6"/>
    <w:rsid w:val="005935E0"/>
    <w:rsid w:val="006614FA"/>
    <w:rsid w:val="00690720"/>
    <w:rsid w:val="009209AE"/>
    <w:rsid w:val="00D92FFC"/>
    <w:rsid w:val="00E3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A64"/>
  <w15:chartTrackingRefBased/>
  <w15:docId w15:val="{78E4D379-DB3A-4667-8B5D-35519BAB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93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593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diagramLayout" Target="diagrams/layout1.xml"/><Relationship Id="rId26" Type="http://schemas.openxmlformats.org/officeDocument/2006/relationships/image" Target="media/image17.jpeg"/><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diagramData" Target="diagrams/data1.xml"/><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diagramColors" Target="diagrams/colors1.xm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image" Target="media/image2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2F8D02-4649-40A2-87DC-A07952DA753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BFD7C1F-875D-4653-AAFF-550DA9A479A2}">
      <dgm:prSet phldrT="[Текст]" custT="1"/>
      <dgm:spPr>
        <a:xfrm>
          <a:off x="1515744" y="407463"/>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 применению</a:t>
          </a:r>
        </a:p>
      </dgm:t>
    </dgm:pt>
    <dgm:pt modelId="{BD033302-8F0E-41E3-BA39-60283A1CD079}" type="parTrans" cxnId="{E8ACBAC9-B427-47FB-AE85-694DBF282C0F}">
      <dgm:prSet/>
      <dgm:spPr/>
      <dgm:t>
        <a:bodyPr/>
        <a:lstStyle/>
        <a:p>
          <a:endParaRPr lang="ru-RU"/>
        </a:p>
      </dgm:t>
    </dgm:pt>
    <dgm:pt modelId="{1413C6A2-4DB7-4D21-AE5A-7B76281CD182}" type="sibTrans" cxnId="{E8ACBAC9-B427-47FB-AE85-694DBF282C0F}">
      <dgm:prSet/>
      <dgm:spPr/>
      <dgm:t>
        <a:bodyPr/>
        <a:lstStyle/>
        <a:p>
          <a:endParaRPr lang="ru-RU"/>
        </a:p>
      </dgm:t>
    </dgm:pt>
    <dgm:pt modelId="{B4BF29C8-4482-4515-AB4B-DC72772AD3D0}" type="asst">
      <dgm:prSet phldrT="[Текст]" custT="1"/>
      <dgm:spPr>
        <a:xfrm>
          <a:off x="758292" y="1296374"/>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наружного примения</a:t>
          </a:r>
        </a:p>
      </dgm:t>
    </dgm:pt>
    <dgm:pt modelId="{BC32BD79-BCED-4801-A3FE-ECD7DC4741FD}" type="parTrans" cxnId="{8D890450-B4D3-4796-B155-62B5179B7AA6}">
      <dgm:prSet/>
      <dgm:spPr>
        <a:xfrm>
          <a:off x="2010279" y="1033457"/>
          <a:ext cx="131458" cy="575914"/>
        </a:xfrm>
        <a:custGeom>
          <a:avLst/>
          <a:gdLst/>
          <a:ahLst/>
          <a:cxnLst/>
          <a:rect l="0" t="0" r="0" b="0"/>
          <a:pathLst>
            <a:path>
              <a:moveTo>
                <a:pt x="131458" y="0"/>
              </a:moveTo>
              <a:lnTo>
                <a:pt x="131458" y="575914"/>
              </a:lnTo>
              <a:lnTo>
                <a:pt x="0" y="57591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F6974529-A11F-4B9B-8707-614BC020BF48}" type="sibTrans" cxnId="{8D890450-B4D3-4796-B155-62B5179B7AA6}">
      <dgm:prSet/>
      <dgm:spPr/>
      <dgm:t>
        <a:bodyPr/>
        <a:lstStyle/>
        <a:p>
          <a:endParaRPr lang="ru-RU"/>
        </a:p>
      </dgm:t>
    </dgm:pt>
    <dgm:pt modelId="{B1C2C437-CAC7-43BD-809E-BF86FEA496F1}" type="asst">
      <dgm:prSet custT="1"/>
      <dgm:spPr>
        <a:xfrm>
          <a:off x="2273197" y="1296374"/>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внутреннего примения</a:t>
          </a:r>
        </a:p>
      </dgm:t>
    </dgm:pt>
    <dgm:pt modelId="{5C9D0CB1-FA3A-4EBF-B38E-5D76F45ACF51}" type="parTrans" cxnId="{9BCF8017-1369-4E98-96A3-689815342343}">
      <dgm:prSet/>
      <dgm:spPr>
        <a:xfrm>
          <a:off x="2141738" y="1033457"/>
          <a:ext cx="131458" cy="575914"/>
        </a:xfrm>
        <a:custGeom>
          <a:avLst/>
          <a:gdLst/>
          <a:ahLst/>
          <a:cxnLst/>
          <a:rect l="0" t="0" r="0" b="0"/>
          <a:pathLst>
            <a:path>
              <a:moveTo>
                <a:pt x="0" y="0"/>
              </a:moveTo>
              <a:lnTo>
                <a:pt x="0" y="575914"/>
              </a:lnTo>
              <a:lnTo>
                <a:pt x="131458" y="57591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315E6DBC-7676-435F-9789-DF97C2F92EF6}" type="sibTrans" cxnId="{9BCF8017-1369-4E98-96A3-689815342343}">
      <dgm:prSet/>
      <dgm:spPr/>
      <dgm:t>
        <a:bodyPr/>
        <a:lstStyle/>
        <a:p>
          <a:endParaRPr lang="ru-RU"/>
        </a:p>
      </dgm:t>
    </dgm:pt>
    <dgm:pt modelId="{5554B21A-EDE6-490D-89B3-35A0BF9872C1}" type="asst">
      <dgm:prSet custT="1"/>
      <dgm:spPr>
        <a:xfrm>
          <a:off x="839" y="2185285"/>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Ванны (газовые и минеральные)</a:t>
          </a:r>
        </a:p>
      </dgm:t>
    </dgm:pt>
    <dgm:pt modelId="{40A92384-5EC2-40DB-87F3-EE35F63355ED}" type="parTrans" cxnId="{0C2BD7EF-22AA-4DFB-B495-6E65D294CA6B}">
      <dgm:prSet/>
      <dgm:spPr>
        <a:xfrm>
          <a:off x="1252827" y="1922368"/>
          <a:ext cx="131458" cy="575914"/>
        </a:xfrm>
        <a:custGeom>
          <a:avLst/>
          <a:gdLst/>
          <a:ahLst/>
          <a:cxnLst/>
          <a:rect l="0" t="0" r="0" b="0"/>
          <a:pathLst>
            <a:path>
              <a:moveTo>
                <a:pt x="131458" y="0"/>
              </a:moveTo>
              <a:lnTo>
                <a:pt x="131458" y="575914"/>
              </a:lnTo>
              <a:lnTo>
                <a:pt x="0" y="57591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A72AE7D4-E368-4390-8F6D-1E4979F4F4BB}" type="sibTrans" cxnId="{0C2BD7EF-22AA-4DFB-B495-6E65D294CA6B}">
      <dgm:prSet/>
      <dgm:spPr/>
      <dgm:t>
        <a:bodyPr/>
        <a:lstStyle/>
        <a:p>
          <a:endParaRPr lang="ru-RU"/>
        </a:p>
      </dgm:t>
    </dgm:pt>
    <dgm:pt modelId="{ABC2D729-C4DD-4C99-9BE0-5B31DC886003}">
      <dgm:prSet custT="1"/>
      <dgm:spPr>
        <a:xfrm>
          <a:off x="3086988" y="2185285"/>
          <a:ext cx="2493821" cy="16935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-Питьевое лечение</a:t>
          </a:r>
          <a:b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-Промывание желудка</a:t>
          </a:r>
          <a:b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-Дуоденальный дренаж</a:t>
          </a:r>
          <a:b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-Орошение полости рта и десен</a:t>
          </a:r>
          <a:b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-Ингаляции</a:t>
          </a:r>
          <a:b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-Вагинальные и ректальные орошения</a:t>
          </a:r>
        </a:p>
      </dgm:t>
    </dgm:pt>
    <dgm:pt modelId="{377D7003-14D1-4973-BB6F-8BEA8981C634}" type="parTrans" cxnId="{463AE915-C625-4D2D-840A-9CC19676CB8C}">
      <dgm:prSet/>
      <dgm:spPr>
        <a:xfrm>
          <a:off x="2899190" y="1922368"/>
          <a:ext cx="187798" cy="1109667"/>
        </a:xfrm>
        <a:custGeom>
          <a:avLst/>
          <a:gdLst/>
          <a:ahLst/>
          <a:cxnLst/>
          <a:rect l="0" t="0" r="0" b="0"/>
          <a:pathLst>
            <a:path>
              <a:moveTo>
                <a:pt x="0" y="0"/>
              </a:moveTo>
              <a:lnTo>
                <a:pt x="0" y="1109667"/>
              </a:lnTo>
              <a:lnTo>
                <a:pt x="187798" y="110966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01EE946C-C7F0-486C-B219-0D0FFF04B8F3}" type="sibTrans" cxnId="{463AE915-C625-4D2D-840A-9CC19676CB8C}">
      <dgm:prSet/>
      <dgm:spPr/>
      <dgm:t>
        <a:bodyPr/>
        <a:lstStyle/>
        <a:p>
          <a:endParaRPr lang="ru-RU"/>
        </a:p>
      </dgm:t>
    </dgm:pt>
    <dgm:pt modelId="{1B4C573B-A28D-4A66-9189-99D7AD89F22A}" type="pres">
      <dgm:prSet presAssocID="{122F8D02-4649-40A2-87DC-A07952DA7531}" presName="hierChild1" presStyleCnt="0">
        <dgm:presLayoutVars>
          <dgm:orgChart val="1"/>
          <dgm:chPref val="1"/>
          <dgm:dir/>
          <dgm:animOne val="branch"/>
          <dgm:animLvl val="lvl"/>
          <dgm:resizeHandles/>
        </dgm:presLayoutVars>
      </dgm:prSet>
      <dgm:spPr/>
      <dgm:t>
        <a:bodyPr/>
        <a:lstStyle/>
        <a:p>
          <a:endParaRPr lang="ru-RU"/>
        </a:p>
      </dgm:t>
    </dgm:pt>
    <dgm:pt modelId="{93320DE8-D5A7-40A9-ACAC-AA543C820178}" type="pres">
      <dgm:prSet presAssocID="{FBFD7C1F-875D-4653-AAFF-550DA9A479A2}" presName="hierRoot1" presStyleCnt="0">
        <dgm:presLayoutVars>
          <dgm:hierBranch val="init"/>
        </dgm:presLayoutVars>
      </dgm:prSet>
      <dgm:spPr/>
    </dgm:pt>
    <dgm:pt modelId="{C60C71F3-D0B8-49D8-BD2F-3AF0B366F571}" type="pres">
      <dgm:prSet presAssocID="{FBFD7C1F-875D-4653-AAFF-550DA9A479A2}" presName="rootComposite1" presStyleCnt="0"/>
      <dgm:spPr/>
    </dgm:pt>
    <dgm:pt modelId="{F3682CF7-BD3E-4DFB-B9F0-E431C26F3260}" type="pres">
      <dgm:prSet presAssocID="{FBFD7C1F-875D-4653-AAFF-550DA9A479A2}" presName="rootText1" presStyleLbl="node0" presStyleIdx="0" presStyleCnt="1">
        <dgm:presLayoutVars>
          <dgm:chPref val="3"/>
        </dgm:presLayoutVars>
      </dgm:prSet>
      <dgm:spPr/>
      <dgm:t>
        <a:bodyPr/>
        <a:lstStyle/>
        <a:p>
          <a:endParaRPr lang="ru-RU"/>
        </a:p>
      </dgm:t>
    </dgm:pt>
    <dgm:pt modelId="{8262FBA7-1FF0-4B0E-B70C-36038E53D8E7}" type="pres">
      <dgm:prSet presAssocID="{FBFD7C1F-875D-4653-AAFF-550DA9A479A2}" presName="rootConnector1" presStyleLbl="node1" presStyleIdx="0" presStyleCnt="0"/>
      <dgm:spPr/>
      <dgm:t>
        <a:bodyPr/>
        <a:lstStyle/>
        <a:p>
          <a:endParaRPr lang="ru-RU"/>
        </a:p>
      </dgm:t>
    </dgm:pt>
    <dgm:pt modelId="{EDDE8078-D66F-4F1A-9ACC-5ECFE9768E5F}" type="pres">
      <dgm:prSet presAssocID="{FBFD7C1F-875D-4653-AAFF-550DA9A479A2}" presName="hierChild2" presStyleCnt="0"/>
      <dgm:spPr/>
    </dgm:pt>
    <dgm:pt modelId="{3446E02F-C675-42D1-AC35-4A3297B8232E}" type="pres">
      <dgm:prSet presAssocID="{FBFD7C1F-875D-4653-AAFF-550DA9A479A2}" presName="hierChild3" presStyleCnt="0"/>
      <dgm:spPr/>
    </dgm:pt>
    <dgm:pt modelId="{F72EF6E8-A0DD-4E60-811A-FA91D9708F8E}" type="pres">
      <dgm:prSet presAssocID="{BC32BD79-BCED-4801-A3FE-ECD7DC4741FD}" presName="Name111" presStyleLbl="parChTrans1D2" presStyleIdx="0" presStyleCnt="2"/>
      <dgm:spPr/>
      <dgm:t>
        <a:bodyPr/>
        <a:lstStyle/>
        <a:p>
          <a:endParaRPr lang="ru-RU"/>
        </a:p>
      </dgm:t>
    </dgm:pt>
    <dgm:pt modelId="{F63DAFA8-9232-4BD7-A59D-0991F5760831}" type="pres">
      <dgm:prSet presAssocID="{B4BF29C8-4482-4515-AB4B-DC72772AD3D0}" presName="hierRoot3" presStyleCnt="0">
        <dgm:presLayoutVars>
          <dgm:hierBranch val="init"/>
        </dgm:presLayoutVars>
      </dgm:prSet>
      <dgm:spPr/>
    </dgm:pt>
    <dgm:pt modelId="{EAC0B430-6915-4FC6-AAB6-E544B7DBF18C}" type="pres">
      <dgm:prSet presAssocID="{B4BF29C8-4482-4515-AB4B-DC72772AD3D0}" presName="rootComposite3" presStyleCnt="0"/>
      <dgm:spPr/>
    </dgm:pt>
    <dgm:pt modelId="{9ECFEC9D-6B32-4205-942D-212DC496ABFF}" type="pres">
      <dgm:prSet presAssocID="{B4BF29C8-4482-4515-AB4B-DC72772AD3D0}" presName="rootText3" presStyleLbl="asst1" presStyleIdx="0" presStyleCnt="3">
        <dgm:presLayoutVars>
          <dgm:chPref val="3"/>
        </dgm:presLayoutVars>
      </dgm:prSet>
      <dgm:spPr/>
      <dgm:t>
        <a:bodyPr/>
        <a:lstStyle/>
        <a:p>
          <a:endParaRPr lang="ru-RU"/>
        </a:p>
      </dgm:t>
    </dgm:pt>
    <dgm:pt modelId="{A114B26F-D1B2-430A-8A57-9FA78F4A99C5}" type="pres">
      <dgm:prSet presAssocID="{B4BF29C8-4482-4515-AB4B-DC72772AD3D0}" presName="rootConnector3" presStyleLbl="asst1" presStyleIdx="0" presStyleCnt="3"/>
      <dgm:spPr/>
      <dgm:t>
        <a:bodyPr/>
        <a:lstStyle/>
        <a:p>
          <a:endParaRPr lang="ru-RU"/>
        </a:p>
      </dgm:t>
    </dgm:pt>
    <dgm:pt modelId="{4AC37C87-0F3A-4D38-BD3A-B54905E203D3}" type="pres">
      <dgm:prSet presAssocID="{B4BF29C8-4482-4515-AB4B-DC72772AD3D0}" presName="hierChild6" presStyleCnt="0"/>
      <dgm:spPr/>
    </dgm:pt>
    <dgm:pt modelId="{3EE577BE-94EA-4679-A00E-E2D5975B0674}" type="pres">
      <dgm:prSet presAssocID="{B4BF29C8-4482-4515-AB4B-DC72772AD3D0}" presName="hierChild7" presStyleCnt="0"/>
      <dgm:spPr/>
    </dgm:pt>
    <dgm:pt modelId="{DFC48962-C26B-4B70-83F5-6CC4B3CC75CD}" type="pres">
      <dgm:prSet presAssocID="{40A92384-5EC2-40DB-87F3-EE35F63355ED}" presName="Name111" presStyleLbl="parChTrans1D3" presStyleIdx="0" presStyleCnt="2"/>
      <dgm:spPr/>
      <dgm:t>
        <a:bodyPr/>
        <a:lstStyle/>
        <a:p>
          <a:endParaRPr lang="ru-RU"/>
        </a:p>
      </dgm:t>
    </dgm:pt>
    <dgm:pt modelId="{6CE528E7-5FF2-49EB-8BF9-9350CF026ECC}" type="pres">
      <dgm:prSet presAssocID="{5554B21A-EDE6-490D-89B3-35A0BF9872C1}" presName="hierRoot3" presStyleCnt="0">
        <dgm:presLayoutVars>
          <dgm:hierBranch val="init"/>
        </dgm:presLayoutVars>
      </dgm:prSet>
      <dgm:spPr/>
    </dgm:pt>
    <dgm:pt modelId="{189867D7-BDC1-44C5-B45E-A958F99A641F}" type="pres">
      <dgm:prSet presAssocID="{5554B21A-EDE6-490D-89B3-35A0BF9872C1}" presName="rootComposite3" presStyleCnt="0"/>
      <dgm:spPr/>
    </dgm:pt>
    <dgm:pt modelId="{C93462BE-7299-4F4C-A648-1DFB3B0DBF1A}" type="pres">
      <dgm:prSet presAssocID="{5554B21A-EDE6-490D-89B3-35A0BF9872C1}" presName="rootText3" presStyleLbl="asst1" presStyleIdx="1" presStyleCnt="3">
        <dgm:presLayoutVars>
          <dgm:chPref val="3"/>
        </dgm:presLayoutVars>
      </dgm:prSet>
      <dgm:spPr/>
      <dgm:t>
        <a:bodyPr/>
        <a:lstStyle/>
        <a:p>
          <a:endParaRPr lang="ru-RU"/>
        </a:p>
      </dgm:t>
    </dgm:pt>
    <dgm:pt modelId="{2D4A5B3F-529A-4F8A-93A0-3A65D96FE0B8}" type="pres">
      <dgm:prSet presAssocID="{5554B21A-EDE6-490D-89B3-35A0BF9872C1}" presName="rootConnector3" presStyleLbl="asst1" presStyleIdx="1" presStyleCnt="3"/>
      <dgm:spPr/>
      <dgm:t>
        <a:bodyPr/>
        <a:lstStyle/>
        <a:p>
          <a:endParaRPr lang="ru-RU"/>
        </a:p>
      </dgm:t>
    </dgm:pt>
    <dgm:pt modelId="{E89CAD2F-17FC-450B-8FF4-21C88E4F6B99}" type="pres">
      <dgm:prSet presAssocID="{5554B21A-EDE6-490D-89B3-35A0BF9872C1}" presName="hierChild6" presStyleCnt="0"/>
      <dgm:spPr/>
    </dgm:pt>
    <dgm:pt modelId="{79800416-4089-4260-B161-9E63F3DA21E3}" type="pres">
      <dgm:prSet presAssocID="{5554B21A-EDE6-490D-89B3-35A0BF9872C1}" presName="hierChild7" presStyleCnt="0"/>
      <dgm:spPr/>
    </dgm:pt>
    <dgm:pt modelId="{8CCE0D9A-C6F0-4997-8226-7DCF0F00A843}" type="pres">
      <dgm:prSet presAssocID="{5C9D0CB1-FA3A-4EBF-B38E-5D76F45ACF51}" presName="Name111" presStyleLbl="parChTrans1D2" presStyleIdx="1" presStyleCnt="2"/>
      <dgm:spPr/>
      <dgm:t>
        <a:bodyPr/>
        <a:lstStyle/>
        <a:p>
          <a:endParaRPr lang="ru-RU"/>
        </a:p>
      </dgm:t>
    </dgm:pt>
    <dgm:pt modelId="{447A7346-55D5-4957-922C-54BC2C1F0940}" type="pres">
      <dgm:prSet presAssocID="{B1C2C437-CAC7-43BD-809E-BF86FEA496F1}" presName="hierRoot3" presStyleCnt="0">
        <dgm:presLayoutVars>
          <dgm:hierBranch val="init"/>
        </dgm:presLayoutVars>
      </dgm:prSet>
      <dgm:spPr/>
    </dgm:pt>
    <dgm:pt modelId="{FC2F6C31-8515-462B-984E-D27184F9EEDE}" type="pres">
      <dgm:prSet presAssocID="{B1C2C437-CAC7-43BD-809E-BF86FEA496F1}" presName="rootComposite3" presStyleCnt="0"/>
      <dgm:spPr/>
    </dgm:pt>
    <dgm:pt modelId="{143B7F5D-B167-4F89-8CB6-B49DB6B1CA3D}" type="pres">
      <dgm:prSet presAssocID="{B1C2C437-CAC7-43BD-809E-BF86FEA496F1}" presName="rootText3" presStyleLbl="asst1" presStyleIdx="2" presStyleCnt="3">
        <dgm:presLayoutVars>
          <dgm:chPref val="3"/>
        </dgm:presLayoutVars>
      </dgm:prSet>
      <dgm:spPr/>
      <dgm:t>
        <a:bodyPr/>
        <a:lstStyle/>
        <a:p>
          <a:endParaRPr lang="ru-RU"/>
        </a:p>
      </dgm:t>
    </dgm:pt>
    <dgm:pt modelId="{5E26DCDB-B476-4039-911E-6BF8132263E2}" type="pres">
      <dgm:prSet presAssocID="{B1C2C437-CAC7-43BD-809E-BF86FEA496F1}" presName="rootConnector3" presStyleLbl="asst1" presStyleIdx="2" presStyleCnt="3"/>
      <dgm:spPr/>
      <dgm:t>
        <a:bodyPr/>
        <a:lstStyle/>
        <a:p>
          <a:endParaRPr lang="ru-RU"/>
        </a:p>
      </dgm:t>
    </dgm:pt>
    <dgm:pt modelId="{9244118B-D42B-4ACF-B8B7-7F9EBAF26E58}" type="pres">
      <dgm:prSet presAssocID="{B1C2C437-CAC7-43BD-809E-BF86FEA496F1}" presName="hierChild6" presStyleCnt="0"/>
      <dgm:spPr/>
    </dgm:pt>
    <dgm:pt modelId="{72D8BC3A-F6C9-4878-95D3-95D454ADAD53}" type="pres">
      <dgm:prSet presAssocID="{377D7003-14D1-4973-BB6F-8BEA8981C634}" presName="Name37" presStyleLbl="parChTrans1D3" presStyleIdx="1" presStyleCnt="2"/>
      <dgm:spPr/>
      <dgm:t>
        <a:bodyPr/>
        <a:lstStyle/>
        <a:p>
          <a:endParaRPr lang="ru-RU"/>
        </a:p>
      </dgm:t>
    </dgm:pt>
    <dgm:pt modelId="{7F0B4CC5-060B-444E-B659-18A6752F0A41}" type="pres">
      <dgm:prSet presAssocID="{ABC2D729-C4DD-4C99-9BE0-5B31DC886003}" presName="hierRoot2" presStyleCnt="0">
        <dgm:presLayoutVars>
          <dgm:hierBranch val="init"/>
        </dgm:presLayoutVars>
      </dgm:prSet>
      <dgm:spPr/>
    </dgm:pt>
    <dgm:pt modelId="{0C2E6161-BD2C-48CE-B6F6-75163D9F12ED}" type="pres">
      <dgm:prSet presAssocID="{ABC2D729-C4DD-4C99-9BE0-5B31DC886003}" presName="rootComposite" presStyleCnt="0"/>
      <dgm:spPr/>
    </dgm:pt>
    <dgm:pt modelId="{B8D5EC34-BB25-4E9D-896F-61A26D5A8CCF}" type="pres">
      <dgm:prSet presAssocID="{ABC2D729-C4DD-4C99-9BE0-5B31DC886003}" presName="rootText" presStyleLbl="node3" presStyleIdx="0" presStyleCnt="1" custScaleX="199189" custScaleY="270530">
        <dgm:presLayoutVars>
          <dgm:chPref val="3"/>
        </dgm:presLayoutVars>
      </dgm:prSet>
      <dgm:spPr/>
      <dgm:t>
        <a:bodyPr/>
        <a:lstStyle/>
        <a:p>
          <a:endParaRPr lang="ru-RU"/>
        </a:p>
      </dgm:t>
    </dgm:pt>
    <dgm:pt modelId="{4CA33750-238C-4879-A6FA-9574BDC8AFD1}" type="pres">
      <dgm:prSet presAssocID="{ABC2D729-C4DD-4C99-9BE0-5B31DC886003}" presName="rootConnector" presStyleLbl="node3" presStyleIdx="0" presStyleCnt="1"/>
      <dgm:spPr/>
      <dgm:t>
        <a:bodyPr/>
        <a:lstStyle/>
        <a:p>
          <a:endParaRPr lang="ru-RU"/>
        </a:p>
      </dgm:t>
    </dgm:pt>
    <dgm:pt modelId="{405089C1-A412-4B1B-8F84-39DE927F9C28}" type="pres">
      <dgm:prSet presAssocID="{ABC2D729-C4DD-4C99-9BE0-5B31DC886003}" presName="hierChild4" presStyleCnt="0"/>
      <dgm:spPr/>
    </dgm:pt>
    <dgm:pt modelId="{E22D5B43-DAD6-4500-8659-3F5B66EE38AE}" type="pres">
      <dgm:prSet presAssocID="{ABC2D729-C4DD-4C99-9BE0-5B31DC886003}" presName="hierChild5" presStyleCnt="0"/>
      <dgm:spPr/>
    </dgm:pt>
    <dgm:pt modelId="{E0DD27DD-7C2C-458E-9167-53D38D154FF3}" type="pres">
      <dgm:prSet presAssocID="{B1C2C437-CAC7-43BD-809E-BF86FEA496F1}" presName="hierChild7" presStyleCnt="0"/>
      <dgm:spPr/>
    </dgm:pt>
  </dgm:ptLst>
  <dgm:cxnLst>
    <dgm:cxn modelId="{8BBA07A7-E511-4081-806C-65EC9C97700F}" type="presOf" srcId="{BC32BD79-BCED-4801-A3FE-ECD7DC4741FD}" destId="{F72EF6E8-A0DD-4E60-811A-FA91D9708F8E}" srcOrd="0" destOrd="0" presId="urn:microsoft.com/office/officeart/2005/8/layout/orgChart1"/>
    <dgm:cxn modelId="{463AE915-C625-4D2D-840A-9CC19676CB8C}" srcId="{B1C2C437-CAC7-43BD-809E-BF86FEA496F1}" destId="{ABC2D729-C4DD-4C99-9BE0-5B31DC886003}" srcOrd="0" destOrd="0" parTransId="{377D7003-14D1-4973-BB6F-8BEA8981C634}" sibTransId="{01EE946C-C7F0-486C-B219-0D0FFF04B8F3}"/>
    <dgm:cxn modelId="{BF0842C3-FC48-4538-ABA7-812F06A72615}" type="presOf" srcId="{377D7003-14D1-4973-BB6F-8BEA8981C634}" destId="{72D8BC3A-F6C9-4878-95D3-95D454ADAD53}" srcOrd="0" destOrd="0" presId="urn:microsoft.com/office/officeart/2005/8/layout/orgChart1"/>
    <dgm:cxn modelId="{33C24C15-30A7-4CCA-8EDC-4FBF9BBD9357}" type="presOf" srcId="{FBFD7C1F-875D-4653-AAFF-550DA9A479A2}" destId="{8262FBA7-1FF0-4B0E-B70C-36038E53D8E7}" srcOrd="1" destOrd="0" presId="urn:microsoft.com/office/officeart/2005/8/layout/orgChart1"/>
    <dgm:cxn modelId="{0C2BD7EF-22AA-4DFB-B495-6E65D294CA6B}" srcId="{B4BF29C8-4482-4515-AB4B-DC72772AD3D0}" destId="{5554B21A-EDE6-490D-89B3-35A0BF9872C1}" srcOrd="0" destOrd="0" parTransId="{40A92384-5EC2-40DB-87F3-EE35F63355ED}" sibTransId="{A72AE7D4-E368-4390-8F6D-1E4979F4F4BB}"/>
    <dgm:cxn modelId="{9BCF8017-1369-4E98-96A3-689815342343}" srcId="{FBFD7C1F-875D-4653-AAFF-550DA9A479A2}" destId="{B1C2C437-CAC7-43BD-809E-BF86FEA496F1}" srcOrd="1" destOrd="0" parTransId="{5C9D0CB1-FA3A-4EBF-B38E-5D76F45ACF51}" sibTransId="{315E6DBC-7676-435F-9789-DF97C2F92EF6}"/>
    <dgm:cxn modelId="{5F5B5985-A93E-4B55-A579-DB37D5C66AEE}" type="presOf" srcId="{40A92384-5EC2-40DB-87F3-EE35F63355ED}" destId="{DFC48962-C26B-4B70-83F5-6CC4B3CC75CD}" srcOrd="0" destOrd="0" presId="urn:microsoft.com/office/officeart/2005/8/layout/orgChart1"/>
    <dgm:cxn modelId="{E8ACBAC9-B427-47FB-AE85-694DBF282C0F}" srcId="{122F8D02-4649-40A2-87DC-A07952DA7531}" destId="{FBFD7C1F-875D-4653-AAFF-550DA9A479A2}" srcOrd="0" destOrd="0" parTransId="{BD033302-8F0E-41E3-BA39-60283A1CD079}" sibTransId="{1413C6A2-4DB7-4D21-AE5A-7B76281CD182}"/>
    <dgm:cxn modelId="{74FBA89B-4534-41C7-A1BC-70508D066C9E}" type="presOf" srcId="{5554B21A-EDE6-490D-89B3-35A0BF9872C1}" destId="{C93462BE-7299-4F4C-A648-1DFB3B0DBF1A}" srcOrd="0" destOrd="0" presId="urn:microsoft.com/office/officeart/2005/8/layout/orgChart1"/>
    <dgm:cxn modelId="{94F4F3D1-1933-4EDA-A189-B8D79FAD48A1}" type="presOf" srcId="{5C9D0CB1-FA3A-4EBF-B38E-5D76F45ACF51}" destId="{8CCE0D9A-C6F0-4997-8226-7DCF0F00A843}" srcOrd="0" destOrd="0" presId="urn:microsoft.com/office/officeart/2005/8/layout/orgChart1"/>
    <dgm:cxn modelId="{52782ACA-C5B3-480B-8E00-98CF21CA85DA}" type="presOf" srcId="{ABC2D729-C4DD-4C99-9BE0-5B31DC886003}" destId="{B8D5EC34-BB25-4E9D-896F-61A26D5A8CCF}" srcOrd="0" destOrd="0" presId="urn:microsoft.com/office/officeart/2005/8/layout/orgChart1"/>
    <dgm:cxn modelId="{8D890450-B4D3-4796-B155-62B5179B7AA6}" srcId="{FBFD7C1F-875D-4653-AAFF-550DA9A479A2}" destId="{B4BF29C8-4482-4515-AB4B-DC72772AD3D0}" srcOrd="0" destOrd="0" parTransId="{BC32BD79-BCED-4801-A3FE-ECD7DC4741FD}" sibTransId="{F6974529-A11F-4B9B-8707-614BC020BF48}"/>
    <dgm:cxn modelId="{6F40CBE5-AFCD-481F-B6B8-ED89EE339566}" type="presOf" srcId="{B1C2C437-CAC7-43BD-809E-BF86FEA496F1}" destId="{5E26DCDB-B476-4039-911E-6BF8132263E2}" srcOrd="1" destOrd="0" presId="urn:microsoft.com/office/officeart/2005/8/layout/orgChart1"/>
    <dgm:cxn modelId="{91EEB06C-8ACA-4A98-BD05-3E63B9B9EB4E}" type="presOf" srcId="{B4BF29C8-4482-4515-AB4B-DC72772AD3D0}" destId="{A114B26F-D1B2-430A-8A57-9FA78F4A99C5}" srcOrd="1" destOrd="0" presId="urn:microsoft.com/office/officeart/2005/8/layout/orgChart1"/>
    <dgm:cxn modelId="{6D978E9F-26DC-46DC-8509-D42861E62F64}" type="presOf" srcId="{FBFD7C1F-875D-4653-AAFF-550DA9A479A2}" destId="{F3682CF7-BD3E-4DFB-B9F0-E431C26F3260}" srcOrd="0" destOrd="0" presId="urn:microsoft.com/office/officeart/2005/8/layout/orgChart1"/>
    <dgm:cxn modelId="{C2AD2716-D5EB-47F2-A514-09D3AD9198D9}" type="presOf" srcId="{ABC2D729-C4DD-4C99-9BE0-5B31DC886003}" destId="{4CA33750-238C-4879-A6FA-9574BDC8AFD1}" srcOrd="1" destOrd="0" presId="urn:microsoft.com/office/officeart/2005/8/layout/orgChart1"/>
    <dgm:cxn modelId="{4BD58BA4-95BF-4620-BC3D-602A24CAF9E6}" type="presOf" srcId="{B1C2C437-CAC7-43BD-809E-BF86FEA496F1}" destId="{143B7F5D-B167-4F89-8CB6-B49DB6B1CA3D}" srcOrd="0" destOrd="0" presId="urn:microsoft.com/office/officeart/2005/8/layout/orgChart1"/>
    <dgm:cxn modelId="{F79B9E81-3F1A-479E-B591-25DFDBBD097A}" type="presOf" srcId="{122F8D02-4649-40A2-87DC-A07952DA7531}" destId="{1B4C573B-A28D-4A66-9189-99D7AD89F22A}" srcOrd="0" destOrd="0" presId="urn:microsoft.com/office/officeart/2005/8/layout/orgChart1"/>
    <dgm:cxn modelId="{21330A37-AE63-4F00-A9AB-0488179FF125}" type="presOf" srcId="{B4BF29C8-4482-4515-AB4B-DC72772AD3D0}" destId="{9ECFEC9D-6B32-4205-942D-212DC496ABFF}" srcOrd="0" destOrd="0" presId="urn:microsoft.com/office/officeart/2005/8/layout/orgChart1"/>
    <dgm:cxn modelId="{AFE51838-2651-4F51-BA8A-2018BB5CB793}" type="presOf" srcId="{5554B21A-EDE6-490D-89B3-35A0BF9872C1}" destId="{2D4A5B3F-529A-4F8A-93A0-3A65D96FE0B8}" srcOrd="1" destOrd="0" presId="urn:microsoft.com/office/officeart/2005/8/layout/orgChart1"/>
    <dgm:cxn modelId="{CB57CB10-0442-4D4F-BCD6-7FB7170E23DC}" type="presParOf" srcId="{1B4C573B-A28D-4A66-9189-99D7AD89F22A}" destId="{93320DE8-D5A7-40A9-ACAC-AA543C820178}" srcOrd="0" destOrd="0" presId="urn:microsoft.com/office/officeart/2005/8/layout/orgChart1"/>
    <dgm:cxn modelId="{0564D699-E76B-4063-9B92-1DF5A1C7EDB8}" type="presParOf" srcId="{93320DE8-D5A7-40A9-ACAC-AA543C820178}" destId="{C60C71F3-D0B8-49D8-BD2F-3AF0B366F571}" srcOrd="0" destOrd="0" presId="urn:microsoft.com/office/officeart/2005/8/layout/orgChart1"/>
    <dgm:cxn modelId="{928D81E2-0149-4D07-8200-031506E98165}" type="presParOf" srcId="{C60C71F3-D0B8-49D8-BD2F-3AF0B366F571}" destId="{F3682CF7-BD3E-4DFB-B9F0-E431C26F3260}" srcOrd="0" destOrd="0" presId="urn:microsoft.com/office/officeart/2005/8/layout/orgChart1"/>
    <dgm:cxn modelId="{9195756C-3DFF-4EB2-A578-85BE917ECD51}" type="presParOf" srcId="{C60C71F3-D0B8-49D8-BD2F-3AF0B366F571}" destId="{8262FBA7-1FF0-4B0E-B70C-36038E53D8E7}" srcOrd="1" destOrd="0" presId="urn:microsoft.com/office/officeart/2005/8/layout/orgChart1"/>
    <dgm:cxn modelId="{3165441C-03ED-4248-A088-838396D317A1}" type="presParOf" srcId="{93320DE8-D5A7-40A9-ACAC-AA543C820178}" destId="{EDDE8078-D66F-4F1A-9ACC-5ECFE9768E5F}" srcOrd="1" destOrd="0" presId="urn:microsoft.com/office/officeart/2005/8/layout/orgChart1"/>
    <dgm:cxn modelId="{3CDD0F48-C252-405C-9184-03877C3BCE61}" type="presParOf" srcId="{93320DE8-D5A7-40A9-ACAC-AA543C820178}" destId="{3446E02F-C675-42D1-AC35-4A3297B8232E}" srcOrd="2" destOrd="0" presId="urn:microsoft.com/office/officeart/2005/8/layout/orgChart1"/>
    <dgm:cxn modelId="{682D7884-9837-436C-BFB1-94E18BE24614}" type="presParOf" srcId="{3446E02F-C675-42D1-AC35-4A3297B8232E}" destId="{F72EF6E8-A0DD-4E60-811A-FA91D9708F8E}" srcOrd="0" destOrd="0" presId="urn:microsoft.com/office/officeart/2005/8/layout/orgChart1"/>
    <dgm:cxn modelId="{33F1D12D-0B32-400B-B21B-8B526152A1E5}" type="presParOf" srcId="{3446E02F-C675-42D1-AC35-4A3297B8232E}" destId="{F63DAFA8-9232-4BD7-A59D-0991F5760831}" srcOrd="1" destOrd="0" presId="urn:microsoft.com/office/officeart/2005/8/layout/orgChart1"/>
    <dgm:cxn modelId="{A8B0833B-E72D-440A-926D-42C428A4E94A}" type="presParOf" srcId="{F63DAFA8-9232-4BD7-A59D-0991F5760831}" destId="{EAC0B430-6915-4FC6-AAB6-E544B7DBF18C}" srcOrd="0" destOrd="0" presId="urn:microsoft.com/office/officeart/2005/8/layout/orgChart1"/>
    <dgm:cxn modelId="{776FBF2C-894C-4A4E-92E8-85645B81D0E1}" type="presParOf" srcId="{EAC0B430-6915-4FC6-AAB6-E544B7DBF18C}" destId="{9ECFEC9D-6B32-4205-942D-212DC496ABFF}" srcOrd="0" destOrd="0" presId="urn:microsoft.com/office/officeart/2005/8/layout/orgChart1"/>
    <dgm:cxn modelId="{0331E67D-4150-4716-811F-64B2AE958690}" type="presParOf" srcId="{EAC0B430-6915-4FC6-AAB6-E544B7DBF18C}" destId="{A114B26F-D1B2-430A-8A57-9FA78F4A99C5}" srcOrd="1" destOrd="0" presId="urn:microsoft.com/office/officeart/2005/8/layout/orgChart1"/>
    <dgm:cxn modelId="{765C09F7-5FC9-4189-967B-CC216863F68F}" type="presParOf" srcId="{F63DAFA8-9232-4BD7-A59D-0991F5760831}" destId="{4AC37C87-0F3A-4D38-BD3A-B54905E203D3}" srcOrd="1" destOrd="0" presId="urn:microsoft.com/office/officeart/2005/8/layout/orgChart1"/>
    <dgm:cxn modelId="{E237EBD7-237A-4734-BF15-C5BD0906B845}" type="presParOf" srcId="{F63DAFA8-9232-4BD7-A59D-0991F5760831}" destId="{3EE577BE-94EA-4679-A00E-E2D5975B0674}" srcOrd="2" destOrd="0" presId="urn:microsoft.com/office/officeart/2005/8/layout/orgChart1"/>
    <dgm:cxn modelId="{1C5ECFD1-BD08-4520-A7F8-67852CEB88CA}" type="presParOf" srcId="{3EE577BE-94EA-4679-A00E-E2D5975B0674}" destId="{DFC48962-C26B-4B70-83F5-6CC4B3CC75CD}" srcOrd="0" destOrd="0" presId="urn:microsoft.com/office/officeart/2005/8/layout/orgChart1"/>
    <dgm:cxn modelId="{9FF21571-EE33-419E-9E17-2E8E59DAC447}" type="presParOf" srcId="{3EE577BE-94EA-4679-A00E-E2D5975B0674}" destId="{6CE528E7-5FF2-49EB-8BF9-9350CF026ECC}" srcOrd="1" destOrd="0" presId="urn:microsoft.com/office/officeart/2005/8/layout/orgChart1"/>
    <dgm:cxn modelId="{8AB7381D-B1B8-4E7F-B43E-A05B744E1F71}" type="presParOf" srcId="{6CE528E7-5FF2-49EB-8BF9-9350CF026ECC}" destId="{189867D7-BDC1-44C5-B45E-A958F99A641F}" srcOrd="0" destOrd="0" presId="urn:microsoft.com/office/officeart/2005/8/layout/orgChart1"/>
    <dgm:cxn modelId="{EE2831CE-CD41-4D49-9458-0480C68EA522}" type="presParOf" srcId="{189867D7-BDC1-44C5-B45E-A958F99A641F}" destId="{C93462BE-7299-4F4C-A648-1DFB3B0DBF1A}" srcOrd="0" destOrd="0" presId="urn:microsoft.com/office/officeart/2005/8/layout/orgChart1"/>
    <dgm:cxn modelId="{8AF1E407-B5BA-4444-B571-5AC7B819DFC3}" type="presParOf" srcId="{189867D7-BDC1-44C5-B45E-A958F99A641F}" destId="{2D4A5B3F-529A-4F8A-93A0-3A65D96FE0B8}" srcOrd="1" destOrd="0" presId="urn:microsoft.com/office/officeart/2005/8/layout/orgChart1"/>
    <dgm:cxn modelId="{A367E2CE-98CB-4F4E-A17E-994FE7D10479}" type="presParOf" srcId="{6CE528E7-5FF2-49EB-8BF9-9350CF026ECC}" destId="{E89CAD2F-17FC-450B-8FF4-21C88E4F6B99}" srcOrd="1" destOrd="0" presId="urn:microsoft.com/office/officeart/2005/8/layout/orgChart1"/>
    <dgm:cxn modelId="{709094DD-607F-4836-9644-FCD9312BE149}" type="presParOf" srcId="{6CE528E7-5FF2-49EB-8BF9-9350CF026ECC}" destId="{79800416-4089-4260-B161-9E63F3DA21E3}" srcOrd="2" destOrd="0" presId="urn:microsoft.com/office/officeart/2005/8/layout/orgChart1"/>
    <dgm:cxn modelId="{9AC00CF6-B46F-49BE-82BD-5909B8D83594}" type="presParOf" srcId="{3446E02F-C675-42D1-AC35-4A3297B8232E}" destId="{8CCE0D9A-C6F0-4997-8226-7DCF0F00A843}" srcOrd="2" destOrd="0" presId="urn:microsoft.com/office/officeart/2005/8/layout/orgChart1"/>
    <dgm:cxn modelId="{C46E26D6-085C-405D-BE11-059B258AB31B}" type="presParOf" srcId="{3446E02F-C675-42D1-AC35-4A3297B8232E}" destId="{447A7346-55D5-4957-922C-54BC2C1F0940}" srcOrd="3" destOrd="0" presId="urn:microsoft.com/office/officeart/2005/8/layout/orgChart1"/>
    <dgm:cxn modelId="{7586DEC0-992F-4EDF-AD2C-A88C6934522C}" type="presParOf" srcId="{447A7346-55D5-4957-922C-54BC2C1F0940}" destId="{FC2F6C31-8515-462B-984E-D27184F9EEDE}" srcOrd="0" destOrd="0" presId="urn:microsoft.com/office/officeart/2005/8/layout/orgChart1"/>
    <dgm:cxn modelId="{0C7B3A2D-F02A-44BB-9C2C-ED157CF3D876}" type="presParOf" srcId="{FC2F6C31-8515-462B-984E-D27184F9EEDE}" destId="{143B7F5D-B167-4F89-8CB6-B49DB6B1CA3D}" srcOrd="0" destOrd="0" presId="urn:microsoft.com/office/officeart/2005/8/layout/orgChart1"/>
    <dgm:cxn modelId="{10E0FFC1-5ED0-4D87-8C53-0247E7B90105}" type="presParOf" srcId="{FC2F6C31-8515-462B-984E-D27184F9EEDE}" destId="{5E26DCDB-B476-4039-911E-6BF8132263E2}" srcOrd="1" destOrd="0" presId="urn:microsoft.com/office/officeart/2005/8/layout/orgChart1"/>
    <dgm:cxn modelId="{04E3CC7C-FEE3-4124-AAFF-535E47CAF964}" type="presParOf" srcId="{447A7346-55D5-4957-922C-54BC2C1F0940}" destId="{9244118B-D42B-4ACF-B8B7-7F9EBAF26E58}" srcOrd="1" destOrd="0" presId="urn:microsoft.com/office/officeart/2005/8/layout/orgChart1"/>
    <dgm:cxn modelId="{5F0A5920-3F33-47F7-9D8B-CE87A9975D7C}" type="presParOf" srcId="{9244118B-D42B-4ACF-B8B7-7F9EBAF26E58}" destId="{72D8BC3A-F6C9-4878-95D3-95D454ADAD53}" srcOrd="0" destOrd="0" presId="urn:microsoft.com/office/officeart/2005/8/layout/orgChart1"/>
    <dgm:cxn modelId="{2808B2F8-46B7-4729-9B2F-DB158C83877D}" type="presParOf" srcId="{9244118B-D42B-4ACF-B8B7-7F9EBAF26E58}" destId="{7F0B4CC5-060B-444E-B659-18A6752F0A41}" srcOrd="1" destOrd="0" presId="urn:microsoft.com/office/officeart/2005/8/layout/orgChart1"/>
    <dgm:cxn modelId="{DA111F88-32D2-4C13-B5B1-F40D6C62CFA5}" type="presParOf" srcId="{7F0B4CC5-060B-444E-B659-18A6752F0A41}" destId="{0C2E6161-BD2C-48CE-B6F6-75163D9F12ED}" srcOrd="0" destOrd="0" presId="urn:microsoft.com/office/officeart/2005/8/layout/orgChart1"/>
    <dgm:cxn modelId="{DDE4CB19-E48C-491A-BD76-1F7C66F770D2}" type="presParOf" srcId="{0C2E6161-BD2C-48CE-B6F6-75163D9F12ED}" destId="{B8D5EC34-BB25-4E9D-896F-61A26D5A8CCF}" srcOrd="0" destOrd="0" presId="urn:microsoft.com/office/officeart/2005/8/layout/orgChart1"/>
    <dgm:cxn modelId="{84A54FF7-4B1C-4602-B4E2-760D90E19290}" type="presParOf" srcId="{0C2E6161-BD2C-48CE-B6F6-75163D9F12ED}" destId="{4CA33750-238C-4879-A6FA-9574BDC8AFD1}" srcOrd="1" destOrd="0" presId="urn:microsoft.com/office/officeart/2005/8/layout/orgChart1"/>
    <dgm:cxn modelId="{259351C1-A1A1-4526-8043-66CC6108A348}" type="presParOf" srcId="{7F0B4CC5-060B-444E-B659-18A6752F0A41}" destId="{405089C1-A412-4B1B-8F84-39DE927F9C28}" srcOrd="1" destOrd="0" presId="urn:microsoft.com/office/officeart/2005/8/layout/orgChart1"/>
    <dgm:cxn modelId="{106A1EEA-FC88-4D1D-BA6B-8001E8FA3DD5}" type="presParOf" srcId="{7F0B4CC5-060B-444E-B659-18A6752F0A41}" destId="{E22D5B43-DAD6-4500-8659-3F5B66EE38AE}" srcOrd="2" destOrd="0" presId="urn:microsoft.com/office/officeart/2005/8/layout/orgChart1"/>
    <dgm:cxn modelId="{3A2B4113-DDBF-4373-9846-A0A5201EE393}" type="presParOf" srcId="{447A7346-55D5-4957-922C-54BC2C1F0940}" destId="{E0DD27DD-7C2C-458E-9167-53D38D154FF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8BC3A-F6C9-4878-95D3-95D454ADAD53}">
      <dsp:nvSpPr>
        <dsp:cNvPr id="0" name=""/>
        <dsp:cNvSpPr/>
      </dsp:nvSpPr>
      <dsp:spPr>
        <a:xfrm>
          <a:off x="2899190" y="1922368"/>
          <a:ext cx="187798" cy="1109667"/>
        </a:xfrm>
        <a:custGeom>
          <a:avLst/>
          <a:gdLst/>
          <a:ahLst/>
          <a:cxnLst/>
          <a:rect l="0" t="0" r="0" b="0"/>
          <a:pathLst>
            <a:path>
              <a:moveTo>
                <a:pt x="0" y="0"/>
              </a:moveTo>
              <a:lnTo>
                <a:pt x="0" y="1109667"/>
              </a:lnTo>
              <a:lnTo>
                <a:pt x="187798" y="1109667"/>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CCE0D9A-C6F0-4997-8226-7DCF0F00A843}">
      <dsp:nvSpPr>
        <dsp:cNvPr id="0" name=""/>
        <dsp:cNvSpPr/>
      </dsp:nvSpPr>
      <dsp:spPr>
        <a:xfrm>
          <a:off x="2141738" y="1033457"/>
          <a:ext cx="131458" cy="575914"/>
        </a:xfrm>
        <a:custGeom>
          <a:avLst/>
          <a:gdLst/>
          <a:ahLst/>
          <a:cxnLst/>
          <a:rect l="0" t="0" r="0" b="0"/>
          <a:pathLst>
            <a:path>
              <a:moveTo>
                <a:pt x="0" y="0"/>
              </a:moveTo>
              <a:lnTo>
                <a:pt x="0" y="575914"/>
              </a:lnTo>
              <a:lnTo>
                <a:pt x="131458" y="575914"/>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FC48962-C26B-4B70-83F5-6CC4B3CC75CD}">
      <dsp:nvSpPr>
        <dsp:cNvPr id="0" name=""/>
        <dsp:cNvSpPr/>
      </dsp:nvSpPr>
      <dsp:spPr>
        <a:xfrm>
          <a:off x="1252827" y="1922368"/>
          <a:ext cx="131458" cy="575914"/>
        </a:xfrm>
        <a:custGeom>
          <a:avLst/>
          <a:gdLst/>
          <a:ahLst/>
          <a:cxnLst/>
          <a:rect l="0" t="0" r="0" b="0"/>
          <a:pathLst>
            <a:path>
              <a:moveTo>
                <a:pt x="131458" y="0"/>
              </a:moveTo>
              <a:lnTo>
                <a:pt x="131458" y="575914"/>
              </a:lnTo>
              <a:lnTo>
                <a:pt x="0" y="575914"/>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72EF6E8-A0DD-4E60-811A-FA91D9708F8E}">
      <dsp:nvSpPr>
        <dsp:cNvPr id="0" name=""/>
        <dsp:cNvSpPr/>
      </dsp:nvSpPr>
      <dsp:spPr>
        <a:xfrm>
          <a:off x="2010279" y="1033457"/>
          <a:ext cx="131458" cy="575914"/>
        </a:xfrm>
        <a:custGeom>
          <a:avLst/>
          <a:gdLst/>
          <a:ahLst/>
          <a:cxnLst/>
          <a:rect l="0" t="0" r="0" b="0"/>
          <a:pathLst>
            <a:path>
              <a:moveTo>
                <a:pt x="131458" y="0"/>
              </a:moveTo>
              <a:lnTo>
                <a:pt x="131458" y="575914"/>
              </a:lnTo>
              <a:lnTo>
                <a:pt x="0" y="575914"/>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3682CF7-BD3E-4DFB-B9F0-E431C26F3260}">
      <dsp:nvSpPr>
        <dsp:cNvPr id="0" name=""/>
        <dsp:cNvSpPr/>
      </dsp:nvSpPr>
      <dsp:spPr>
        <a:xfrm>
          <a:off x="1515744" y="407463"/>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 применению</a:t>
          </a:r>
        </a:p>
      </dsp:txBody>
      <dsp:txXfrm>
        <a:off x="1515744" y="407463"/>
        <a:ext cx="1251987" cy="625993"/>
      </dsp:txXfrm>
    </dsp:sp>
    <dsp:sp modelId="{9ECFEC9D-6B32-4205-942D-212DC496ABFF}">
      <dsp:nvSpPr>
        <dsp:cNvPr id="0" name=""/>
        <dsp:cNvSpPr/>
      </dsp:nvSpPr>
      <dsp:spPr>
        <a:xfrm>
          <a:off x="758292" y="1296374"/>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наружного примения</a:t>
          </a:r>
        </a:p>
      </dsp:txBody>
      <dsp:txXfrm>
        <a:off x="758292" y="1296374"/>
        <a:ext cx="1251987" cy="625993"/>
      </dsp:txXfrm>
    </dsp:sp>
    <dsp:sp modelId="{C93462BE-7299-4F4C-A648-1DFB3B0DBF1A}">
      <dsp:nvSpPr>
        <dsp:cNvPr id="0" name=""/>
        <dsp:cNvSpPr/>
      </dsp:nvSpPr>
      <dsp:spPr>
        <a:xfrm>
          <a:off x="839" y="2185285"/>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Ванны (газовые и минеральные)</a:t>
          </a:r>
        </a:p>
      </dsp:txBody>
      <dsp:txXfrm>
        <a:off x="839" y="2185285"/>
        <a:ext cx="1251987" cy="625993"/>
      </dsp:txXfrm>
    </dsp:sp>
    <dsp:sp modelId="{143B7F5D-B167-4F89-8CB6-B49DB6B1CA3D}">
      <dsp:nvSpPr>
        <dsp:cNvPr id="0" name=""/>
        <dsp:cNvSpPr/>
      </dsp:nvSpPr>
      <dsp:spPr>
        <a:xfrm>
          <a:off x="2273197" y="1296374"/>
          <a:ext cx="1251987" cy="6259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внутреннего примения</a:t>
          </a:r>
        </a:p>
      </dsp:txBody>
      <dsp:txXfrm>
        <a:off x="2273197" y="1296374"/>
        <a:ext cx="1251987" cy="625993"/>
      </dsp:txXfrm>
    </dsp:sp>
    <dsp:sp modelId="{B8D5EC34-BB25-4E9D-896F-61A26D5A8CCF}">
      <dsp:nvSpPr>
        <dsp:cNvPr id="0" name=""/>
        <dsp:cNvSpPr/>
      </dsp:nvSpPr>
      <dsp:spPr>
        <a:xfrm>
          <a:off x="3086988" y="2185285"/>
          <a:ext cx="2493821" cy="16935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-Питьевое лечение</a:t>
          </a:r>
          <a:b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-Промывание желудка</a:t>
          </a:r>
          <a:b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-Дуоденальный дренаж</a:t>
          </a:r>
          <a:b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-Орошение полости рта и десен</a:t>
          </a:r>
          <a:b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-Ингаляции</a:t>
          </a:r>
          <a:b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2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-Вагинальные и ректальные орошения</a:t>
          </a:r>
        </a:p>
      </dsp:txBody>
      <dsp:txXfrm>
        <a:off x="3086988" y="2185285"/>
        <a:ext cx="2493821" cy="16935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2020-05-25T09:15:00Z</dcterms:created>
  <dcterms:modified xsi:type="dcterms:W3CDTF">2020-06-05T09:22:00Z</dcterms:modified>
</cp:coreProperties>
</file>