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49" w:rsidRPr="00B5614C" w:rsidRDefault="00106C49" w:rsidP="00106C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5614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27.04.20 Поражение почек при различных заболеваниях. Поражение почек при сахарном диабете.</w:t>
      </w:r>
    </w:p>
    <w:bookmarkEnd w:id="0"/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Диабетическая нефропатия – поражение почек, которое развивается в рамках обусловленной нарушением углеводного обмена системной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микроваскулопатии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, манифестирует «альбуминурией &gt; 300 мг/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. (протеинурией &gt;500 мг/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), неуклонным снижением функции почек, артериальной гипертонией и характеризуется повышенной кардиоваскулярной заболеваемостью и смертностью.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sz w:val="28"/>
          <w:szCs w:val="28"/>
        </w:rPr>
      </w:pPr>
      <w:r w:rsidRPr="00B5614C">
        <w:rPr>
          <w:rFonts w:ascii="Times New Roman" w:hAnsi="Times New Roman" w:cs="Times New Roman"/>
          <w:b/>
          <w:sz w:val="28"/>
          <w:szCs w:val="28"/>
        </w:rPr>
        <w:t>Патофизиология:</w:t>
      </w:r>
    </w:p>
    <w:p w:rsidR="00106C49" w:rsidRPr="00B5614C" w:rsidRDefault="00106C49" w:rsidP="00106C49">
      <w:pPr>
        <w:spacing w:after="24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Патогенез начинается с патологии мелких сосудов. Сложные патофизиологические процессы включают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гликозилирование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белков, гормонально-индуцированное высвобождение цитокинов (например, трансформирующий ростовой фактор-бета), накопление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мезангиального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матрикса и изменение клубочковой гемодинамики.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Гиперфильтрация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ранняя функциональная патология является только относительным предиктором развития почечной недостаточности.</w:t>
      </w:r>
    </w:p>
    <w:p w:rsidR="00106C49" w:rsidRPr="00B5614C" w:rsidRDefault="00106C49" w:rsidP="00106C49">
      <w:pPr>
        <w:spacing w:after="24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Гипергликемия приводит к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гликозилированию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гломерулярных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белков, что может вызывать пролиферацию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мезангиальных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клеток, увеличение матрикса и повреждение эндотелия сосудов.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Гломерулярная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базальная мембрана обычно утолщается.</w:t>
      </w:r>
    </w:p>
    <w:p w:rsidR="00106C49" w:rsidRPr="00B5614C" w:rsidRDefault="00106C49" w:rsidP="00106C49">
      <w:pPr>
        <w:spacing w:after="24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Поражения диффузионного или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нодулярного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диабетического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гломерулосклероза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характерными; области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нодулярного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гломерулосклероза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рассматриваться как узелки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Киммельстила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-Уилсона. Отмечается выраженный гиалиноз и атеросклероз приносящих и выносящих артериол, могут присутствовать интерстициальный фиброз и атрофия канальцев. Только увеличение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мезангиального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матрикса коррелирует с прогрессированием болезни почек до терминальной стадии.</w:t>
      </w:r>
    </w:p>
    <w:p w:rsidR="00106C49" w:rsidRPr="00B5614C" w:rsidRDefault="00106C49" w:rsidP="00106C49">
      <w:pPr>
        <w:spacing w:after="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 начинается как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гиперфильтрация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клубочков (повышение СКФ); СКФ нормализуется вследствие раннего </w:t>
      </w:r>
      <w:hyperlink r:id="rId5" w:history="1">
        <w:r w:rsidRPr="00B56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повреждения почек</w:t>
        </w:r>
      </w:hyperlink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умеренной </w:t>
      </w:r>
      <w:hyperlink r:id="rId6" w:history="1">
        <w:r w:rsidRPr="00B56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артериальной гипертензии</w:t>
        </w:r>
      </w:hyperlink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со временем ухудшается. Затем развивается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микроальбуминурия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экскреция альбумина с мочой от 30 до 300 мг/день. Обнаружение альбумина в моче в этих концентрациях называется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микроальбуминурией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потому что определение протеинурии тест-полоской при рутинном анализе мочи возможно только при уровне альбумина &gt; 300 мг/день.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Микроальбуминурия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прогрессирует до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макроальбуминурии</w:t>
      </w:r>
      <w:proofErr w:type="spellEnd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(протеинурия &gt; 300 мг/день при переменном течении), обычно в течение многих лет. Нефротический синдром (протеинурия ≥ 3 г/день) предшествует </w:t>
      </w: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терминальной почечной недостаточности на протяжении в среднем 3-5 лет, однако этот срок так же крайне изменчив.</w:t>
      </w:r>
    </w:p>
    <w:p w:rsidR="00106C49" w:rsidRPr="00B5614C" w:rsidRDefault="00106C49" w:rsidP="00106C49">
      <w:pPr>
        <w:spacing w:after="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Среди другой патологии мочевого тракта, часто сочетающейся с ДН и ускоряющей развитие почечной недостаточности, следует отметить папиллярный некроз, почечный тубулярный ацидоз IV типа и </w:t>
      </w:r>
      <w:hyperlink r:id="rId7" w:history="1">
        <w:r w:rsidRPr="00B56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ИМП</w:t>
        </w:r>
      </w:hyperlink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ДН, почки, как правило, нормального размера или увеличены (от &gt; 10 до 12 см в длину).</w:t>
      </w:r>
    </w:p>
    <w:p w:rsidR="00106C49" w:rsidRDefault="00106C49" w:rsidP="00106C49">
      <w:pPr>
        <w:rPr>
          <w:rFonts w:ascii="Times New Roman" w:hAnsi="Times New Roman" w:cs="Times New Roman"/>
          <w:sz w:val="28"/>
          <w:szCs w:val="28"/>
        </w:rPr>
      </w:pPr>
    </w:p>
    <w:p w:rsidR="00106C49" w:rsidRPr="00B5614C" w:rsidRDefault="00106C49" w:rsidP="00106C49">
      <w:pPr>
        <w:rPr>
          <w:rFonts w:ascii="Times New Roman" w:hAnsi="Times New Roman" w:cs="Times New Roman"/>
          <w:b/>
          <w:sz w:val="28"/>
          <w:szCs w:val="28"/>
        </w:rPr>
      </w:pPr>
      <w:r w:rsidRPr="00B5614C">
        <w:rPr>
          <w:rFonts w:ascii="Times New Roman" w:hAnsi="Times New Roman" w:cs="Times New Roman"/>
          <w:b/>
          <w:sz w:val="28"/>
          <w:szCs w:val="28"/>
        </w:rPr>
        <w:t>Клинические проявления</w:t>
      </w:r>
    </w:p>
    <w:p w:rsidR="00106C49" w:rsidRPr="00B5614C" w:rsidRDefault="00106C49" w:rsidP="00106C49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B5614C">
        <w:rPr>
          <w:spacing w:val="2"/>
          <w:sz w:val="28"/>
          <w:szCs w:val="28"/>
        </w:rPr>
        <w:t xml:space="preserve">ДН на ранних стадиях протекает бессимптомно. Самым ранним симптомом, который может привлечь внимание, является </w:t>
      </w:r>
      <w:proofErr w:type="spellStart"/>
      <w:r w:rsidRPr="00B5614C">
        <w:rPr>
          <w:spacing w:val="2"/>
          <w:sz w:val="28"/>
          <w:szCs w:val="28"/>
        </w:rPr>
        <w:t>микроальбуминурия</w:t>
      </w:r>
      <w:proofErr w:type="spellEnd"/>
      <w:r w:rsidRPr="00B5614C">
        <w:rPr>
          <w:spacing w:val="2"/>
          <w:sz w:val="28"/>
          <w:szCs w:val="28"/>
        </w:rPr>
        <w:t xml:space="preserve">. Артериальная гипертензия и некоторые отеки развиваются только у совсем </w:t>
      </w:r>
      <w:proofErr w:type="spellStart"/>
      <w:r w:rsidRPr="00B5614C">
        <w:rPr>
          <w:spacing w:val="2"/>
          <w:sz w:val="28"/>
          <w:szCs w:val="28"/>
        </w:rPr>
        <w:t>нелеченных</w:t>
      </w:r>
      <w:proofErr w:type="spellEnd"/>
      <w:r w:rsidRPr="00B5614C">
        <w:rPr>
          <w:spacing w:val="2"/>
          <w:sz w:val="28"/>
          <w:szCs w:val="28"/>
        </w:rPr>
        <w:t xml:space="preserve"> пациентов.</w:t>
      </w:r>
    </w:p>
    <w:p w:rsidR="00106C49" w:rsidRPr="00B5614C" w:rsidRDefault="00106C49" w:rsidP="00106C49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B5614C">
        <w:rPr>
          <w:spacing w:val="2"/>
          <w:sz w:val="28"/>
          <w:szCs w:val="28"/>
        </w:rPr>
        <w:t>На более поздних стадиях у пациентов могут развиваться такие симптомы, как уремия (проявляющаяся тошнотой, рвотой, отсутствием аппетита), причем гораздо раньше (на фоне более высокой СКФ), чем у пациентов без ДН, возможно в связи с комбинацией поражения органа вследствие наличия сахарного диабета (нефропатия) и почечной недостаточности, что приводит к более тяжелым проявлениям.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sz w:val="28"/>
          <w:szCs w:val="28"/>
        </w:rPr>
      </w:pPr>
      <w:r w:rsidRPr="00B5614C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106C49" w:rsidRPr="00B5614C" w:rsidRDefault="00106C49" w:rsidP="0010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Ежегодный скрининг всех пациентов с сахарным диабетом при помощи исследования соотношения альбумин/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в отдельных порциях мочи</w:t>
      </w:r>
    </w:p>
    <w:p w:rsidR="00106C49" w:rsidRPr="00B5614C" w:rsidRDefault="00106C49" w:rsidP="0010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Анализ мочи для исключения другой почечной патологии (например, гематурии,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эритроцитарных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цилиндров в мочевом осадке)</w:t>
      </w:r>
    </w:p>
    <w:p w:rsidR="00106C49" w:rsidRPr="00B5614C" w:rsidRDefault="00106C49" w:rsidP="00106C49">
      <w:pPr>
        <w:spacing w:after="0" w:line="33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Диагноз можно заподозрить у пациентов с сахарным диабетом и протеинурией, в частности, если у них есть </w:t>
      </w:r>
      <w:hyperlink r:id="rId8" w:history="1">
        <w:r w:rsidRPr="00B56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диабетическая </w:t>
        </w:r>
        <w:proofErr w:type="spellStart"/>
        <w:r w:rsidRPr="00B56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ретинопатия</w:t>
        </w:r>
        <w:proofErr w:type="spellEnd"/>
      </w:hyperlink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(свидетельствующая о микрососудистой патологии) или факторы риска ДН. Необходимо исключить другую патологию почек, если имеются следующие симптомы: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Тяжелая протеинурия при отсутствии длительного анамнеза сахарного диабета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диабетической </w:t>
      </w:r>
      <w:proofErr w:type="spellStart"/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ретинопатии</w:t>
      </w:r>
      <w:proofErr w:type="spellEnd"/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Быстрое начало тяжелой протеинурии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Макроскопический характер гематурии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Количество эритроцитов в мочевом осадке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Быстрое снижение уровня СКФ</w:t>
      </w:r>
    </w:p>
    <w:p w:rsidR="00106C49" w:rsidRPr="00B5614C" w:rsidRDefault="00106C49" w:rsidP="00106C49">
      <w:pPr>
        <w:numPr>
          <w:ilvl w:val="0"/>
          <w:numId w:val="5"/>
        </w:numPr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Малый размер почек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sz w:val="28"/>
          <w:szCs w:val="28"/>
        </w:rPr>
      </w:pPr>
      <w:r w:rsidRPr="00B5614C">
        <w:rPr>
          <w:rFonts w:ascii="Times New Roman" w:hAnsi="Times New Roman" w:cs="Times New Roman"/>
          <w:b/>
          <w:sz w:val="28"/>
          <w:szCs w:val="28"/>
        </w:rPr>
        <w:t>Белок в моче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Исследование мочи на протеинурию у пациентов проводится рутинно; при наличии протеинурии проведение исследования на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бессмысленно, потому что у пациента уже есть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макроальбуминурия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, что предполагает наличие диабетической нефропатии. У пациентов без выявленной протеинурии в анализе мочи соотношение альбумина/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должно рассчитываться на основе образца мочи, полученного после 9 ч утра. Соотношение ≥0,03 мг/мг (≥30 мг/г) указывает на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, если она присутствует хотя бы в 2-х из 3-х измерений в течение 3–6 мес. и не может быть объяснена наличием инфекции или физической нагрузко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Некоторые эксперты рекомендуют измерять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в образце мочи, собранной за сутки, но этот подход менее убедителен, при этом многие пациенты испытывают трудности с аккуратным сбором суточной мочи. Измерение соотношения альбумин/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дает завышенное значение по сравнению с анализом суточной мочи на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у более чем 30% пациентов старше 65 лет из-за снижения уровня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за счет его уменьшенной продукции мышцами. Неточные результаты также можно получить у пациентов с очень развитой мускулатурой или если существенная физическая нагр</w:t>
      </w:r>
      <w:r>
        <w:rPr>
          <w:rFonts w:ascii="Times New Roman" w:hAnsi="Times New Roman" w:cs="Times New Roman"/>
          <w:sz w:val="28"/>
          <w:szCs w:val="28"/>
        </w:rPr>
        <w:t>узка имела место до сбора мочи.</w:t>
      </w:r>
    </w:p>
    <w:p w:rsidR="00106C49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Большинству пациентов с сахарным диабетом, имеющих протеинурию, диагноз устанавливается клинически. Биопсия почек может подтвердить диагноз, но редко в ней есть необходимость.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sz w:val="28"/>
          <w:szCs w:val="28"/>
        </w:rPr>
      </w:pPr>
      <w:r w:rsidRPr="00B5614C">
        <w:rPr>
          <w:rFonts w:ascii="Times New Roman" w:hAnsi="Times New Roman" w:cs="Times New Roman"/>
          <w:b/>
          <w:sz w:val="28"/>
          <w:szCs w:val="28"/>
        </w:rPr>
        <w:t>Скрининг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Пациенты с сахарным диабетом 1-го типа без известного сопутствующего заболевания почек должны проходить скрининг на протеинурию и при отсутствии протеинурии в рутинном анализе мочи, на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, начиная с 5 лет после установления диагноза и не менее 1 раза в год в последующем.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Пациенты с сахарным диабетом 2-го типа должны проходить скрининг на момент установления диагноза и ежегодно впоследствии.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При наличии должного лечения и наблюдения, прогноз благоприятный. На практике оказание такой медицинской помощи часто бывает трудным, и у большинства пациентов постепенно ухудшается функция почек; даже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предгипертензия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(АД 120–139/80–89 мм рт. ст.) или 1 стадия гипертензии (АД 140–159/90–99 мм рт. ст.) могут ускорить развитие повреждений. Наличие системных </w:t>
      </w:r>
      <w:hyperlink r:id="rId9" w:history="1">
        <w:r w:rsidRPr="00B56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атеросклеротических поражений</w:t>
        </w:r>
      </w:hyperlink>
      <w:r w:rsidRPr="00B5614C">
        <w:rPr>
          <w:rFonts w:ascii="Times New Roman" w:hAnsi="Times New Roman" w:cs="Times New Roman"/>
          <w:sz w:val="28"/>
          <w:szCs w:val="28"/>
        </w:rPr>
        <w:t> (инсульта, инфаркта миокарда, заболевания периферических сосудов) повышает риск смертности пациентов.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:rsidR="00106C49" w:rsidRPr="00B5614C" w:rsidRDefault="00106C49" w:rsidP="00106C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Поддержание уровня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гемоглобина (HbA</w:t>
      </w:r>
      <w:r w:rsidRPr="00B5614C">
        <w:rPr>
          <w:rFonts w:ascii="Times New Roman" w:hAnsi="Times New Roman" w:cs="Times New Roman"/>
          <w:sz w:val="28"/>
          <w:szCs w:val="28"/>
          <w:vertAlign w:val="subscript"/>
        </w:rPr>
        <w:t>1c</w:t>
      </w:r>
      <w:r w:rsidRPr="00B5614C">
        <w:rPr>
          <w:rFonts w:ascii="Times New Roman" w:hAnsi="Times New Roman" w:cs="Times New Roman"/>
          <w:sz w:val="28"/>
          <w:szCs w:val="28"/>
        </w:rPr>
        <w:t>) ≤ 7,0</w:t>
      </w:r>
    </w:p>
    <w:p w:rsidR="00106C49" w:rsidRPr="00B5614C" w:rsidRDefault="00106C49" w:rsidP="00106C4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Агрессивный контроль АД, начиная с приема ингибиторов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Контроль уровня глюкозы в крови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Лечение первой линии предполагает строгий контроль уровня глюкозы для поддержания HbA</w:t>
      </w:r>
      <w:r w:rsidRPr="00B5614C">
        <w:rPr>
          <w:rFonts w:ascii="Times New Roman" w:hAnsi="Times New Roman" w:cs="Times New Roman"/>
          <w:sz w:val="28"/>
          <w:szCs w:val="28"/>
          <w:vertAlign w:val="subscript"/>
        </w:rPr>
        <w:t>1c</w:t>
      </w:r>
      <w:r w:rsidRPr="00B5614C">
        <w:rPr>
          <w:rFonts w:ascii="Times New Roman" w:hAnsi="Times New Roman" w:cs="Times New Roman"/>
          <w:sz w:val="28"/>
          <w:szCs w:val="28"/>
        </w:rPr>
        <w:t xml:space="preserve">≤7,0; поддержание нормального уровня гликемии снижает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, но может не задерживать прогрессирование ДН после ее дебюта.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Контроль артериального давления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Контроль глюкозы также должен сочетаться со строгим контролем АД &lt; 130/80 мм рт. ст., также некоторые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експерты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сейчас рекомендуют АД &lt; 140/90 мм рт. ст. Некоторые предполагают, что АТ должно быть от 110 до 120/65 до 80 мм рт. ст., особенно у больных с белковой экскрецией &gt; 1 г/деньки; однако, другие утверждают, что значения АД &lt; 120/85 мм рт. ст. связаны с увеличением сердечно-сосудистой смертности и сердечной недостаточности.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 xml:space="preserve">Ингибирование </w:t>
      </w:r>
      <w:proofErr w:type="spellStart"/>
      <w:r w:rsidRPr="00B5614C">
        <w:rPr>
          <w:rFonts w:ascii="Times New Roman" w:hAnsi="Times New Roman" w:cs="Times New Roman"/>
          <w:b/>
          <w:bCs/>
          <w:sz w:val="28"/>
          <w:szCs w:val="28"/>
        </w:rPr>
        <w:t>ангиотензина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 – это терапия первой линии. Таким образом, ингибиторы АПФ или блокаторы АР II являются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антигипертензивными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препаратами выбора; они уменьшают АД и протеинурию и замедляют прогрессирование ДН. Ингибиторы АПФ обычно стоят дешевле, а блокаторы АР II можно использовать вместо ингибиторов АПФ в тех случаях, когда последние вызывают стойкий кашель. Лечение должно начинаться, когда выявляется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микроальбуминурия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, в независимости от того, есть ли </w:t>
      </w:r>
      <w:r w:rsidRPr="00B5614C">
        <w:rPr>
          <w:rFonts w:ascii="Times New Roman" w:hAnsi="Times New Roman" w:cs="Times New Roman"/>
          <w:sz w:val="28"/>
          <w:szCs w:val="28"/>
        </w:rPr>
        <w:lastRenderedPageBreak/>
        <w:t>артериальная гипертензия; некоторые эксперты рекомендуют использование лекарств до клинических проявлений заболевания почек.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Диуретики</w:t>
      </w:r>
      <w:r w:rsidRPr="00B5614C">
        <w:rPr>
          <w:rFonts w:ascii="Times New Roman" w:hAnsi="Times New Roman" w:cs="Times New Roman"/>
          <w:sz w:val="28"/>
          <w:szCs w:val="28"/>
        </w:rPr>
        <w:t xml:space="preserve"> требуются большинству пациентов в дополнение к ингибированию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для достижения целевых уровней АД. Необходимо уменьшить дозу, если развиваются симптомы ортостатической гипотензии или уровень сывороточного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повышается более чем на 30%.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614C">
        <w:rPr>
          <w:rFonts w:ascii="Times New Roman" w:hAnsi="Times New Roman" w:cs="Times New Roman"/>
          <w:b/>
          <w:bCs/>
          <w:sz w:val="28"/>
          <w:szCs w:val="28"/>
        </w:rPr>
        <w:t>Негидропиридиновые</w:t>
      </w:r>
      <w:proofErr w:type="spellEnd"/>
      <w:r w:rsidRPr="00B5614C">
        <w:rPr>
          <w:rFonts w:ascii="Times New Roman" w:hAnsi="Times New Roman" w:cs="Times New Roman"/>
          <w:b/>
          <w:bCs/>
          <w:sz w:val="28"/>
          <w:szCs w:val="28"/>
        </w:rPr>
        <w:t xml:space="preserve"> блокаторы кальциевых каналов</w:t>
      </w:r>
      <w:r w:rsidRPr="00B561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) обладают также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антипротеинурическими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ренопротекторными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свойствами и представляют собой обоснованную альтернативу для пациентов с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гиперкалиемией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или другими противопоказаниями к приему ингибиторов АПФ или блокаторов рецепторов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В отличие от этого,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дигидропиридиновые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блокаторы кальциевых каналов (например,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фелодипин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) не снижают протеинурию, несмотря на то, что они являются полезным дополнением для контроля кровяного давления и могут являться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кардиозащитными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в комбинации с ингибиторами АПФ. Ингибиторы АПФ и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недигидропиридиновые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блокаторы кальциевых каналов обладают большим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антипротеинурическим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ренопротективным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эффектом при совместном применении, а их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антипротеинурический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эффект усиливается ограничением потребления натрия. Следует с осторожностью применять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недигидропиридиновые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блокаторы кальциевых каналов совместно с бета-блокаторами из-за потенциального риска ухудшения брадикардии.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614C">
        <w:rPr>
          <w:rFonts w:ascii="Times New Roman" w:hAnsi="Times New Roman" w:cs="Times New Roman"/>
          <w:b/>
          <w:bCs/>
          <w:sz w:val="28"/>
          <w:szCs w:val="28"/>
        </w:rPr>
        <w:t>Дислипидемия</w:t>
      </w:r>
      <w:proofErr w:type="spellEnd"/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Дислипидемию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также следует лечить.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614C">
        <w:rPr>
          <w:rFonts w:ascii="Times New Roman" w:hAnsi="Times New Roman" w:cs="Times New Roman"/>
          <w:b/>
          <w:bCs/>
          <w:sz w:val="28"/>
          <w:szCs w:val="28"/>
        </w:rPr>
        <w:t>Статины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 следует использовать в качестве терапии первой линии для лечения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у пациентов с ДН, так как они снижают риск смерти от сердечно-сосудистых заболеваний и содержания белка в моче.</w:t>
      </w:r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Другие варианты лечения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Ограничение белка в питании</w:t>
      </w:r>
      <w:r w:rsidRPr="00B5614C">
        <w:rPr>
          <w:rFonts w:ascii="Times New Roman" w:hAnsi="Times New Roman" w:cs="Times New Roman"/>
          <w:sz w:val="28"/>
          <w:szCs w:val="28"/>
        </w:rPr>
        <w:t xml:space="preserve"> привело к получению разных результатов. Американская ассоциация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диабетологов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рекомендует лицам с сахарным диабетом и клинически выраженной нефропатией ограничивать употребление белка до 0,8-1,2 г/кг массы тела в день. Не рекомендуется значительно ограничение употребления белка.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Добавки витамина D,</w:t>
      </w:r>
      <w:r w:rsidRPr="00B5614C">
        <w:rPr>
          <w:rFonts w:ascii="Times New Roman" w:hAnsi="Times New Roman" w:cs="Times New Roman"/>
          <w:sz w:val="28"/>
          <w:szCs w:val="28"/>
        </w:rPr>
        <w:t xml:space="preserve"> как правило, с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холекальциферолом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(витамин D</w:t>
      </w:r>
      <w:r w:rsidRPr="00B561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614C">
        <w:rPr>
          <w:rFonts w:ascii="Times New Roman" w:hAnsi="Times New Roman" w:cs="Times New Roman"/>
          <w:sz w:val="28"/>
          <w:szCs w:val="28"/>
        </w:rPr>
        <w:t>).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Бикарбонат натрия</w:t>
      </w:r>
      <w:r w:rsidRPr="00B5614C">
        <w:rPr>
          <w:rFonts w:ascii="Times New Roman" w:hAnsi="Times New Roman" w:cs="Times New Roman"/>
          <w:sz w:val="28"/>
          <w:szCs w:val="28"/>
        </w:rPr>
        <w:t> назначен для поддержания концентрации сывороточного бикарбоната &gt; 22 мг-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>/л, может замедлить прогрессирование заболевания у пациентов с хронической болезнью почек и метаболическим ацидозом.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Лечение отеков</w:t>
      </w:r>
      <w:r w:rsidRPr="00B5614C">
        <w:rPr>
          <w:rFonts w:ascii="Times New Roman" w:hAnsi="Times New Roman" w:cs="Times New Roman"/>
          <w:sz w:val="28"/>
          <w:szCs w:val="28"/>
        </w:rPr>
        <w:t> может включать в себя следующее:</w:t>
      </w:r>
    </w:p>
    <w:p w:rsidR="00106C49" w:rsidRPr="00B5614C" w:rsidRDefault="00106C49" w:rsidP="00106C4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Диетическое ограничение натрия (например, &lt; 2 г/день)</w:t>
      </w:r>
    </w:p>
    <w:p w:rsidR="00106C49" w:rsidRPr="00B5614C" w:rsidRDefault="00106C49" w:rsidP="00106C4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>Ограничение жидкости</w:t>
      </w:r>
    </w:p>
    <w:p w:rsidR="00106C49" w:rsidRPr="00B5614C" w:rsidRDefault="00106C49" w:rsidP="00106C4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614C">
        <w:rPr>
          <w:rFonts w:ascii="Times New Roman" w:hAnsi="Times New Roman" w:cs="Times New Roman"/>
          <w:sz w:val="28"/>
          <w:szCs w:val="28"/>
        </w:rPr>
        <w:t xml:space="preserve">Петлевые диуретики, при необходимости, с тщательным титрованием, чтобы избежать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</w:p>
    <w:p w:rsidR="00106C49" w:rsidRPr="00B5614C" w:rsidRDefault="00106C49" w:rsidP="00106C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14C">
        <w:rPr>
          <w:rFonts w:ascii="Times New Roman" w:hAnsi="Times New Roman" w:cs="Times New Roman"/>
          <w:b/>
          <w:bCs/>
          <w:sz w:val="28"/>
          <w:szCs w:val="28"/>
        </w:rPr>
        <w:t>Трансплантация почки</w:t>
      </w:r>
    </w:p>
    <w:p w:rsidR="00106C49" w:rsidRPr="00B5614C" w:rsidRDefault="00106C49" w:rsidP="00106C4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5614C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Трансплантация почки</w:t>
        </w:r>
      </w:hyperlink>
      <w:r w:rsidRPr="00B5614C">
        <w:rPr>
          <w:rFonts w:ascii="Times New Roman" w:hAnsi="Times New Roman" w:cs="Times New Roman"/>
          <w:sz w:val="28"/>
          <w:szCs w:val="28"/>
        </w:rPr>
        <w:t>, изолированная или с одновременной или последующей </w:t>
      </w:r>
      <w:hyperlink r:id="rId11" w:history="1">
        <w:r w:rsidRPr="00B56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трансплантацией поджелудочной железы</w:t>
        </w:r>
      </w:hyperlink>
      <w:r w:rsidRPr="00B5614C">
        <w:rPr>
          <w:rFonts w:ascii="Times New Roman" w:hAnsi="Times New Roman" w:cs="Times New Roman"/>
          <w:sz w:val="28"/>
          <w:szCs w:val="28"/>
        </w:rPr>
        <w:t xml:space="preserve">, является методом выбора для пациентов с терминальной стадией почечной недостаточности. Пятилетняя выживаемость пациентов с сахарным диабетом 2-го типа после трансплантации почки составляет почти 60%, по сравнению с 2% у пациентов, находящихся на диализной терапии, которым не была выполнена трансплантация (хотя возможно, что эти результаты получены на неоднородных группах пациентов). Двухлетняя выживаемость почечного </w:t>
      </w:r>
      <w:proofErr w:type="spellStart"/>
      <w:r w:rsidRPr="00B5614C">
        <w:rPr>
          <w:rFonts w:ascii="Times New Roman" w:hAnsi="Times New Roman" w:cs="Times New Roman"/>
          <w:sz w:val="28"/>
          <w:szCs w:val="28"/>
        </w:rPr>
        <w:t>аллотрансплантата</w:t>
      </w:r>
      <w:proofErr w:type="spellEnd"/>
      <w:r w:rsidRPr="00B5614C">
        <w:rPr>
          <w:rFonts w:ascii="Times New Roman" w:hAnsi="Times New Roman" w:cs="Times New Roman"/>
          <w:sz w:val="28"/>
          <w:szCs w:val="28"/>
        </w:rPr>
        <w:t xml:space="preserve"> составляет более 85%.</w:t>
      </w:r>
    </w:p>
    <w:p w:rsidR="000C1EDC" w:rsidRPr="00106C49" w:rsidRDefault="00106C49" w:rsidP="00106C49"/>
    <w:sectPr w:rsidR="000C1EDC" w:rsidRPr="0010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5A7"/>
    <w:multiLevelType w:val="hybridMultilevel"/>
    <w:tmpl w:val="EA7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2A50"/>
    <w:multiLevelType w:val="multilevel"/>
    <w:tmpl w:val="F9A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C6739"/>
    <w:multiLevelType w:val="multilevel"/>
    <w:tmpl w:val="9D5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917"/>
    <w:multiLevelType w:val="multilevel"/>
    <w:tmpl w:val="5FA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21DEF"/>
    <w:multiLevelType w:val="hybridMultilevel"/>
    <w:tmpl w:val="2FA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77"/>
    <w:multiLevelType w:val="multilevel"/>
    <w:tmpl w:val="EAC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E2FE2"/>
    <w:multiLevelType w:val="hybridMultilevel"/>
    <w:tmpl w:val="693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B"/>
    <w:rsid w:val="000D1B54"/>
    <w:rsid w:val="00106C49"/>
    <w:rsid w:val="00180AB0"/>
    <w:rsid w:val="00331C8C"/>
    <w:rsid w:val="00603C52"/>
    <w:rsid w:val="009170A9"/>
    <w:rsid w:val="00B12ECA"/>
    <w:rsid w:val="00D26A9B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6CE3-085E-4F88-ADB7-CB7CA2D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96"/>
    <w:rPr>
      <w:b/>
      <w:bCs/>
    </w:rPr>
  </w:style>
  <w:style w:type="character" w:styleId="a5">
    <w:name w:val="Emphasis"/>
    <w:basedOn w:val="a0"/>
    <w:uiPriority w:val="20"/>
    <w:qFormat/>
    <w:rsid w:val="00EA5996"/>
    <w:rPr>
      <w:i/>
      <w:iCs/>
    </w:rPr>
  </w:style>
  <w:style w:type="paragraph" w:styleId="a6">
    <w:name w:val="List Paragraph"/>
    <w:basedOn w:val="a"/>
    <w:uiPriority w:val="34"/>
    <w:qFormat/>
    <w:rsid w:val="00603C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F%D1%80%D0%BE%D1%84%D0%B5%D1%81%D1%81%D0%B8%D0%BE%D0%BD%D0%B0%D0%BB%D1%8C%D0%BD%D1%8B%D0%B9/%D0%B7%D0%B0%D0%B1%D0%BE%D0%BB%D0%B5%D0%B2%D0%B0%D0%BD%D0%B8%D1%8F-%D0%B3%D0%BB%D0%B0%D0%B7/%D0%B7%D0%B0%D0%B1%D0%BE%D0%BB%D0%B5%D0%B2%D0%B0%D0%BD%D0%B8%D1%8F-%D1%81%D0%B5%D1%82%D1%87%D0%B0%D1%82%D0%BA%D0%B8/%D0%B4%D0%B8%D0%B0%D0%B1%D0%B5%D1%82%D0%B8%D1%87%D0%B5%D1%81%D0%BA%D0%B0%D1%8F-%D1%80%D0%B5%D1%82%D0%B8%D0%BD%D0%BE%D0%BF%D0%B0%D1%82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%D0%BF%D1%80%D0%BE%D1%84%D0%B5%D1%81%D1%81%D0%B8%D0%BE%D0%BD%D0%B0%D0%BB%D1%8C%D0%BD%D1%8B%D0%B9/%D0%BF%D0%B0%D1%82%D0%BE%D0%BB%D0%BE%D0%B3%D0%B8%D1%8F-%D0%BC%D0%BE%D1%87%D0%B5%D0%BF%D0%BE%D0%BB%D0%BE%D0%B2%D0%BE%D0%B9-%D1%81%D0%B8%D1%81%D1%82%D0%B5%D0%BC%D1%8B/%D0%B8%D0%BD%D1%84%D0%B5%D0%BA%D1%86%D0%B8%D0%B8-%D0%BC%D0%BE%D1%87%D0%B5%D0%B2%D1%8B%D0%B2%D0%BE%D0%B4%D1%8F%D1%89%D0%B8%D1%85-%D0%BF%D1%83%D1%82%D0%B5%D0%B9-%D0%B8%D0%BC%D0%BF/%D0%B8%D0%BD%D1%84%D0%B5%D0%BA%D1%86%D0%B8%D0%B8-%D0%BC%D0%BE%D1%87%D0%B5%D0%B2%D1%8B%D0%B2%D0%BE%D0%B4%D1%8F%D1%89%D0%B8%D1%85-%D0%BF%D1%83%D1%82%D0%B5%D0%B9-%D0%B8%D0%BC%D0%BF-%D0%B2%D0%B2%D0%B5%D0%B4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0%D1%80%D1%82%D0%B5%D1%80%D0%B8%D0%B0%D0%BB%D1%8C%D0%BD%D0%B0%D1%8F-%D0%B3%D0%B8%D0%BF%D0%B5%D1%80%D1%82%D0%B5%D0%BD%D0%B7%D0%B8%D1%8F/%D0%BE%D0%B1%D0%B7%D0%BE%D1%80-%D0%B3%D0%B8%D0%BF%D0%B5%D1%80%D1%82%D0%BE%D0%BD%D0%B8%D0%B8-overview-of-hypertension" TargetMode="External"/><Relationship Id="rId11" Type="http://schemas.openxmlformats.org/officeDocument/2006/relationships/hyperlink" Target="https://www.msdmanuals.com/ru/%D0%BF%D1%80%D0%BE%D1%84%D0%B5%D1%81%D1%81%D0%B8%D0%BE%D0%BD%D0%B0%D0%BB%D1%8C%D0%BD%D1%8B%D0%B9/%D0%B8%D0%BC%D0%BC%D1%83%D0%BD%D0%BE%D0%BB%D0%BE%D0%B3%D0%B8%D1%8F-%D0%B0%D0%BB%D0%BB%D0%B5%D1%80%D0%B3%D0%B8%D1%87%D0%B5%D1%81%D0%BA%D0%B8%D0%B5-%D1%80%D0%B0%D1%81%D1%81%D1%82%D1%80%D0%BE%D0%B9%D1%81%D1%82%D0%B2%D0%B0/%D1%82%D1%80%D0%B0%D0%BD%D1%81%D0%BF%D0%BB%D0%B0%D0%BD%D1%82%D0%B0%D1%86%D0%B8%D1%8F/%D1%82%D1%80%D0%B0%D0%BD%D1%81%D0%BF%D0%BB%D0%B0%D0%BD%D1%82%D0%B0%D1%86%D0%B8%D1%8F-%D0%BF%D0%BE%D0%B4%D0%B6%D0%B5%D0%BB%D1%83%D0%B4%D0%BE%D1%87%D0%BD%D0%BE%D0%B9-%D0%B6%D0%B5%D0%BB%D0%B5%D0%B7%D1%8B" TargetMode="External"/><Relationship Id="rId5" Type="http://schemas.openxmlformats.org/officeDocument/2006/relationships/hyperlink" Target="https://www.msdmanuals.com/ru/%D0%BF%D1%80%D0%BE%D1%84%D0%B5%D1%81%D1%81%D0%B8%D0%BE%D0%BD%D0%B0%D0%BB%D1%8C%D0%BD%D1%8B%D0%B9/%D0%BF%D0%B0%D1%82%D0%BE%D0%BB%D0%BE%D0%B3%D0%B8%D1%8F-%D0%BC%D0%BE%D1%87%D0%B5%D0%BF%D0%BE%D0%BB%D0%BE%D0%B2%D0%BE%D0%B9-%D1%81%D0%B8%D1%81%D1%82%D0%B5%D0%BC%D1%8B/%D0%BE%D1%81%D1%82%D1%80%D0%BE%D0%B5-%D0%BF%D0%BE%D0%B2%D1%80%D0%B5%D0%B6%D0%B4%D0%B5%D0%BD%D0%B8%D0%B5-%D0%BF%D0%BE%D1%87%D0%B5%D0%BA/%D0%BE%D1%81%D1%82%D1%80%D0%BE%D0%B5-%D0%BF%D0%BE%D0%B2%D1%80%D0%B5%D0%B6%D0%B4%D0%B5%D0%BD%D0%B8%D0%B5-%D0%BF%D0%BE%D1%87%D0%B5%D0%BA-%D0%BE%D0%BF%D0%BF" TargetMode="External"/><Relationship Id="rId10" Type="http://schemas.openxmlformats.org/officeDocument/2006/relationships/hyperlink" Target="https://www.msdmanuals.com/ru/%D0%BF%D1%80%D0%BE%D1%84%D0%B5%D1%81%D1%81%D0%B8%D0%BE%D0%BD%D0%B0%D0%BB%D1%8C%D0%BD%D1%8B%D0%B9/%D0%B8%D0%BC%D0%BC%D1%83%D0%BD%D0%BE%D0%BB%D0%BE%D0%B3%D0%B8%D1%8F-%D0%B0%D0%BB%D0%BB%D0%B5%D1%80%D0%B3%D0%B8%D1%87%D0%B5%D1%81%D0%BA%D0%B8%D0%B5-%D1%80%D0%B0%D1%81%D1%81%D1%82%D1%80%D0%BE%D0%B9%D1%81%D1%82%D0%B2%D0%B0/%D1%82%D1%80%D0%B0%D0%BD%D1%81%D0%BF%D0%BB%D0%B0%D0%BD%D1%82%D0%B0%D1%86%D0%B8%D1%8F/%D1%82%D1%80%D0%B0%D0%BD%D1%81%D0%BF%D0%BB%D0%B0%D0%BD%D1%82%D0%B0%D1%86%D0%B8%D1%8F-%D0%BF%D0%BE%D1%87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0%D1%80%D1%82%D0%B5%D1%80%D0%B8%D0%BE%D1%81%D0%BA%D0%BB%D0%B5%D1%80%D0%BE%D0%B7/%D0%B0%D1%82%D0%B5%D1%80%D0%BE%D1%81%D0%BA%D0%BB%D0%B5%D1%80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2222</Words>
  <Characters>12667</Characters>
  <Application>Microsoft Office Word</Application>
  <DocSecurity>0</DocSecurity>
  <Lines>105</Lines>
  <Paragraphs>29</Paragraphs>
  <ScaleCrop>false</ScaleCrop>
  <Company>diakov.net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Владислав Васильевич</dc:creator>
  <cp:keywords/>
  <dc:description/>
  <cp:lastModifiedBy>Галанин Владислав Васильевич</cp:lastModifiedBy>
  <cp:revision>7</cp:revision>
  <dcterms:created xsi:type="dcterms:W3CDTF">2020-05-01T08:12:00Z</dcterms:created>
  <dcterms:modified xsi:type="dcterms:W3CDTF">2020-05-01T08:51:00Z</dcterms:modified>
</cp:coreProperties>
</file>