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9D" w:rsidRDefault="001F107A">
      <w:pPr>
        <w:rPr>
          <w:rFonts w:ascii="Times New Roman" w:hAnsi="Times New Roman" w:cs="Times New Roman"/>
          <w:b/>
          <w:sz w:val="28"/>
          <w:szCs w:val="28"/>
        </w:rPr>
      </w:pPr>
      <w:r w:rsidRPr="001F107A">
        <w:rPr>
          <w:rFonts w:ascii="Times New Roman" w:hAnsi="Times New Roman" w:cs="Times New Roman"/>
          <w:b/>
          <w:sz w:val="28"/>
          <w:szCs w:val="28"/>
        </w:rPr>
        <w:t>Вопросы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</w:t>
      </w:r>
      <w:r w:rsidRPr="001F107A">
        <w:rPr>
          <w:rFonts w:ascii="Times New Roman" w:hAnsi="Times New Roman" w:cs="Times New Roman"/>
          <w:b/>
          <w:sz w:val="28"/>
          <w:szCs w:val="28"/>
        </w:rPr>
        <w:t xml:space="preserve"> аттестации ординаторов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F107A">
        <w:rPr>
          <w:rFonts w:ascii="Times New Roman" w:hAnsi="Times New Roman" w:cs="Times New Roman"/>
          <w:b/>
          <w:sz w:val="28"/>
          <w:szCs w:val="28"/>
        </w:rPr>
        <w:t xml:space="preserve"> по практическим навыкам</w:t>
      </w:r>
    </w:p>
    <w:p w:rsidR="001F107A" w:rsidRPr="001F107A" w:rsidRDefault="001F107A">
      <w:pPr>
        <w:rPr>
          <w:rFonts w:ascii="Times New Roman" w:hAnsi="Times New Roman" w:cs="Times New Roman"/>
          <w:b/>
          <w:sz w:val="28"/>
          <w:szCs w:val="28"/>
        </w:rPr>
      </w:pPr>
      <w:r w:rsidRPr="001F107A">
        <w:rPr>
          <w:rFonts w:ascii="Times New Roman" w:hAnsi="Times New Roman" w:cs="Times New Roman"/>
          <w:b/>
          <w:sz w:val="28"/>
          <w:szCs w:val="28"/>
        </w:rPr>
        <w:t xml:space="preserve">Для ординаторов 1- </w:t>
      </w:r>
      <w:proofErr w:type="gramStart"/>
      <w:r w:rsidRPr="001F107A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1F107A">
        <w:rPr>
          <w:rFonts w:ascii="Times New Roman" w:hAnsi="Times New Roman" w:cs="Times New Roman"/>
          <w:b/>
          <w:sz w:val="28"/>
          <w:szCs w:val="28"/>
        </w:rPr>
        <w:t xml:space="preserve"> года – 1- 16 вопросы</w:t>
      </w:r>
    </w:p>
    <w:p w:rsidR="001F107A" w:rsidRDefault="001F107A">
      <w:pPr>
        <w:rPr>
          <w:rFonts w:ascii="Times New Roman" w:hAnsi="Times New Roman" w:cs="Times New Roman"/>
          <w:b/>
          <w:sz w:val="28"/>
          <w:szCs w:val="28"/>
        </w:rPr>
      </w:pPr>
      <w:r w:rsidRPr="001F107A">
        <w:rPr>
          <w:rFonts w:ascii="Times New Roman" w:hAnsi="Times New Roman" w:cs="Times New Roman"/>
          <w:b/>
          <w:sz w:val="28"/>
          <w:szCs w:val="28"/>
        </w:rPr>
        <w:t>Для ординаторов 2- ого года – 1- 30 вопросы</w:t>
      </w:r>
      <w:bookmarkStart w:id="0" w:name="_GoBack"/>
      <w:bookmarkEnd w:id="0"/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больного. История болезни (для каждого ординатора).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2. Определение симптома проваливания зонда.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3. Микроскопическое исследование  чешуек, волос, гладкой кожи и ногтей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на патогенные грибы.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4. Пальпация кожи.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Витропрессия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>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5. Осмотреть больного в лучах лампы Вуда, оценить результаты свечения.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6. Проба с настойкой йода (проба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Бальзера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>).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7. Обнаружение чесоточного клеща.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8. Обнаружение клеща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Demodex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folliculorum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>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9. Воспроизвести феномен П.В. Никольского.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10. Воспроизвести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псориатические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феномены.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11. Воспроизвести феномен «яблочного желе».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12. Проба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Ядассона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>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13. Исследование на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акантолитические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клетки.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14. Симптом сломанного дамского каблука.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15.Исследовать тактильную, болевую, тепловую и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холодовую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чувствительность кожи.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16. Определение дермографизма.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17. Взятие материала для исследования на трихомонады. 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18. Взятие материала для исследования на хламидии.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19. Взятие мазка из мочеиспускательного канала.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20.Микроскопическое исследование бледной трепонемы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lastRenderedPageBreak/>
        <w:t>в темном поле зрения.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21. Исследование трихомонад в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мазке.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22.Осмотр половых органов у мужчин.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23. Осмотр половых органов у женщин.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24. Осмотр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аногенитальной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25. Правила получения клинического материала для идентификации возбудителей инфекций, передаваемые половым путем.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26. Методы лабораторных исследований для верификации диагноза гонококковой инфекции у взрослых и детей.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27. Методы лабораторных исследований для верификации диагноза урогенитального трихомониаза  у взрослых и детей.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 xml:space="preserve">28. Методы лабораторных исследований для верификации диагноза </w:t>
      </w:r>
      <w:proofErr w:type="spellStart"/>
      <w:r w:rsidRPr="001F107A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1F107A">
        <w:rPr>
          <w:rFonts w:ascii="Times New Roman" w:hAnsi="Times New Roman" w:cs="Times New Roman"/>
          <w:sz w:val="28"/>
          <w:szCs w:val="28"/>
        </w:rPr>
        <w:t xml:space="preserve"> инфекции  у взрослых и детей.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29. Пальпация твердого шанкра.</w:t>
      </w:r>
    </w:p>
    <w:p w:rsidR="001F107A" w:rsidRPr="001F107A" w:rsidRDefault="001F107A" w:rsidP="001F107A">
      <w:pPr>
        <w:rPr>
          <w:rFonts w:ascii="Times New Roman" w:hAnsi="Times New Roman" w:cs="Times New Roman"/>
          <w:sz w:val="28"/>
          <w:szCs w:val="28"/>
        </w:rPr>
      </w:pPr>
      <w:r w:rsidRPr="001F107A">
        <w:rPr>
          <w:rFonts w:ascii="Times New Roman" w:hAnsi="Times New Roman" w:cs="Times New Roman"/>
          <w:sz w:val="28"/>
          <w:szCs w:val="28"/>
        </w:rPr>
        <w:t>30. Методы лабораторных исследований для верификации диагноза урогенитального кандидоза  у взрослых и детей.</w:t>
      </w:r>
    </w:p>
    <w:p w:rsidR="001F107A" w:rsidRPr="001F107A" w:rsidRDefault="001F107A">
      <w:pPr>
        <w:rPr>
          <w:rFonts w:ascii="Times New Roman" w:hAnsi="Times New Roman" w:cs="Times New Roman"/>
          <w:b/>
          <w:sz w:val="28"/>
          <w:szCs w:val="28"/>
        </w:rPr>
      </w:pPr>
    </w:p>
    <w:sectPr w:rsidR="001F107A" w:rsidRPr="001F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F1"/>
    <w:rsid w:val="001F107A"/>
    <w:rsid w:val="004F489D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Company>DNS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2020-02-19T02:23:00Z</dcterms:created>
  <dcterms:modified xsi:type="dcterms:W3CDTF">2020-02-19T02:30:00Z</dcterms:modified>
</cp:coreProperties>
</file>