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B" w:rsidRDefault="00B758CB" w:rsidP="00B758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color w:val="000000"/>
          <w:sz w:val="27"/>
          <w:szCs w:val="27"/>
        </w:rPr>
        <w:t>Войно-Ясенецкого</w:t>
      </w:r>
      <w:proofErr w:type="spellEnd"/>
      <w:r>
        <w:rPr>
          <w:color w:val="000000"/>
          <w:sz w:val="27"/>
          <w:szCs w:val="27"/>
        </w:rPr>
        <w:t>»</w:t>
      </w:r>
    </w:p>
    <w:p w:rsidR="00B758CB" w:rsidRDefault="00B758CB" w:rsidP="00B758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Министерства Российской Федерации</w:t>
      </w:r>
    </w:p>
    <w:p w:rsidR="00B758CB" w:rsidRDefault="00B758CB" w:rsidP="00B758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внутренних болезней №2 с курсом ПО.</w:t>
      </w: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Pr="00CF2FCA" w:rsidRDefault="00B758CB" w:rsidP="00B758CB">
      <w:pPr>
        <w:jc w:val="right"/>
        <w:rPr>
          <w:rFonts w:ascii="Times New Roman" w:hAnsi="Times New Roman" w:cs="Times New Roman"/>
          <w:sz w:val="27"/>
          <w:szCs w:val="27"/>
        </w:rPr>
      </w:pPr>
      <w:r w:rsidRPr="00CF2FCA">
        <w:rPr>
          <w:rFonts w:ascii="Times New Roman" w:hAnsi="Times New Roman" w:cs="Times New Roman"/>
          <w:sz w:val="27"/>
          <w:szCs w:val="27"/>
        </w:rPr>
        <w:t xml:space="preserve">Проверила: д.м.н., профессор </w:t>
      </w:r>
      <w:proofErr w:type="spellStart"/>
      <w:r w:rsidRPr="00CF2FCA">
        <w:rPr>
          <w:rFonts w:ascii="Times New Roman" w:hAnsi="Times New Roman" w:cs="Times New Roman"/>
          <w:sz w:val="27"/>
          <w:szCs w:val="27"/>
        </w:rPr>
        <w:t>Демко</w:t>
      </w:r>
      <w:proofErr w:type="spellEnd"/>
      <w:r w:rsidRPr="00CF2FCA">
        <w:rPr>
          <w:rFonts w:ascii="Times New Roman" w:hAnsi="Times New Roman" w:cs="Times New Roman"/>
          <w:sz w:val="27"/>
          <w:szCs w:val="27"/>
        </w:rPr>
        <w:t xml:space="preserve"> И. В.</w:t>
      </w: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реферата: ИДИОПАТИЧЕСКИЙ ФИБРОЗИРУЮЩИЙ АЛЬВЕОЛИТ</w:t>
      </w: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8CB" w:rsidRDefault="00B758CB" w:rsidP="00B758CB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Выполнила: врач-ординатор терапевт</w:t>
      </w:r>
    </w:p>
    <w:p w:rsidR="00B758CB" w:rsidRDefault="00B758CB" w:rsidP="00B758CB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Кочеткова К. А.</w:t>
      </w:r>
    </w:p>
    <w:p w:rsidR="00B758CB" w:rsidRDefault="00B758CB" w:rsidP="00B758CB">
      <w:pPr>
        <w:pStyle w:val="a3"/>
        <w:jc w:val="center"/>
        <w:rPr>
          <w:color w:val="000000"/>
          <w:sz w:val="27"/>
          <w:szCs w:val="27"/>
        </w:rPr>
      </w:pPr>
    </w:p>
    <w:p w:rsidR="00B758CB" w:rsidRDefault="00B758CB" w:rsidP="00B758CB">
      <w:pPr>
        <w:pStyle w:val="a3"/>
        <w:jc w:val="center"/>
        <w:rPr>
          <w:color w:val="000000"/>
          <w:sz w:val="27"/>
          <w:szCs w:val="27"/>
        </w:rPr>
      </w:pPr>
    </w:p>
    <w:p w:rsidR="00B758CB" w:rsidRDefault="00B758CB" w:rsidP="00B758CB">
      <w:pPr>
        <w:pStyle w:val="a3"/>
        <w:jc w:val="center"/>
        <w:rPr>
          <w:color w:val="000000"/>
          <w:sz w:val="27"/>
          <w:szCs w:val="27"/>
        </w:rPr>
      </w:pPr>
    </w:p>
    <w:p w:rsidR="00B758CB" w:rsidRDefault="00470B10" w:rsidP="00B758CB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2019</w:t>
      </w:r>
      <w:r w:rsidR="00B758CB">
        <w:rPr>
          <w:color w:val="000000"/>
          <w:sz w:val="27"/>
          <w:szCs w:val="27"/>
        </w:rPr>
        <w:t>г</w:t>
      </w:r>
    </w:p>
    <w:p w:rsidR="00B758CB" w:rsidRPr="00CF2FCA" w:rsidRDefault="00B758CB" w:rsidP="00B758CB">
      <w:pPr>
        <w:pStyle w:val="a3"/>
        <w:jc w:val="center"/>
        <w:rPr>
          <w:color w:val="000000"/>
          <w:sz w:val="27"/>
          <w:szCs w:val="27"/>
        </w:rPr>
      </w:pPr>
      <w:r w:rsidRPr="00CF2FCA">
        <w:rPr>
          <w:sz w:val="27"/>
          <w:szCs w:val="27"/>
        </w:rPr>
        <w:lastRenderedPageBreak/>
        <w:t>Список литературы:</w:t>
      </w:r>
    </w:p>
    <w:p w:rsidR="00B758CB" w:rsidRPr="00CF2FCA" w:rsidRDefault="00B758CB" w:rsidP="00B758C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CF2F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Статья в «РМЖ» </w:t>
      </w:r>
      <w:r w:rsidRPr="00CF2F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Авторы: </w:t>
      </w:r>
      <w:hyperlink r:id="rId5" w:history="1">
        <w:r w:rsidRPr="00CF2FCA">
          <w:rPr>
            <w:rStyle w:val="a5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Авдеева О.Е. </w:t>
        </w:r>
      </w:hyperlink>
      <w:r w:rsidRPr="00CF2F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6" w:history="1">
        <w:r w:rsidRPr="00CF2FCA">
          <w:rPr>
            <w:rStyle w:val="a5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Авдеев С.Н. </w:t>
        </w:r>
      </w:hyperlink>
      <w:r w:rsidRPr="00CF2FCA"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>1 </w:t>
      </w:r>
      <w:r w:rsidRPr="00CF2F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proofErr w:type="spellStart"/>
      <w:r w:rsidR="007F2A5E" w:rsidRPr="00CF2FCA">
        <w:rPr>
          <w:rFonts w:ascii="Times New Roman" w:hAnsi="Times New Roman" w:cs="Times New Roman"/>
          <w:color w:val="000000" w:themeColor="text1"/>
          <w:sz w:val="27"/>
          <w:szCs w:val="27"/>
        </w:rPr>
        <w:fldChar w:fldCharType="begin"/>
      </w:r>
      <w:r w:rsidRPr="00CF2FCA">
        <w:rPr>
          <w:rFonts w:ascii="Times New Roman" w:hAnsi="Times New Roman" w:cs="Times New Roman"/>
          <w:color w:val="000000" w:themeColor="text1"/>
          <w:sz w:val="27"/>
          <w:szCs w:val="27"/>
        </w:rPr>
        <w:instrText xml:space="preserve"> HYPERLINK "https://www.rmj.ru/authors/chuchalin_a_g/" </w:instrText>
      </w:r>
      <w:r w:rsidR="007F2A5E" w:rsidRPr="00CF2FCA">
        <w:rPr>
          <w:rFonts w:ascii="Times New Roman" w:hAnsi="Times New Roman" w:cs="Times New Roman"/>
          <w:color w:val="000000" w:themeColor="text1"/>
          <w:sz w:val="27"/>
          <w:szCs w:val="27"/>
        </w:rPr>
        <w:fldChar w:fldCharType="separate"/>
      </w:r>
      <w:r w:rsidRPr="00CF2FCA">
        <w:rPr>
          <w:rStyle w:val="a5"/>
          <w:rFonts w:ascii="Times New Roman" w:hAnsi="Times New Roman" w:cs="Times New Roman"/>
          <w:color w:val="000000" w:themeColor="text1"/>
          <w:sz w:val="27"/>
          <w:szCs w:val="27"/>
          <w:u w:val="none"/>
        </w:rPr>
        <w:t>Чучалин</w:t>
      </w:r>
      <w:proofErr w:type="spellEnd"/>
      <w:r w:rsidRPr="00CF2FCA">
        <w:rPr>
          <w:rStyle w:val="a5"/>
          <w:rFonts w:ascii="Times New Roman" w:hAnsi="Times New Roman" w:cs="Times New Roman"/>
          <w:color w:val="000000" w:themeColor="text1"/>
          <w:sz w:val="27"/>
          <w:szCs w:val="27"/>
          <w:u w:val="none"/>
        </w:rPr>
        <w:t xml:space="preserve"> А.Г. </w:t>
      </w:r>
      <w:r w:rsidR="007F2A5E" w:rsidRPr="00CF2FCA">
        <w:rPr>
          <w:rFonts w:ascii="Times New Roman" w:hAnsi="Times New Roman" w:cs="Times New Roman"/>
          <w:color w:val="000000" w:themeColor="text1"/>
          <w:sz w:val="27"/>
          <w:szCs w:val="27"/>
        </w:rPr>
        <w:fldChar w:fldCharType="end"/>
      </w:r>
      <w:r w:rsidRPr="00CF2FCA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CF2F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ФГБУ «НИИ пульмонологии» ФМБА России, Москва</w:t>
      </w:r>
      <w:r w:rsidRPr="00CF2FCA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758CB" w:rsidRPr="00CF2FCA" w:rsidRDefault="00B758CB" w:rsidP="00B758C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proofErr w:type="spellStart"/>
      <w:r w:rsidRPr="00CF2FCA">
        <w:rPr>
          <w:rFonts w:ascii="Times New Roman" w:hAnsi="Times New Roman" w:cs="Times New Roman"/>
          <w:sz w:val="27"/>
          <w:szCs w:val="27"/>
        </w:rPr>
        <w:t>Гаврисюк</w:t>
      </w:r>
      <w:proofErr w:type="spellEnd"/>
      <w:r w:rsidRPr="00CF2FCA">
        <w:rPr>
          <w:rFonts w:ascii="Times New Roman" w:hAnsi="Times New Roman" w:cs="Times New Roman"/>
          <w:sz w:val="27"/>
          <w:szCs w:val="27"/>
        </w:rPr>
        <w:t xml:space="preserve"> В.К., </w:t>
      </w:r>
      <w:proofErr w:type="spellStart"/>
      <w:r w:rsidRPr="00CF2FCA">
        <w:rPr>
          <w:rFonts w:ascii="Times New Roman" w:hAnsi="Times New Roman" w:cs="Times New Roman"/>
          <w:sz w:val="27"/>
          <w:szCs w:val="27"/>
        </w:rPr>
        <w:t>Дзюблик</w:t>
      </w:r>
      <w:proofErr w:type="spellEnd"/>
      <w:r w:rsidRPr="00CF2FCA">
        <w:rPr>
          <w:rFonts w:ascii="Times New Roman" w:hAnsi="Times New Roman" w:cs="Times New Roman"/>
          <w:sz w:val="27"/>
          <w:szCs w:val="27"/>
        </w:rPr>
        <w:t xml:space="preserve"> А.Я., </w:t>
      </w:r>
      <w:proofErr w:type="spellStart"/>
      <w:r w:rsidRPr="00CF2FCA">
        <w:rPr>
          <w:rFonts w:ascii="Times New Roman" w:hAnsi="Times New Roman" w:cs="Times New Roman"/>
          <w:sz w:val="27"/>
          <w:szCs w:val="27"/>
        </w:rPr>
        <w:t>Моногарова</w:t>
      </w:r>
      <w:proofErr w:type="spellEnd"/>
      <w:r w:rsidRPr="00CF2FCA">
        <w:rPr>
          <w:rFonts w:ascii="Times New Roman" w:hAnsi="Times New Roman" w:cs="Times New Roman"/>
          <w:sz w:val="27"/>
          <w:szCs w:val="27"/>
        </w:rPr>
        <w:t xml:space="preserve"> Н.Е. </w:t>
      </w:r>
      <w:proofErr w:type="spellStart"/>
      <w:r w:rsidRPr="00CF2FCA">
        <w:rPr>
          <w:rFonts w:ascii="Times New Roman" w:hAnsi="Times New Roman" w:cs="Times New Roman"/>
          <w:sz w:val="27"/>
          <w:szCs w:val="27"/>
        </w:rPr>
        <w:t>Идиопатический</w:t>
      </w:r>
      <w:proofErr w:type="spellEnd"/>
      <w:r w:rsidRPr="00CF2FC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2FCA">
        <w:rPr>
          <w:rFonts w:ascii="Times New Roman" w:hAnsi="Times New Roman" w:cs="Times New Roman"/>
          <w:sz w:val="27"/>
          <w:szCs w:val="27"/>
        </w:rPr>
        <w:t>фиброзирующийальвеолит</w:t>
      </w:r>
      <w:proofErr w:type="spellEnd"/>
      <w:r w:rsidRPr="00CF2FCA">
        <w:rPr>
          <w:rFonts w:ascii="Times New Roman" w:hAnsi="Times New Roman" w:cs="Times New Roman"/>
          <w:sz w:val="27"/>
          <w:szCs w:val="27"/>
        </w:rPr>
        <w:t xml:space="preserve"> // Новости медицины и фармации. 2008. №256. с 22-24.</w:t>
      </w:r>
      <w:r w:rsidRPr="00CF2FC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2FCA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58CB" w:rsidRDefault="00B758CB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F2FCA" w:rsidRPr="00CF2FCA" w:rsidRDefault="00CF2FCA" w:rsidP="00CF2FC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F2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Введение</w:t>
      </w:r>
    </w:p>
    <w:p w:rsidR="002600A5" w:rsidRPr="002600A5" w:rsidRDefault="009B773B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2F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нтерстициальные заболевания легких (ИЗЛ) занимают до 10 – 15 % в стр</w:t>
      </w:r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уктуре всех болезней легких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 ним относятся более 130 заболеваний извес</w:t>
      </w:r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тной и неизвестной этиологии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Одним из наиболее распространенных и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прогностически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неблагоприятных заболеваний из группы ИЗЛ является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идиопатический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фиброзирующийальвеолит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(ИФА). ИФА характеризуется воспалением и фиброзом легочного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интерстиция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воздухоносных пространств, дезорганизацией структурно-функциональных единиц паренхимы, приводящим к развитию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рестриктивных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изменений легких, нарушению газообмена, прогрессирующей дыхательной недостаточности и в конеч</w:t>
      </w:r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 итоге к смерти больного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Считается, что первые упоминания о заболевании относятся к 1935 г., когда L.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Hamman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A.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Rich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описали 4 больных с быстропрогрессирующей дыхательной недостаточностью, умерших в течение 6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начала возникновения болезни. При аутопсии был обнаружен выраженный распространенный фиброз легких, и авторы назвали заболевание "острый диффузный интерстициальный фиброз легких". Длительное время синдромом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Хаммена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Рича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называли и заболевания с хроническим течением, однако в последнее десятилетие данный синдром относят лишь к одной из форм ИФА – быстропрогрессирующей или острой</w:t>
      </w:r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интерстициальной пневмонии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Возможно, первым автором, описавшим заболевание, был немецкий врач G.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Rindfleisch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(1897), предложивший для него термин "кистозный цирроз легких". 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Термин "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фиброзирующийальвеолит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", предложенный J.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Scadding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1964 г., отражает основные ключевые признаки заболевания: воспаление и фиброз. В нашей стране наиболее употребителен термин "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идиопатичес</w:t>
      </w:r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</w:t>
      </w:r>
      <w:proofErr w:type="spellEnd"/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фиброзирующийальвеолит</w:t>
      </w:r>
      <w:proofErr w:type="spellEnd"/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также отражающий первичность и неясную природу заболевания. Синонимами ИФА являются "идиопатический легочный фиброз" – термин, чаще всего используемы</w:t>
      </w:r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в американской литературе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 "криптогенный 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фиброзирующийальвеолит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(</w:t>
      </w:r>
      <w:proofErr w:type="spellStart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cryptogenicfibrosingalveolitis</w:t>
      </w:r>
      <w:proofErr w:type="spellEnd"/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получивший большее распространение в Европе</w:t>
      </w:r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особенно в Великобритании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В качестве еще одного синонима ИФА в последнее время все чаще используют понятие "обычная интерстициальная пневмония", что отражает наиболее частый морфологи</w:t>
      </w:r>
      <w:r w:rsidR="002600A5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ческий субстрат заболевания</w:t>
      </w:r>
      <w:r w:rsidR="002600A5"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600A5" w:rsidRPr="002600A5" w:rsidRDefault="002600A5" w:rsidP="002600A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Эпидемиология</w:t>
      </w:r>
    </w:p>
    <w:p w:rsidR="002600A5" w:rsidRPr="002600A5" w:rsidRDefault="002600A5" w:rsidP="002600A5">
      <w:pPr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За последнее десятилетие в мире проведено несколько эпидемиологических исслед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ований, посвященных ИФА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Показатели распространенности заболевания значительно варьируют. По данным D.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Coultas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(1994),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распространненость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заболевания в США составляет для мужчин 31,5 и для женщин 26,1 на 100 тыс. населения в год. В Великобритании заболеваемость ИФА значительно ниже – 6 случаев 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100 тыс. населения в год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Моравии и Силезии заболеваемость ИФА составляет от 4,1 до 27,6 случаев на 100 тыс. населения (V. Kolek.,1994). За период с 1979 по 1988 г. в Англии и Уэльсе летальность от криптогенного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фиброзирующегоальвеолита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выросла в 2 раза (336 и 702 случая в год соответственно) . Подобные тенденции прослеживаются в Австралии, Шотландии и Канаде, в то же время летальность от ИФА практически не изменилась в Нов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Зеландии, США и Германии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Японии летальность от ИФА в период с 1974 по 1985 г. составила 3 случая на 100 тыс. населения в год (К.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Iwai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соавт.,1994). Данные различия в показателях распространенности и летальности ИФА очень трудно трактовать, так как в основе лежат различные подходы кодирования заболевания в национальных регистрах, различия в экологических условиях, уровне диагностики заболевания и других факторах. Кроме того, основные исследования ИФА, как правило, проводят в специализированных пульмонологических центрах, где наблюдают более молодых и более тяжелых больных, что значительно искажает тенденции распространения и развития за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болевания в общей популяции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600A5" w:rsidRPr="002600A5" w:rsidRDefault="002600A5" w:rsidP="002600A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Этиология и патогенез</w:t>
      </w:r>
    </w:p>
    <w:p w:rsidR="002600A5" w:rsidRPr="00CF2FCA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Несмотря на наличие в названии заболевания термина "идиопатический" или "криптогенный", в настоящее время исследователи предпринимают активные попытки поиска причины возникновения ИФА. Заболевание рассматривают как процесс, протекающий в несколько этапов: 1) первичное повреждение эпителиальных и/или эндотелиальных клеток легочной паренхимы с развитием воспалительной реакции; 2) восстановление структуры поврежденной ткани с накоплением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мезенхимальных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и избыточным развитием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экстрацеллюлярного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матрикса/фиброза (М.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Sheppard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W.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Harrison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1992).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Многие авторы рассматривают ИФА как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аутоиммунное заболевание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 развитием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персистирующих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иммунных реакций в легочном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интерстиции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Гистологические паттерны при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фиброзирующихальвеолитах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фоне диффузных заболеваний соединительной ткани (ДЗСТ) и п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ИФА практически идентичны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пользу аутоиммунной теории свидетельствуют частое присутствие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гипергаммаглобулинемии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циркулирующих иммунных комплексов, ревматоидног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и антинуклеарного факторов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Доказана местная продукция иммуноглобулина и образование иммунных комплексов в легких (А. Hance,1988). </w:t>
      </w:r>
    </w:p>
    <w:p w:rsidR="002600A5" w:rsidRPr="00CF2FCA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Развитие реакций к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аутоантигенам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результатом повышения их экспрессии на клеточных мембранах вследствие действия неизвестных повреждающих агентов: органической и неорганической пыли, лекарств, вирусной инфекции. На роль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вирусов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принимающих участие в патогенезе ИФА, претендуют латентные, "медленные" вирусы. Обсуждается роль вирусов гепатита С (Т.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Ueda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1992), аденовирусов (К.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Kuwado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1997), вируса Эпштейна –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Барра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Egan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1995). Вирусные протеины способны усиливать реакции хронического воспаления и репарации, активировать продукцию коллагена I типа и выступать в роли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трансактивирующих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факторов, т.е. взаимодействовать с генами, регулирующими клеточный рост. Вирусы могут не только выступать в качестве первичного триггера развития повреждения при ИФА, репликация вируса в уже поврежденной ткани может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потенциировать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прогрессирование заболевания на поздних стадиях.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Другая теория рассматривает в качестве причины заболевания экспозицию к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экологическим и профессиональным факторам.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нескольких эпидемиологических исследованиях была показана связь ИФА с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профессиональным контактом с металлической и древесной пылью. В исследовании 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Hubbard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заболевание наиболее часто развивалось у лиц, имевших профессиональный анамнез работы с латунью, свинц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ом, сталью, древесной пылью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работе японских авторов (К.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Iwai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1994) кроме лиц, участвующих в производстве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 деревообработки, достоверный риск развития ИФА имели маляры, работники прачечных и косметических салонов, парикмахеры. При сравнении частоты развития ИФА среди девяти районов Англии и Уэльса, наибольшее число случаев заболевания наблюдали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Ноттингеме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области с наиболее развитой промышленностью (I.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Johnston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соавт.,1990). Не исключена роль и других видов неорганической пыли: асбеста (Е.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Gaensler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1991), силикатной пыли (Е.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Monso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1990). В наиболее крупном на сегодняшний день исследовании, посвященном криптогенному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фиброзирующемуальвеолиту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проведенном Британским торакальным обществом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BritishToracicSociety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BTS), около половины всех пациентов имели в анамнезе контакт с пылью, при этом у 87 больных отмечался контакт с асбесто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Существует также точка зрения, что имеется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генетическая предрасположенность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развитию избыточного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фиброзообразования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легких в ответ на неспецифическое повреждение эпителия (Р.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Lympanydu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Bois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1997). В пользу данной гипотезы говорит наличие семейных форм заболевания (Р.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Bitterman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соавт.,1986).</w:t>
      </w:r>
    </w:p>
    <w:p w:rsidR="002600A5" w:rsidRPr="002600A5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Механизмы развития воспаления/ фиброза.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процесах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воспаления и репарации принимают участие многие клетки: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альвеолярные макрофаги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нейтрофилы, эозинофилы, тучные клетки и др. Считается, что центральной клеткой воспаления при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альвеолитах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альвеолярный макрофаг. Макрофаги способны высвобождать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хемоатрактанты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нейтрофилов, включая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лейкотриен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В4 и интерлейкин-8 (R.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Сherniack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1991), факторы роста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тромбоцитарный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фактор роста, инсулиноподобный фактор роста-1, трансформирующий фактор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роста-b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фибронектин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(P.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Vaillant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1996), стимулировать секреторную активность фибробластов и нейтрофилов (R.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Shaw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1991), высвобождать кислородные радикалы, играющие важнейшую роль в повреждении паренхимы (Р.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Southorn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1988</w:t>
      </w:r>
      <w:r w:rsidRPr="002600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).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Нейтрофилы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также являются основными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эффекторными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клетками при ИФА, они способны высвобождать такие повреждающие факторы, как протеазы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коллагеназа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эластаза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кислородные радикалы (М.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Sheppard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N.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Harrison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1992).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Эозинофилы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кроме протеаз и активных продуктов кислорода, секретируют специфичные цитотоксические вещества: эозинофильный катионный протеин, большой основной белок и др. (K.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Fujimoto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1995). Изучается роль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тучных клеток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процессах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фиброзообразования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их количество в легочной ткани резко повышено в областях фиброза (А.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Pesci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1993),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лаважной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жидкости больных ИФА обнаруживают значительное повышение продуктов тучных клеток: гистамина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триптазы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Walls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1991). Определенное значение имеют и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Т-лимфоциты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 больных ИФА обнаруживают маркеры активации Т-клеток в крови, в сыворотке крови повышение IL-2 (М.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Shepard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N.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Harrison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1992), а в жидкости БАЛ – интерферон-g (В.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Robinson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1990). Интерферон-g активирует макрофаги и лимфоциты,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стимулирует экспрессию эндотелиальных клеток молекулы адгезии ICAM-1 и экспрессию продуктов HLA-DR, оказывает влияние на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депозицию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коллагена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интерстиции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Shepard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N.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Harrison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1992). Повреждение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эпителиальных клеток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оказывает модулирующий эффект на развитие подлежащей соединительной ткани и может также вести к развитию фиброза (I.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Adamson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1991). Регенерирующие эпителиальные клетки способны продуцировать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фиброгенные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факторы: трансформирующий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фактор-b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фактор некроза опухоли-a.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Реэпителизация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происходит, в основном, за счет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альвеолоцитов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2-го типа, что является одной из характерных морфологических особенностей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фиброзирующегоальвеолита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Sheppard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N.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Harrison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1992). Обсуждается вклад внеклеточных процессов в воспалении при ИФА, в частности, значение повышенной проницаемости эпителия и "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пропотевания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компонентов плазмы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интерстиций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Cherniack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1991), изменение состава компонентов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сурфактанта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(H.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Hamm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1996).</w:t>
      </w:r>
    </w:p>
    <w:p w:rsidR="002600A5" w:rsidRPr="002600A5" w:rsidRDefault="002600A5" w:rsidP="002600A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Морфологическая картина</w:t>
      </w:r>
    </w:p>
    <w:p w:rsidR="002600A5" w:rsidRPr="002600A5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Гистологическая картина при ИФА неоднородна. В одной из ранних классификаций 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существует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пять морфологических типов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фиброзирующегоальвеолита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обычная интерстициальная пневмония, десквамативная интерстициальная пневмония, интерстициальная пневмония, ассоциированная с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бронхиолитом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гигантоклеточная интерстициальная пневмония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лимфои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дная интерстициальная пневмония.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свое значение сохранили только два первых типа, в то время как BIP соответствует самостоятельному, недавно описанному заболеванию легких –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облитерирующему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бронхиолиту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организующейся пневмонией (G.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Epler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1985), LIP – ассоциирован с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лимфопролиферативными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заболеваниями (D.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Braggs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1994), а паттерн GIP чаще всего выявляется при пневмокониозах и болезнях легких, вызванных тяжелыми металлами (D.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Сugell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1992). В то же время, в последнее десятилетие морфологическая классификация дополнилась двумя типами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интерcтициальных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пневмоний: неспецифической интерстициальной пневмонией/фиброзом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nonspecificinterstitialpneumonia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fibrosis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NIP) [15] и острой интерстициальной пневмонией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acutein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terstitialpneumonia</w:t>
      </w:r>
      <w:proofErr w:type="spellEnd"/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AIP)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Наиболее частым гистологическим паттерном является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обычная интерстициальная пневмония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составл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яет около 90 % всех форм ИФА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 ранних этапах развития заболевания морфологическая картина характеризуется отеком и интенсивной инфильтрацией стенок альвеол лимфоцитами, моноцитами, плазматическими клетками и эозинофилами. Наряду с воспалением присутствуют признаки фиброза: фокусы фибробластов, активно синтезирующих коллаген (С.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Kuhn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1991),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миофибробласты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чья сократительная способность может играет определенную роль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ремоделировании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паренхимы легких (К.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Adler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1989). Часто, особенно на фоне ДЗСТ, присутствуют признаки фокальной 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гиперплазии лимфоидной ткани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 более поздних стадиях заболевания происходит замещение нормальной структуры паренхимы грубой соединительной тканью, в которую замурованы кистозно-расширенные воздухоносные пространства, выстланные изнутри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гиперплазированнымбронхиолярным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кубовидным альвеолярным эпителием,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альвеолоциты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1-го типа замещаются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альвеолоцитами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2-го типа, иногда присутствуют признаки метаплазии. В полях фиброза могут присутствовать клетки воспаления, однако их количество не такое выраженное, как на ранних стадиях. Также в полях фиброза часто находят реактивную мышечную гиперплазию, происхождение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гиперплазированныхмиоцитов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вероятнее всего имеет связь с бронхиолами или мелкими кровеносными сосудами, а не с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миофибробластами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молодой соединительной ткани.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Внутри измененных альвеол могут обнаруживаться муцин, белковый детрит, кристаллы холестерина, макрофаги и другие клетки. Стенки сосудов значительно утолщены в области фиброзных полей и могут быть нормальными в непораженной ткани легких. Макроскопические изменения легких на поздних стадиях характеризуются уплотнением и сморщиванием ткани легких и формированием "сотового легкого" (на этом основании одним из первых названий болезни – было "кистозный цирроз легких";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G.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Rindfleisch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1897). Фиброз особенно выражен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субплевральной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и напоминает ленту шириной несколько сантиметров. Наибольшие изменения выражен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в </w:t>
      </w:r>
      <w:proofErr w:type="spellStart"/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заднебазальных</w:t>
      </w:r>
      <w:proofErr w:type="spellEnd"/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сегментах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На долю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десквамативной интерстициальной пневмонии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приходится около 5 % ИФА. Кардинальным признаком данной формы является содержание значительного количества клеток в просвете альвеол. Раньше предполагали, что основными типами клеток являются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десквамированныеальвеолоциты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что и легло в основу названия данного паттерна. На самом деле основной клеточной популяцией внутри альвеол являются макрофаги [7]. Альвеолы выстланы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гиперплазированнымиальвеолоцитами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2-го типа. Альвеолярные септы инфильтрированы лимфоцитами, иногда эозинофилами, может наблюдаться небольшое повышение содержания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мезенхимальных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клеток, однако фиброз, как правило, выражен незначительно. В настоящее время так до конца и не решен вопрос, является ли десквамативная пневмония самостоятельным заболеванием или ранним проявлением ИФА (Т.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Hartman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1996). Настоящая форма ИФА отличается чувствительностью к кортикостероидам и хорошим прогнозом, однако, иногда возможно прогрессирование болезни до стадии "сотового легкого" (В. </w:t>
      </w:r>
      <w:proofErr w:type="spellStart"/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Lipworth</w:t>
      </w:r>
      <w:proofErr w:type="spellEnd"/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1987)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Летальность при десквамати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вной пневмонии не превышает 25%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Острая интерстициальная пневмония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была впервые описана L.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Hamman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A.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Rich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1935 г., однако в самостоятельную форму была выделена в лишь в 1986 г. (A.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Katzenstein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1986). В настоящее время только данная форма ИФА может обозначаться как синдр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proofErr w:type="spellStart"/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Хаммена</w:t>
      </w:r>
      <w:proofErr w:type="spellEnd"/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Рича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Характер морфологических изменений при АIP укладывается в картину диффузного альвеолярного повреждения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diffusealveolardamage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которую наблюдают при респираторном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дисстресс-синдроме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взрослых. В раннюю фазу наблюдается интерстициальный отек паренхимы и формирование гиалиновых мембран, на поздних этапах (обычно после второй недели от начала заболевания) – признаки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интраальвеолярной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и/или интерстициальной организации, обычно ассоциированные с пролиферацией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альвеолоцитов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2-го типа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Olson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1990). Частой находкой являются тромбы в мелких артериях. Заболевание характеризуется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фулминантным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течением, прогноз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плохой, летальность достигает 70%, хотя в некоторых наблюдениях отмечена репарация паренхимы легких без остаточных явлений и летальн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не превышала 60%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В 1994 г. А.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Katzenstein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Fiorell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описали новый подтип ИФА – </w:t>
      </w:r>
      <w:r w:rsidRPr="002600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неспецифическую интерстициальную пневмонию/фиброз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Морфологическая картина отлична от всех известных вариантов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фиброзирующегоальвеолита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Данная форма занимает в структуре ИФА 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5%. Основной ее особенностью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гомогенность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униформность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морфологической картины. Спектр морфологических изменений варьирует от изолированного воспаления до выраженного фиброза, однако по сравнению, например с UIP, при которой одновременно в разных регионах паренхимы сосуществуют воспаление и фиброз различной выраженности и области сохранной паренхимы, при NIP на данный момент присутствует воспаление/фиброз примерно на одном этапе развития, т.е. гистологическая картина гомогенна. В некоторых случаях наблюдается аккумуляция макрофагов в просвете альвеол, однако, по сравнению с DIP, при неспецифической пневмонии данный феномен имеет "пятнистый"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patchy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негомогенный тип распределения, преобладает интерстициальное воспаление. Данная форма ИФА характеризуется подострым течением, более чем в 80% при NIP наблюдается регрессия или стабилизация воспалительного процесса, летальн</w:t>
      </w: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ость не превышает 11 – 17%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V.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Cottin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1997).</w:t>
      </w:r>
    </w:p>
    <w:p w:rsidR="002600A5" w:rsidRPr="002600A5" w:rsidRDefault="002600A5" w:rsidP="002600A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Диагностика ИФА</w:t>
      </w:r>
    </w:p>
    <w:p w:rsidR="001F5F34" w:rsidRPr="00CF2FCA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Клиническая картина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ИФА не имеет патогномоничных признаков. Заболевание чаще всего встречается у пациентов в возрасте от 40 до 70 лет. Основными жалобами больных являются одышка и непродуктивный кашель. По мере развития заболевания отмечается нарастание одышки, вплоть до полной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инвалидизации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больного: из-за одышки больной не способен произнести фразу, предложение, не может ходить, обслуживать себя. Начало болезни, как правило, незаметное, хотя в ряде случаев (до 20%) ИФА может начинаться острыми симптомами, что предполагает роль вирусной инфекции в генезе заболевания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Egan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1997). Так как болезнь прогрессирует довольно медленно, пациенты успевают адаптироваться к своей одышке, постепенно снижая свою активность и переходя к более пассивному образу жизни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Иногда отмечается продуктивный кашель, даже признаки гиперсекреции мокроты, причем данный признак ассоциирован с более неблагоприятным прогнозом заболевания (N.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Hiwatari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1991). Лихорадка не характерна для ИФА. Другими симптомами может быть общая слабость, артралгии, миалгии, снижение массы тела, изменение ногтевых фаланг (в виде “барабанных палочек”).</w:t>
      </w:r>
    </w:p>
    <w:p w:rsidR="001F5F34" w:rsidRPr="00CF2FCA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Характерным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аускультативным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феноменом при ИФА является крепитация, которую сравнивают с "треском целлофана". Наиболее часто хрипы выслушивают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заднебазальных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отделах, хотя в 1/5 всех случаев крепитацию можно прослушать и в верхних отделах (Р.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Bettencourt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1994). По сравнению с крепитацией при других заболеваниях (пневмония,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бронхоэктазы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застойные процессы в легких), крепитация при ИФА более нежная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finecrackles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– менее громкая и более высокая по частоте, выслушивается на высоте вдоха, т.е.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конечноинспираторнуюфазу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Piirila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1995). Иногда можно выслушать и экспираторную крепитацию (чаще во вторую треть выдоха), что может быть признаком прогрессирования заболевания (М.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Walshaw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1990). Сухие хрипы могут быть слышны у 5 – 10% больных и обычно появляются при сопутствующем бронхите. До 50% вс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ех пациентов имеют </w:t>
      </w:r>
      <w:proofErr w:type="spellStart"/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тахипное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 мере прогрессирования заболевания появляются признаки дыхательной недостаточности и легочного сердца: диффузный серо-пепельный цианоз, усиление 2-го тона над легочной артерией, тахикардия, S3 галоп, набухание шейных вен, периферические отеки.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Выживаемость пациентов с момента постановки диаг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ноза в среднем 3 – 5 лет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Наиболее частой причиной смерти больных является дыхательная недостаточность, как естественное следствие прогрессирования заболевания. 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же н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фоне ИФА возможно развитие любой формы рака легкого: наиболее частыми гистологическими вариантами являются плоскокл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еточный рак и </w:t>
      </w:r>
      <w:proofErr w:type="spellStart"/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аденокарцинома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описаны развитие бронхоальвеолярного р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ака, гигантоклеточного рака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целом риск заболевания раком легких у больных ИФА выше в 14,1 раз, чем в общей популяции того же возраста, 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пола и длительности курения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тесты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при ИФА обычно не несут какой-либо ценной информации. До 70% больных имеют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повышенoе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СОЭ (в среднем 38 мм/ч) (I.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Johnston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1995), у большинства обнаруживают циркулирующие иммунные комплексы (R.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Dreisin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1978), у 30% пациентов – повышение общего уровня иммуноглобулинов, довольно часто до 41 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обнаруживают </w:t>
      </w:r>
      <w:proofErr w:type="spellStart"/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криоглобулины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 Перспективным маркером активности заболевания является сывороточный уровень протеинов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сурфактанта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и D  – основных гликопротеинов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сурфактанта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Рентгенография грудной клетки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является важнейшим диагностическим методом при ИФА. Наиболее частым признаком заболевания являются двусторонние диссеминированные изменения ретикулярного или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ретикулонодулярного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характера, более выраженные в нижних отделах легких. На ранних этапах развития заболевания может наблюдаться лишь некоторое уменьшение объема легочных полей и понижение прозрачности легких по типу "матового стекла", данные изменения особенно заметны при сравнении серии рентгенограмм больного. При прогрессировании заболевания ретикулярный паттерн становится более грубым,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тяжистым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появляются округлые кистозные просветления размерами 0,5 – 2 см, отражающие формирование "сотового легкого", могут быть видны линейные тени дисковидных ателектазов. Рентгенологическая картина при ИФА может коррелировать с гистопатологическими изменениями, однако такая связь существует лишь при наличии 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признаков "сотового легкого"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600A5" w:rsidRPr="002600A5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Вовлечение плевры, внутригрудная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аденопатия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локализованные паренхиматозные уплотнения не характерны для ИФА и могут отражать либо другое интерстициальное заболевание легких, либо осложнения заболевания, такие, как инфекции или опухоли.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Более ценную информацию можно получить 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 помощи рентгенологической 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компьютерной томографии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(КТ), осо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бенно КТ высокого разрешения.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Характерными находками при КТ являются нерегулярные линейные тени, снижение прозрачности легочных полей по типу "матового стекла" и кистозные просветления размерами от 2 до 20 мм в диаметре. Признаки "сотового легкого" выявляют в 70% при КТ, по сравнению с 15 – 30% при обзорной рентгенографии (N.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Muller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R. Muller,1990). Наибольшие изменения выявляют в базальных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субплевральных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отделах легких. КТ паттерн и распределение изменений в большинстве случаев являются патогномоничными для ИФА (S.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Padley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1991). Кроме того, КТ-признаки отражают морфологические признаки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фиброзирующегоальвеолита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ретикулярный паттерн соответствует фиброзу, а паттерн "матового стекла" – клеточной инфильтрации (А.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Wells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1992). Картина "матового стекла" проявляется только при минимальном утолщении альвеолярных стенок,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интерстиция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частичном заполнении альвеол клетками, жидкостью, аморфным материал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ом.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по предсказательной ценности КТ выходит на первый план, опережая функциональные легочные тесты, бронхоальвеолярный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лаваж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даже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биoпсию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легких, так как позволяет дать оценку поражения практически всей паренхимы легких по сравнению с отдельным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биопсийным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образцом (А.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Wells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1997). При сочетании ИФА с эмфиземой КТ является единственным методом, позволяющим оценить выраженность эмфиземы, которая преимущественно локализуется в верхних отделах, и разграничить ее с кистозными изменениями, характеризующими "сотовое легкое"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Wiggins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1990).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  <w:r w:rsidRPr="00260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Функциональные легочные тесты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являются ключевым методом, позволяющим установить наличие принадлежности заболевания к группе ИЗЛ (В.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Keogh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Crystal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1980). На ранних этапах заболевания показатели спирографии часто в пределах нормальных значений, однако уже может наблюдаться снижение статических объе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мов – общей емкости легких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функцио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нальной остаточной емкости, остаточного объема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выявляют при помощи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бодиплетизмографии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метода разведения газов. В дальнейшем происходит снижение показателей объема фор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сированного выдоха за 1 сек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форси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рованной жизненной емкости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Соотношение FEV1/FVC (коэффициент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Тиффно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в пределах нормы или даже повышено из-за увеличения объемной скорости воздушного потока вследствие повышения эластической отдачи легких. Снижение ТLC хорошо коррелирует с выраженностью клеточной воспалительной реакции в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биоптатах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легочной ткани [6] и неблагоприятным прогнозом (R.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Erbes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1997).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Ценным показателем является диффузионная способность легких (DLCO), снижение которой является одним из ранних признаков заболевания (L.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Watters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1986</w:t>
      </w:r>
    </w:p>
    <w:p w:rsidR="002600A5" w:rsidRPr="002600A5" w:rsidRDefault="002600A5" w:rsidP="001F5F3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2600A5" w:rsidRPr="002600A5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Для оценки активности воспалительного процесса при ИФА используется сканирование легких с галлием-67. Галлий является аналогом железа и связывается в организме с рецепторами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трансферрина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которые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экспрессируются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на мембранах активных альвеолярных макрофагов, но отсутствуют на нейтрофилах, лимфоцитах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эпителиоцитах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2-го типа (Y.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Tsuchiya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соавт.,1992). Поэтому более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интенсивное накопление галлия наблюдается при активном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альвеолите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Достоинством метода является возможность визуальной оценки протяженности, интенсивности и рисунка активного воспалительного процесса, однако ввиду отсутствия стандартизации метода и четкой количественной оценки галлиевых сканов, а также появлением других более удобных и точных методов, этот метод редко исп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ользуется в настоящее время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2600A5" w:rsidRPr="002600A5" w:rsidRDefault="002600A5" w:rsidP="002600A5">
      <w:pPr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Более ценным изотопным методом является позитронное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томографическое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сканирование легких после ингаляции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диэтилен-триаминпентаацетата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меченного технецием-99 (99mTc-DTPA). Данный метод позволяет оценить проницаемость альвеолярно-капиллярной мембраны и диффузного альвеолярного повреждения (Y.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Anazawa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1991). Повышение клиренса 99mTc-DTPA помогает разграничить больных ИФА со стабильным и прогрессирующим течением (t1/2 снижена у больных с более активным воспалительным процессом), а также имеет определенное прогностическое значение (А. Wells,1993).</w:t>
      </w:r>
    </w:p>
    <w:p w:rsidR="001F5F34" w:rsidRPr="00CF2FCA" w:rsidRDefault="002600A5" w:rsidP="001F5F34">
      <w:pPr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Бронхоскопия не имеет самостоятельного значения при ИФА. Наиболее частой находкой при бронхоскопии является картина умеренного катарального бронхита, реже – небольшое количество слизистого секрета.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Бронхоальвеолярный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лаваж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(БАЛ) является важнейшим диагностическим методом при ИЗЛ и позволяет получить для исследования клетки и жидкость из нижни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отделов дыхательных путей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Достоинством метода является возможность получения материала из большего количес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тва альвеол, чем при биопсии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относительная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неинвазивность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возможность многократного повторения, а также безопасность процедуры БАЛ.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Общее число клеток в жидкости БАЛ при ИФА значительно повышено (М. Drentсоавт.,1996). Характерной чертой БАЛ является значительный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нейтрофилез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среднем, 12 – 35%) (L.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Watters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соавт.,1987). Следует помнить, что очень выраженное увеличение числа нейтрофилов в БАЛ можно наблюдать также при сопутс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твующих бактериальных инфекциях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F5F34" w:rsidRPr="00CF2FCA" w:rsidRDefault="002600A5" w:rsidP="001F5F34">
      <w:pPr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Открытая биопсия легких (ОБЛ) является "золотым" диагностическим стандартом при ИФА и позволяет не только установить диагноз, но и предсказать прогноз заболевания и возможный ответ на терапию. Диагностическая информативность ОБЛ превышает 94%, общее число осложнений – около 5 – 19%, летальность достигает 3% (S.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Shah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1992). Биопсию производят из нескольких участков: из участков с наибольшими изменениями, по данным рентгенографии или КТ, и из участков с относительно сохранной паренхимой. Обычно берется 2 – 4 образца из верхней и нижней долей легкого. Язычковые сегменты и средняя доля являются наименее подходящими для биопсии, так как в этих областях чаще всего развивается фиброз, не связанный с диффузным заболеванием легких, или застойные явления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Ray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соавт.,1976).</w:t>
      </w:r>
    </w:p>
    <w:p w:rsidR="001F5F34" w:rsidRPr="00CF2FCA" w:rsidRDefault="002600A5" w:rsidP="00CF2FCA">
      <w:pPr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Трансбронхиальная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биопсия (ТББ) при ИФА имеет небольшое значение в отличие от так называемых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бронхоцентрических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заболеваний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саркоидоз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экзогенный аллергический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альвеолит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облитерирующий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бронхиолит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организующейся пневмонией и без нее), опухолей, инфекционных заболеваний (Т.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Kotsimbos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Walters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1995). Однако в результате ТББ можно исключить перечисленные заболевания; достоинствами ТББ является большая безопасность по сравнению с ОБЛ, недостатком – малый размер получаемого образца и, следовательно, меньшая информативность. Осложнения при ТББ не превышают 7%, летальность практически равна 0 (S.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Herf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1977).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Еще одним инвазивным методом диагностики является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чрескожная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пункционная биопсия (ЧКПБ). Процедура выполняется специальной режущей иглой типа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Silverman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местной анестезией. Информативность ЧПБ при ИЗЛ – около 70%, число осложнений – до 30% (в основном, пневмотораксы, не требующие дренирования), летальности нет (А.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Niden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F.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Salem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1997).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</w:p>
    <w:p w:rsidR="002600A5" w:rsidRPr="002600A5" w:rsidRDefault="002600A5" w:rsidP="002600A5">
      <w:pPr>
        <w:spacing w:after="225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Лечение</w:t>
      </w:r>
    </w:p>
    <w:p w:rsidR="001F5F34" w:rsidRPr="00CF2FCA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Целью терапии ИФА является улучшение или стабилизация функциональных нарушений, предотвращение дальнейшего прогрессирования заболевания. Успех терапии зависит от стадии заболевания, соотношения процессов воспаления и фиброза, так как пока возможно воздействовать только на воспалительные и иммунологические звенья развития заболевания, и, практически, не существует эффективных препаратов, способных вызвать обратное развитие фиброза.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Основой медикаментозной терапии ИФА по-прежнему остаются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пероральные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глюкокортикостероиды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(ГКС). Доза и длительность терапии значительно варьируют. Обычно начальная суточная доза преднизолона составляет от 1,0 – 1,5 мг/кг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идельной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массы тела) до 100 мг. Чаще всего всю суточную дозу назначают в один прием, после завтрака. Через 2 – 3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проводится оценка переносимости такой терапии. Начальная доза обычно назначается на период до 12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Если, несмотря на терапию высокими дозами ГКС, произошло ухудшение функциональных показателей рассматривается вопрос о назначении цитостатических препаратов. Если же произошло улучшение или стабилизация функциональных показателей, то в течение последующих 3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суточную дозу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преднизолона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уменьшают до 0,5 мг/ кг. В течение последующих 6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дозу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преднизолона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постепенно уменьшают до 0,25 мг/кг в сутки. Терапия ГКС приводит к объективному эффек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 лишь у 15 – 20% больных ИФА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1F5F34" w:rsidRPr="00CF2FCA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Цитостатические препараты отно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сятся к терапии второй линии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B773B" w:rsidRPr="00CF2FCA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Наиболее часто используют два препарата: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циклофосфамид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азатиоприн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Циклофосфамид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относится к цитотоксическим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алкилирующим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препаратам,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иммуносупрессивное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действие опосредуется через уменьшение числа лейкоцитов, особенно лимфоцитов. Обычно препарат назначается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peros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дозе 2 мг/кг в сутки, максимальная доза не должна превышать 200 мг в сутки. Оптимальной считается доза, при которой происходит снижение общего числа лейкоцитов до 3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/мл, ил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числа лимфоцитов в 2 раза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Кроме лейкопении, на фоне терапии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циклофосфамидом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могут развиваться такие побочные явления, как геморрагический цистит, стоматит,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диаррея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повышенная чувствительность организма к инфекциям. Эффективность терапии обычно оценивается через 3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начала лечения.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   При быстром прогрессировании заболевания могут оказаться эффективными короткие внутривенные курсы пульс-терапии преднизолоном 250 мг через каждые 6 ч или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циклофосфамидом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мг/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</w:t>
      </w:r>
      <w:r w:rsidR="001F5F34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кратно в течение 3 – 5 дней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открытом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нерандомизированном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исследовании 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Baughman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E.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Lower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показана высокая эффективность внутривенного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циклофосфамида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назначаемого каждые 2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дозе 500 – 1800 мг (R.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Baughman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E.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Lower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1992).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Азатиоприн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относится к пуриновым аналогам, основным механизмом действия является блокада синтеза ДНК.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Азатиоприн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индуцирует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лимфопению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снижает число Т- и В-лимфоцитов, подавляет синтез антител, снижает число натуральных киллеров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Lynch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W.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McCune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1997). По сравнению с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циклофосфамидом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азатиоприн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менее выраженный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иммуносупрессивный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эффект, однако обладает более мощным противовоспалительным действием: блокада синтеза простагландинов, снижение проникновения нейтрофилов в очаг воспаления (D.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Fox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W.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McCune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1994). Препарат назначается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peros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дозе 1 – 3 мг/кг в сутки. Начальная доза 50 – 100 мг/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последующим повышением на 25 – 50 мг через каждые 2 – 4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оптимальной (максимальная доза не должна превышать 250 мг/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Основными побочными проявлениями являются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панцитопения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 снижении числа лейкоцитов ниже 3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/мл или тромбоцитов ниже 100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/мл, доза препарата должна быть снижена), желудочно-кишечные нарушения,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гонадо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тератотоксичность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К другим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иммуносупрессивным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препаратам, которые могут применяться при лечении ИФА, относятся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D-пеницилламин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циклоспорин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CF2FCA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D-пеницилламин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блокирует образование поперечных связей коллагена и дальнейшее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фиброзообразование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Препарат, как правило, более эффективен при обострении или быстром </w:t>
      </w:r>
      <w:r w:rsidR="009B773B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прогрессировании заболевания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 развитии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фиброзирующ</w:t>
      </w:r>
      <w:r w:rsidR="009B773B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ихальвеолитов</w:t>
      </w:r>
      <w:proofErr w:type="spellEnd"/>
      <w:r w:rsidR="009B773B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фоне ДЗСТ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Начальная доза препарата 300 – 450 мг/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затем дозу повышают на 300 мг каждую неделю, максимальная доза обычно около 1800 мг/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настоящее время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D-пеницилламин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применяют довольно редко, так как препарат обладает серьезными побочными эффектами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Meyer-Sydow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1990).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Циклоспорин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является эффективным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супрессором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Т-лимфоцитов, уменьшает гуморальный и клеточный иммунный ответ. Так как Т-лимфоциты имеют значение в процессе воспаления при ИФА, применение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циклоспоринаА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иметь свою точку приложения при заболевании. В настоящее время проведено несколько открытых исследований, посвященных применению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циклоспоринаА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ИФА. Комбинация препарата с преднизолоном оказалась эффективной у пациентов с UIP и у NIP, однако часто требуется отмена препарата ввиду побочных реакций: развитие тяжелой артериальной гипертензии, почечная недостаточность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Moolman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соавт.,1991).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   Кроме медикаментозной терапии, как и при других заболеваниях легких, при 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развитии гипоксемии используют терапию кислородом. Показания к длительной оксигенотерапии обычно не отличаются от принятых при хроническом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обструктивном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заболевании легких: 1) РаО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покое менее 55 мм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рт.ст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.; 2) РаО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покое в пределах 55 – 60 мм рт. ст. при наличии признаков легочного сердца или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полицитэмии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3) снижение PaO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менее 55 мм рт. ст. при физических нагрузках, во время сна. Пациенты с ИФА нуждаются в более высоком назначении потока О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чем при других заболеваниях легких, ввиду более выраженных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вентиляционно-перфузионного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дисбаланса и ограничения диффузионной способности легких (А.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Braghioli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соавт.,1993). 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Кислородотерапия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способна уменьшить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диспное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повысить интенсивность и длительность физических нагрузок у больных ИФА</w:t>
      </w:r>
      <w:r w:rsidR="009B773B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600A5" w:rsidRPr="00CF2FCA" w:rsidRDefault="002600A5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Трансплантация легких является на сегодняшний день самым наиболее значимым достижением в области терапии ИФА. Около 15% всех трансплантаций легких в мире выполняются у пациентов с ИФА (J.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Edelman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R.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Kotloff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1997). Показаниями к трансплантации легких являются: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диспное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III класс по NYHA; снижение VC или FVC ниже 65% ; гипоксемия при физической нагрузке; снижение DLCO менее 30% (S.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Smith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1997).   Перспективными направлениями терапии ИФА являются ингибиторы факторов роста, ингибиторы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цитокинов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антифиброзные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препараты (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ниацин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таурин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pirfenidone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антипротеазы</w:t>
      </w:r>
      <w:proofErr w:type="spellEnd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препараты </w:t>
      </w:r>
      <w:proofErr w:type="spellStart"/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сурф</w:t>
      </w:r>
      <w:r w:rsidR="009B773B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актанта</w:t>
      </w:r>
      <w:proofErr w:type="spellEnd"/>
      <w:r w:rsidR="009B773B"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генная терапия</w:t>
      </w:r>
      <w:r w:rsidRPr="00260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B773B" w:rsidRPr="00CF2FCA" w:rsidRDefault="009B773B" w:rsidP="002600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773B" w:rsidRPr="002600A5" w:rsidRDefault="009B773B" w:rsidP="009B773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F2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Вывод</w:t>
      </w:r>
    </w:p>
    <w:p w:rsidR="00FB34AC" w:rsidRPr="00B758CB" w:rsidRDefault="002600A5" w:rsidP="002600A5">
      <w:pPr>
        <w:rPr>
          <w:rFonts w:ascii="Times New Roman" w:hAnsi="Times New Roman" w:cs="Times New Roman"/>
          <w:sz w:val="24"/>
          <w:szCs w:val="24"/>
        </w:rPr>
      </w:pPr>
      <w:r w:rsidRPr="00CF2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="009B773B" w:rsidRPr="00CF2FCA">
        <w:rPr>
          <w:rFonts w:ascii="Times New Roman" w:hAnsi="Times New Roman" w:cs="Times New Roman"/>
          <w:sz w:val="26"/>
          <w:szCs w:val="26"/>
        </w:rPr>
        <w:t>Идиопатический</w:t>
      </w:r>
      <w:proofErr w:type="spellEnd"/>
      <w:r w:rsidR="009B773B" w:rsidRPr="00CF2F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73B" w:rsidRPr="00CF2FCA">
        <w:rPr>
          <w:rFonts w:ascii="Times New Roman" w:hAnsi="Times New Roman" w:cs="Times New Roman"/>
          <w:sz w:val="26"/>
          <w:szCs w:val="26"/>
        </w:rPr>
        <w:t>фиброзирующийальвеолит</w:t>
      </w:r>
      <w:proofErr w:type="spellEnd"/>
      <w:r w:rsidR="009B773B" w:rsidRPr="00CF2FCA">
        <w:rPr>
          <w:rFonts w:ascii="Times New Roman" w:hAnsi="Times New Roman" w:cs="Times New Roman"/>
          <w:sz w:val="26"/>
          <w:szCs w:val="26"/>
        </w:rPr>
        <w:t xml:space="preserve"> является одним из наиболее неблагоприятных заболеваний среди ИЗЛ. </w:t>
      </w:r>
      <w:r w:rsidR="009B773B" w:rsidRPr="00CF2FC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К сожалению, приходится признать, что современная медицина пока не располагает эффективными методами терапии ИФА. На основании имеющихся ретроспективных исследований очень трудно сделать выводы об эффективности какой-либо терапии при ИФА, тем более что интерпретация результатов исследований затруднена, в связи с отсутствием данных об естественном течении заболевания.</w:t>
      </w:r>
      <w:r w:rsidR="009B773B" w:rsidRPr="00CF2FC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br/>
      </w:r>
      <w:r w:rsidR="009B773B" w:rsidRPr="009B773B">
        <w:rPr>
          <w:rFonts w:ascii="Arial" w:hAnsi="Arial" w:cs="Arial"/>
          <w:color w:val="1E1E1E"/>
          <w:spacing w:val="2"/>
          <w:sz w:val="24"/>
          <w:szCs w:val="24"/>
        </w:rPr>
        <w:br/>
      </w:r>
    </w:p>
    <w:p w:rsidR="009B773B" w:rsidRPr="00B758CB" w:rsidRDefault="009B773B" w:rsidP="002600A5">
      <w:pPr>
        <w:rPr>
          <w:rFonts w:ascii="Times New Roman" w:hAnsi="Times New Roman" w:cs="Times New Roman"/>
          <w:sz w:val="24"/>
          <w:szCs w:val="24"/>
        </w:rPr>
      </w:pPr>
    </w:p>
    <w:p w:rsidR="009B773B" w:rsidRPr="00B758CB" w:rsidRDefault="009B773B" w:rsidP="002600A5">
      <w:pPr>
        <w:rPr>
          <w:rFonts w:ascii="Times New Roman" w:hAnsi="Times New Roman" w:cs="Times New Roman"/>
          <w:sz w:val="24"/>
          <w:szCs w:val="24"/>
        </w:rPr>
      </w:pPr>
    </w:p>
    <w:p w:rsidR="009B773B" w:rsidRPr="00B758CB" w:rsidRDefault="009B773B" w:rsidP="002600A5">
      <w:pPr>
        <w:rPr>
          <w:rFonts w:ascii="Times New Roman" w:hAnsi="Times New Roman" w:cs="Times New Roman"/>
          <w:sz w:val="24"/>
          <w:szCs w:val="24"/>
        </w:rPr>
      </w:pPr>
    </w:p>
    <w:p w:rsidR="00CF2FCA" w:rsidRDefault="00CF2FCA" w:rsidP="009B773B">
      <w:pPr>
        <w:pStyle w:val="a3"/>
        <w:jc w:val="center"/>
        <w:rPr>
          <w:color w:val="000000"/>
          <w:sz w:val="27"/>
          <w:szCs w:val="27"/>
        </w:rPr>
      </w:pPr>
    </w:p>
    <w:p w:rsidR="00CF2FCA" w:rsidRDefault="00CF2FCA" w:rsidP="009B773B">
      <w:pPr>
        <w:pStyle w:val="a3"/>
        <w:jc w:val="center"/>
        <w:rPr>
          <w:color w:val="000000"/>
          <w:sz w:val="27"/>
          <w:szCs w:val="27"/>
        </w:rPr>
      </w:pPr>
    </w:p>
    <w:p w:rsidR="00CF2FCA" w:rsidRDefault="00CF2FCA" w:rsidP="009B773B">
      <w:pPr>
        <w:pStyle w:val="a3"/>
        <w:jc w:val="center"/>
        <w:rPr>
          <w:color w:val="000000"/>
          <w:sz w:val="27"/>
          <w:szCs w:val="27"/>
        </w:rPr>
      </w:pPr>
    </w:p>
    <w:p w:rsidR="00CF2FCA" w:rsidRDefault="00CF2FCA" w:rsidP="009B773B">
      <w:pPr>
        <w:pStyle w:val="a3"/>
        <w:jc w:val="center"/>
        <w:rPr>
          <w:color w:val="000000"/>
          <w:sz w:val="27"/>
          <w:szCs w:val="27"/>
        </w:rPr>
      </w:pPr>
    </w:p>
    <w:sectPr w:rsidR="00CF2FCA" w:rsidSect="00A9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3378"/>
    <w:multiLevelType w:val="hybridMultilevel"/>
    <w:tmpl w:val="CBB8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673B"/>
    <w:rsid w:val="00141905"/>
    <w:rsid w:val="001F5F34"/>
    <w:rsid w:val="002600A5"/>
    <w:rsid w:val="00470B10"/>
    <w:rsid w:val="007F2A5E"/>
    <w:rsid w:val="0091673B"/>
    <w:rsid w:val="009B773B"/>
    <w:rsid w:val="00A90966"/>
    <w:rsid w:val="00B758CB"/>
    <w:rsid w:val="00CF2FCA"/>
    <w:rsid w:val="00FB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0A5"/>
    <w:rPr>
      <w:b/>
      <w:bCs/>
    </w:rPr>
  </w:style>
  <w:style w:type="character" w:styleId="a5">
    <w:name w:val="Hyperlink"/>
    <w:basedOn w:val="a0"/>
    <w:uiPriority w:val="99"/>
    <w:semiHidden/>
    <w:unhideWhenUsed/>
    <w:rsid w:val="00260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2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mj.ru/authors/avdeev_s_n/" TargetMode="External"/><Relationship Id="rId5" Type="http://schemas.openxmlformats.org/officeDocument/2006/relationships/hyperlink" Target="https://www.rmj.ru/authors/avdeeva_o_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Ранчаева Марина Васильевна</dc:creator>
  <cp:keywords/>
  <dc:description/>
  <cp:lastModifiedBy>Acer</cp:lastModifiedBy>
  <cp:revision>4</cp:revision>
  <dcterms:created xsi:type="dcterms:W3CDTF">2019-03-20T15:07:00Z</dcterms:created>
  <dcterms:modified xsi:type="dcterms:W3CDTF">2019-03-21T17:04:00Z</dcterms:modified>
</cp:coreProperties>
</file>