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A80F" w14:textId="77777777" w:rsidR="00DA18AC" w:rsidRDefault="00DA18AC" w:rsidP="00F12045">
      <w:pPr>
        <w:pStyle w:val="ae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</w:p>
    <w:p w14:paraId="30C02BE9" w14:textId="77777777" w:rsidR="00DA18AC" w:rsidRDefault="00DA18AC" w:rsidP="00F12045">
      <w:pPr>
        <w:pStyle w:val="ae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</w:p>
    <w:p w14:paraId="13D24A52" w14:textId="20F9F888" w:rsidR="00F12045" w:rsidRPr="00F12045" w:rsidRDefault="00F12045" w:rsidP="00F12045">
      <w:pPr>
        <w:pStyle w:val="ae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F12045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ПАМЯТКА ПО ПРОФИЛАКТИКЕ МЕНИНГОКОККОВОЙ ИНФЕКЦИИ</w:t>
      </w:r>
    </w:p>
    <w:p w14:paraId="24495527" w14:textId="4BDF36EF" w:rsidR="00884079" w:rsidRDefault="008713E3" w:rsidP="00884079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noProof/>
          <w:lang w:eastAsia="ru-RU"/>
        </w:rPr>
        <w:t xml:space="preserve"> </w:t>
      </w:r>
    </w:p>
    <w:p w14:paraId="2C5486B8" w14:textId="1092D9E8" w:rsidR="00896383" w:rsidRDefault="00DA18AC" w:rsidP="00896383">
      <w:pPr>
        <w:jc w:val="right"/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</w:pPr>
      <w:r>
        <w:rPr>
          <w:rFonts w:ascii="Trebuchet MS" w:hAnsi="Trebuchet MS"/>
          <w:noProof/>
          <w:color w:val="9E0A0F"/>
          <w:sz w:val="24"/>
        </w:rPr>
        <w:drawing>
          <wp:inline distT="0" distB="0" distL="0" distR="0" wp14:anchorId="6CBE5D8A" wp14:editId="608E388C">
            <wp:extent cx="2696845" cy="3792438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88" cy="381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69D61" w14:textId="4D4B3C60" w:rsidR="006A743E" w:rsidRDefault="006A743E" w:rsidP="00522BCA">
      <w:pPr>
        <w:pStyle w:val="a6"/>
        <w:spacing w:before="173" w:line="249" w:lineRule="auto"/>
        <w:ind w:left="111" w:right="38" w:firstLine="283"/>
        <w:jc w:val="both"/>
        <w:rPr>
          <w:rFonts w:ascii="Trebuchet MS" w:hAnsi="Trebuchet MS"/>
          <w:color w:val="9E0A0F"/>
          <w:sz w:val="24"/>
        </w:rPr>
      </w:pPr>
    </w:p>
    <w:p w14:paraId="5A5808A3" w14:textId="7E504647" w:rsidR="00DD69D9" w:rsidRDefault="00DD69D9" w:rsidP="00522BCA">
      <w:pPr>
        <w:pStyle w:val="a6"/>
        <w:spacing w:before="173" w:line="249" w:lineRule="auto"/>
        <w:ind w:left="111" w:right="38" w:firstLine="283"/>
        <w:jc w:val="both"/>
        <w:rPr>
          <w:rFonts w:ascii="Trebuchet MS" w:hAnsi="Trebuchet MS"/>
          <w:color w:val="9E0A0F"/>
          <w:sz w:val="24"/>
        </w:rPr>
      </w:pPr>
    </w:p>
    <w:p w14:paraId="0B91A4AC" w14:textId="77777777" w:rsidR="00DA18AC" w:rsidRDefault="00DA18AC" w:rsidP="00522BCA">
      <w:pPr>
        <w:pStyle w:val="a6"/>
        <w:spacing w:before="173" w:line="249" w:lineRule="auto"/>
        <w:ind w:left="111" w:right="38" w:firstLine="283"/>
        <w:jc w:val="both"/>
        <w:rPr>
          <w:rFonts w:ascii="Trebuchet MS" w:hAnsi="Trebuchet MS"/>
          <w:color w:val="9E0A0F"/>
          <w:sz w:val="24"/>
        </w:rPr>
      </w:pPr>
    </w:p>
    <w:p w14:paraId="1E06A601" w14:textId="13DBC8A1" w:rsidR="00F12045" w:rsidRPr="00DA18AC" w:rsidRDefault="00DA18AC" w:rsidP="00DA18AC">
      <w:pPr>
        <w:pStyle w:val="a6"/>
        <w:spacing w:before="173" w:line="249" w:lineRule="auto"/>
        <w:ind w:right="38"/>
        <w:jc w:val="center"/>
        <w:rPr>
          <w:b/>
          <w:sz w:val="22"/>
          <w:szCs w:val="22"/>
        </w:rPr>
      </w:pPr>
      <w:r w:rsidRPr="00DA18AC">
        <w:rPr>
          <w:sz w:val="22"/>
          <w:szCs w:val="22"/>
        </w:rPr>
        <w:t>Красноярск 2022</w:t>
      </w:r>
    </w:p>
    <w:p w14:paraId="6FDB3FB7" w14:textId="5F2DC5C4" w:rsidR="00DD69D9" w:rsidRPr="00DD69D9" w:rsidRDefault="00DD69D9" w:rsidP="00DA18AC">
      <w:pPr>
        <w:pStyle w:val="a6"/>
        <w:spacing w:before="173" w:line="249" w:lineRule="auto"/>
        <w:ind w:left="111" w:right="38" w:firstLine="283"/>
        <w:contextualSpacing/>
        <w:jc w:val="center"/>
        <w:rPr>
          <w:b/>
          <w:bCs/>
          <w:color w:val="C45911" w:themeColor="accent2" w:themeShade="BF"/>
          <w:sz w:val="22"/>
          <w:szCs w:val="22"/>
        </w:rPr>
      </w:pPr>
      <w:r w:rsidRPr="00DD69D9">
        <w:rPr>
          <w:b/>
          <w:bCs/>
          <w:color w:val="C45911" w:themeColor="accent2" w:themeShade="BF"/>
          <w:sz w:val="22"/>
          <w:szCs w:val="22"/>
          <w:shd w:val="clear" w:color="auto" w:fill="FFFFFF"/>
        </w:rPr>
        <w:t>МЕНИНГОКОККОВАЯ ИНФЕКЦИЯ</w:t>
      </w:r>
    </w:p>
    <w:p w14:paraId="6CC0020A" w14:textId="506FB519" w:rsidR="00660E7C" w:rsidRDefault="00A01286" w:rsidP="00DA18AC">
      <w:pPr>
        <w:pStyle w:val="a6"/>
        <w:spacing w:before="173" w:line="249" w:lineRule="auto"/>
        <w:ind w:left="111" w:right="38"/>
        <w:contextualSpacing/>
        <w:jc w:val="both"/>
        <w:rPr>
          <w:color w:val="03050A"/>
          <w:sz w:val="22"/>
          <w:szCs w:val="22"/>
        </w:rPr>
      </w:pPr>
      <w:r>
        <w:rPr>
          <w:color w:val="03050A"/>
          <w:sz w:val="22"/>
          <w:szCs w:val="22"/>
        </w:rPr>
        <w:t xml:space="preserve">- </w:t>
      </w:r>
      <w:r w:rsidR="00DD69D9" w:rsidRPr="00DD69D9">
        <w:rPr>
          <w:color w:val="212529"/>
          <w:sz w:val="22"/>
          <w:szCs w:val="22"/>
          <w:shd w:val="clear" w:color="auto" w:fill="FFFFFF"/>
        </w:rPr>
        <w:t>острое инфекционное заболевание с аэрозольным механизмом передачи, характеризующееся различными формами инфекционного процесса: от локальной формы (</w:t>
      </w:r>
      <w:proofErr w:type="spellStart"/>
      <w:r w:rsidR="00DD69D9" w:rsidRPr="00DD69D9">
        <w:rPr>
          <w:color w:val="212529"/>
          <w:sz w:val="22"/>
          <w:szCs w:val="22"/>
          <w:shd w:val="clear" w:color="auto" w:fill="FFFFFF"/>
        </w:rPr>
        <w:t>назофарингит</w:t>
      </w:r>
      <w:proofErr w:type="spellEnd"/>
      <w:r w:rsidR="00DD69D9" w:rsidRPr="00DD69D9">
        <w:rPr>
          <w:color w:val="212529"/>
          <w:sz w:val="22"/>
          <w:szCs w:val="22"/>
          <w:shd w:val="clear" w:color="auto" w:fill="FFFFFF"/>
        </w:rPr>
        <w:t>) до генерализованных форм в виде общей интоксикации и поражения мягких мозговых оболочек головного мозга с развитием менингита, а также бессимптомной формой (</w:t>
      </w:r>
      <w:proofErr w:type="spellStart"/>
      <w:r w:rsidR="00DD69D9" w:rsidRPr="00DD69D9">
        <w:rPr>
          <w:color w:val="212529"/>
          <w:sz w:val="22"/>
          <w:szCs w:val="22"/>
          <w:shd w:val="clear" w:color="auto" w:fill="FFFFFF"/>
        </w:rPr>
        <w:t>бактерионосительство</w:t>
      </w:r>
      <w:proofErr w:type="spellEnd"/>
      <w:r w:rsidR="00DD69D9" w:rsidRPr="00DD69D9">
        <w:rPr>
          <w:color w:val="212529"/>
          <w:sz w:val="22"/>
          <w:szCs w:val="22"/>
          <w:shd w:val="clear" w:color="auto" w:fill="FFFFFF"/>
        </w:rPr>
        <w:t>).</w:t>
      </w:r>
    </w:p>
    <w:p w14:paraId="6883647C" w14:textId="77777777" w:rsidR="00F12045" w:rsidRPr="00F12045" w:rsidRDefault="00F12045" w:rsidP="00DA18AC">
      <w:pPr>
        <w:pStyle w:val="a6"/>
        <w:spacing w:before="173" w:line="249" w:lineRule="auto"/>
        <w:ind w:left="111" w:right="38"/>
        <w:contextualSpacing/>
        <w:jc w:val="both"/>
        <w:rPr>
          <w:color w:val="03050A"/>
          <w:sz w:val="22"/>
          <w:szCs w:val="22"/>
        </w:rPr>
      </w:pPr>
    </w:p>
    <w:p w14:paraId="1D1B260E" w14:textId="77777777" w:rsidR="00BC09EC" w:rsidRPr="00DD69D9" w:rsidRDefault="00B30DB5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45911" w:themeColor="accent2" w:themeShade="BF"/>
        </w:rPr>
      </w:pPr>
      <w:r w:rsidRPr="00DD69D9">
        <w:rPr>
          <w:rFonts w:ascii="Times New Roman" w:eastAsia="Calibri" w:hAnsi="Times New Roman" w:cs="Times New Roman"/>
          <w:b/>
          <w:color w:val="C45911" w:themeColor="accent2" w:themeShade="BF"/>
        </w:rPr>
        <w:t>ВОЗБУДИТЕЛЬ:</w:t>
      </w:r>
    </w:p>
    <w:p w14:paraId="0B69E25B" w14:textId="20E314DF" w:rsidR="00DD69D9" w:rsidRPr="00DD69D9" w:rsidRDefault="00DD69D9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D69D9">
        <w:rPr>
          <w:color w:val="212529"/>
          <w:sz w:val="22"/>
          <w:szCs w:val="22"/>
        </w:rPr>
        <w:t xml:space="preserve">менингококк </w:t>
      </w:r>
      <w:proofErr w:type="spellStart"/>
      <w:r w:rsidRPr="00DD69D9">
        <w:rPr>
          <w:color w:val="212529"/>
          <w:sz w:val="22"/>
          <w:szCs w:val="22"/>
        </w:rPr>
        <w:t>Neisseria</w:t>
      </w:r>
      <w:proofErr w:type="spellEnd"/>
      <w:r w:rsidRPr="00DD69D9">
        <w:rPr>
          <w:color w:val="212529"/>
          <w:sz w:val="22"/>
          <w:szCs w:val="22"/>
        </w:rPr>
        <w:t xml:space="preserve"> </w:t>
      </w:r>
      <w:proofErr w:type="spellStart"/>
      <w:r w:rsidRPr="00DD69D9">
        <w:rPr>
          <w:color w:val="212529"/>
          <w:sz w:val="22"/>
          <w:szCs w:val="22"/>
        </w:rPr>
        <w:t>meningitidis</w:t>
      </w:r>
      <w:proofErr w:type="spellEnd"/>
      <w:r w:rsidRPr="00DD69D9">
        <w:rPr>
          <w:color w:val="212529"/>
          <w:sz w:val="22"/>
          <w:szCs w:val="22"/>
        </w:rPr>
        <w:t xml:space="preserve"> из семейства </w:t>
      </w:r>
      <w:proofErr w:type="spellStart"/>
      <w:r w:rsidRPr="00DD69D9">
        <w:rPr>
          <w:color w:val="212529"/>
          <w:sz w:val="22"/>
          <w:szCs w:val="22"/>
        </w:rPr>
        <w:t>Neisseriaceae</w:t>
      </w:r>
      <w:proofErr w:type="spellEnd"/>
      <w:r w:rsidRPr="00DD69D9">
        <w:rPr>
          <w:color w:val="212529"/>
          <w:sz w:val="22"/>
          <w:szCs w:val="22"/>
        </w:rPr>
        <w:t xml:space="preserve"> рода </w:t>
      </w:r>
      <w:proofErr w:type="spellStart"/>
      <w:r w:rsidRPr="00DD69D9">
        <w:rPr>
          <w:color w:val="212529"/>
          <w:sz w:val="22"/>
          <w:szCs w:val="22"/>
        </w:rPr>
        <w:t>Neisseria</w:t>
      </w:r>
      <w:proofErr w:type="spellEnd"/>
      <w:r w:rsidRPr="00DD69D9">
        <w:rPr>
          <w:color w:val="212529"/>
          <w:sz w:val="22"/>
          <w:szCs w:val="22"/>
        </w:rPr>
        <w:t>.</w:t>
      </w:r>
      <w:r w:rsidR="00A01286">
        <w:rPr>
          <w:color w:val="212529"/>
          <w:sz w:val="22"/>
          <w:szCs w:val="22"/>
        </w:rPr>
        <w:t xml:space="preserve"> </w:t>
      </w:r>
      <w:r w:rsidRPr="00DD69D9">
        <w:rPr>
          <w:color w:val="212529"/>
          <w:sz w:val="22"/>
          <w:szCs w:val="22"/>
        </w:rPr>
        <w:t>В окружающей среде неустойчив.</w:t>
      </w:r>
    </w:p>
    <w:p w14:paraId="65F7A0A2" w14:textId="220137F7" w:rsidR="00B30DB5" w:rsidRPr="00DA18AC" w:rsidRDefault="00DD69D9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D69D9">
        <w:rPr>
          <w:color w:val="212529"/>
          <w:sz w:val="22"/>
          <w:szCs w:val="22"/>
        </w:rPr>
        <w:t xml:space="preserve">В Российской Федерации генерализованную форму менингококковой инфекции чаще всего вызывают </w:t>
      </w:r>
      <w:proofErr w:type="spellStart"/>
      <w:r w:rsidRPr="00DD69D9">
        <w:rPr>
          <w:color w:val="212529"/>
          <w:sz w:val="22"/>
          <w:szCs w:val="22"/>
        </w:rPr>
        <w:t>серогруппы</w:t>
      </w:r>
      <w:proofErr w:type="spellEnd"/>
      <w:r w:rsidRPr="00DD69D9">
        <w:rPr>
          <w:color w:val="212529"/>
          <w:sz w:val="22"/>
          <w:szCs w:val="22"/>
        </w:rPr>
        <w:t xml:space="preserve"> А,</w:t>
      </w:r>
      <w:r w:rsidR="00A01286">
        <w:rPr>
          <w:color w:val="212529"/>
          <w:sz w:val="22"/>
          <w:szCs w:val="22"/>
        </w:rPr>
        <w:t xml:space="preserve"> </w:t>
      </w:r>
      <w:r w:rsidRPr="00DD69D9">
        <w:rPr>
          <w:color w:val="212529"/>
          <w:sz w:val="22"/>
          <w:szCs w:val="22"/>
        </w:rPr>
        <w:t>В,</w:t>
      </w:r>
      <w:r w:rsidR="00A01286">
        <w:rPr>
          <w:color w:val="212529"/>
          <w:sz w:val="22"/>
          <w:szCs w:val="22"/>
        </w:rPr>
        <w:t xml:space="preserve"> </w:t>
      </w:r>
      <w:r w:rsidRPr="00DD69D9">
        <w:rPr>
          <w:color w:val="212529"/>
          <w:sz w:val="22"/>
          <w:szCs w:val="22"/>
        </w:rPr>
        <w:t>С, а также W и Y.</w:t>
      </w:r>
    </w:p>
    <w:p w14:paraId="67DA4123" w14:textId="116EAB5F" w:rsidR="008B7593" w:rsidRDefault="00B30DB5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45911" w:themeColor="accent2" w:themeShade="BF"/>
        </w:rPr>
      </w:pPr>
      <w:r w:rsidRPr="00A01286">
        <w:rPr>
          <w:rFonts w:ascii="Times New Roman" w:eastAsia="Calibri" w:hAnsi="Times New Roman" w:cs="Times New Roman"/>
          <w:b/>
          <w:color w:val="C45911" w:themeColor="accent2" w:themeShade="BF"/>
        </w:rPr>
        <w:t xml:space="preserve">ИНКУБАЦИОННЫЙ ПЕРИОД: </w:t>
      </w:r>
    </w:p>
    <w:p w14:paraId="5DB12251" w14:textId="77777777" w:rsidR="00A01286" w:rsidRPr="00A01286" w:rsidRDefault="00A01286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45911" w:themeColor="accent2" w:themeShade="BF"/>
        </w:rPr>
      </w:pPr>
    </w:p>
    <w:p w14:paraId="50A98031" w14:textId="134677CD" w:rsidR="00660E7C" w:rsidRDefault="00A01286" w:rsidP="00DA18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A01286">
        <w:rPr>
          <w:rFonts w:ascii="Times New Roman" w:hAnsi="Times New Roman" w:cs="Times New Roman"/>
          <w:color w:val="212529"/>
          <w:shd w:val="clear" w:color="auto" w:fill="FFFFFF"/>
        </w:rPr>
        <w:t>1-10 дней, в среднем до 4 дней.</w:t>
      </w:r>
    </w:p>
    <w:p w14:paraId="028EB271" w14:textId="77777777" w:rsidR="00A01286" w:rsidRPr="00A01286" w:rsidRDefault="00A01286" w:rsidP="00DA18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A7A847" w14:textId="77777777" w:rsidR="00700FF3" w:rsidRPr="00A01286" w:rsidRDefault="00660E7C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45911" w:themeColor="accent2" w:themeShade="BF"/>
        </w:rPr>
      </w:pPr>
      <w:r w:rsidRPr="00A01286">
        <w:rPr>
          <w:rFonts w:ascii="Times New Roman" w:eastAsia="Calibri" w:hAnsi="Times New Roman" w:cs="Times New Roman"/>
          <w:b/>
          <w:color w:val="C45911" w:themeColor="accent2" w:themeShade="BF"/>
        </w:rPr>
        <w:t>ИСТОЧНИК ЗАБОЛЕВАНИЯ:</w:t>
      </w:r>
    </w:p>
    <w:p w14:paraId="5B72D4CB" w14:textId="1B8A3A76" w:rsidR="00A01286" w:rsidRPr="00A01286" w:rsidRDefault="00A01286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A01286">
        <w:rPr>
          <w:color w:val="212529"/>
          <w:sz w:val="22"/>
          <w:szCs w:val="22"/>
        </w:rPr>
        <w:t xml:space="preserve">- </w:t>
      </w:r>
      <w:r w:rsidRPr="00A01286">
        <w:rPr>
          <w:color w:val="212529"/>
          <w:sz w:val="22"/>
          <w:szCs w:val="22"/>
        </w:rPr>
        <w:t>инфицированный человек.</w:t>
      </w:r>
    </w:p>
    <w:p w14:paraId="5F5A4B15" w14:textId="77777777" w:rsidR="00A01286" w:rsidRPr="00A01286" w:rsidRDefault="00A01286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rFonts w:ascii="Source Sans Pro" w:hAnsi="Source Sans Pro"/>
          <w:color w:val="212529"/>
          <w:sz w:val="22"/>
          <w:szCs w:val="22"/>
        </w:rPr>
      </w:pPr>
      <w:r w:rsidRPr="00A01286">
        <w:rPr>
          <w:color w:val="212529"/>
          <w:sz w:val="22"/>
          <w:szCs w:val="22"/>
        </w:rPr>
        <w:t>Это может быть как заболевший генерализованной формой менингококковой инфекции,</w:t>
      </w:r>
      <w:r w:rsidRPr="00A01286">
        <w:rPr>
          <w:rFonts w:ascii="Source Sans Pro" w:hAnsi="Source Sans Pro"/>
          <w:color w:val="212529"/>
          <w:sz w:val="22"/>
          <w:szCs w:val="22"/>
        </w:rPr>
        <w:t xml:space="preserve"> </w:t>
      </w:r>
      <w:r w:rsidRPr="00A01286">
        <w:rPr>
          <w:color w:val="212529"/>
          <w:sz w:val="22"/>
          <w:szCs w:val="22"/>
        </w:rPr>
        <w:t xml:space="preserve">так и больной острым менингококковым </w:t>
      </w:r>
      <w:proofErr w:type="spellStart"/>
      <w:r w:rsidRPr="00A01286">
        <w:rPr>
          <w:color w:val="212529"/>
          <w:sz w:val="22"/>
          <w:szCs w:val="22"/>
        </w:rPr>
        <w:t>назофарингитом</w:t>
      </w:r>
      <w:proofErr w:type="spellEnd"/>
      <w:r w:rsidRPr="00A01286">
        <w:rPr>
          <w:color w:val="212529"/>
          <w:sz w:val="22"/>
          <w:szCs w:val="22"/>
        </w:rPr>
        <w:t xml:space="preserve"> и</w:t>
      </w:r>
      <w:r w:rsidRPr="00A01286">
        <w:rPr>
          <w:rFonts w:ascii="Source Sans Pro" w:hAnsi="Source Sans Pro"/>
          <w:color w:val="212529"/>
          <w:sz w:val="22"/>
          <w:szCs w:val="22"/>
        </w:rPr>
        <w:t xml:space="preserve"> </w:t>
      </w:r>
      <w:r w:rsidRPr="00A01286">
        <w:rPr>
          <w:color w:val="212529"/>
          <w:sz w:val="22"/>
          <w:szCs w:val="22"/>
        </w:rPr>
        <w:t>бактерионоситель менингококка.</w:t>
      </w:r>
    </w:p>
    <w:p w14:paraId="2F24AA75" w14:textId="77777777" w:rsidR="008B7593" w:rsidRPr="008713E3" w:rsidRDefault="008B7593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14:paraId="2CAC2877" w14:textId="77777777" w:rsidR="008B7593" w:rsidRPr="00A01286" w:rsidRDefault="008B7593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45911" w:themeColor="accent2" w:themeShade="BF"/>
        </w:rPr>
      </w:pPr>
      <w:r w:rsidRPr="00A01286">
        <w:rPr>
          <w:rFonts w:ascii="Times New Roman" w:eastAsia="Calibri" w:hAnsi="Times New Roman" w:cs="Times New Roman"/>
          <w:b/>
          <w:color w:val="C45911" w:themeColor="accent2" w:themeShade="BF"/>
        </w:rPr>
        <w:t>ПУТИ ПЕРЕДАЧИ:</w:t>
      </w:r>
    </w:p>
    <w:p w14:paraId="63992E87" w14:textId="77777777" w:rsidR="008B7593" w:rsidRPr="008713E3" w:rsidRDefault="008B7593" w:rsidP="00DA18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18"/>
          <w:szCs w:val="20"/>
        </w:rPr>
      </w:pPr>
    </w:p>
    <w:p w14:paraId="453828D6" w14:textId="77777777" w:rsidR="00A01286" w:rsidRPr="00A01286" w:rsidRDefault="00A01286" w:rsidP="00DA18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A01286">
        <w:rPr>
          <w:rFonts w:ascii="Times New Roman" w:hAnsi="Times New Roman" w:cs="Times New Roman"/>
          <w:color w:val="212529"/>
          <w:shd w:val="clear" w:color="auto" w:fill="FFFFFF"/>
        </w:rPr>
        <w:t>воздушно-капельный</w:t>
      </w:r>
      <w:r w:rsidRPr="00A01286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  <w:p w14:paraId="3F0BA7D6" w14:textId="7383CB75" w:rsidR="008713E3" w:rsidRDefault="00A01286" w:rsidP="00DA18A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A01286">
        <w:rPr>
          <w:rFonts w:ascii="Times New Roman" w:hAnsi="Times New Roman" w:cs="Times New Roman"/>
          <w:color w:val="212529"/>
          <w:shd w:val="clear" w:color="auto" w:fill="FFFFFF"/>
        </w:rPr>
        <w:t>через предметы обихода (посуда).</w:t>
      </w:r>
    </w:p>
    <w:p w14:paraId="24505665" w14:textId="77777777" w:rsidR="00DA18AC" w:rsidRDefault="00DA18AC" w:rsidP="00DA18AC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C45911" w:themeColor="accent2" w:themeShade="BF"/>
          <w:shd w:val="clear" w:color="auto" w:fill="FFFFFF"/>
        </w:rPr>
      </w:pPr>
    </w:p>
    <w:p w14:paraId="47A5FE4A" w14:textId="6D6705A4" w:rsidR="00DE5187" w:rsidRPr="00DE5187" w:rsidRDefault="00DE5187" w:rsidP="00DA18A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C45911" w:themeColor="accent2" w:themeShade="BF"/>
          <w:shd w:val="clear" w:color="auto" w:fill="FFFFFF"/>
        </w:rPr>
      </w:pPr>
      <w:r w:rsidRPr="00DE5187">
        <w:rPr>
          <w:rFonts w:ascii="Times New Roman" w:hAnsi="Times New Roman" w:cs="Times New Roman"/>
          <w:b/>
          <w:bCs/>
          <w:color w:val="C45911" w:themeColor="accent2" w:themeShade="BF"/>
          <w:shd w:val="clear" w:color="auto" w:fill="FFFFFF"/>
        </w:rPr>
        <w:t>КЛИНИКА:</w:t>
      </w:r>
    </w:p>
    <w:p w14:paraId="276E1BE9" w14:textId="7777777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 xml:space="preserve">У большинства инфицированных, при попадании в организм менингококка, заболевание не проявляется и выявляется </w:t>
      </w:r>
      <w:r w:rsidRPr="00DE5187">
        <w:rPr>
          <w:color w:val="212529"/>
          <w:sz w:val="22"/>
          <w:szCs w:val="22"/>
        </w:rPr>
        <w:t>только при бактериологическом обследовании.</w:t>
      </w:r>
    </w:p>
    <w:p w14:paraId="4631871F" w14:textId="1941BBA2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Ра</w:t>
      </w:r>
      <w:r w:rsidRPr="00DE5187">
        <w:rPr>
          <w:color w:val="212529"/>
          <w:sz w:val="22"/>
          <w:szCs w:val="22"/>
        </w:rPr>
        <w:t xml:space="preserve">звивается картина острого </w:t>
      </w:r>
      <w:proofErr w:type="spellStart"/>
      <w:r w:rsidRPr="00DE5187">
        <w:rPr>
          <w:color w:val="212529"/>
          <w:sz w:val="22"/>
          <w:szCs w:val="22"/>
        </w:rPr>
        <w:t>назофарингита</w:t>
      </w:r>
      <w:proofErr w:type="spellEnd"/>
      <w:r w:rsidRPr="00DE5187">
        <w:rPr>
          <w:color w:val="212529"/>
          <w:sz w:val="22"/>
          <w:szCs w:val="22"/>
        </w:rPr>
        <w:t xml:space="preserve">. Менингококковый </w:t>
      </w:r>
      <w:proofErr w:type="spellStart"/>
      <w:r w:rsidRPr="00DE5187">
        <w:rPr>
          <w:color w:val="212529"/>
          <w:sz w:val="22"/>
          <w:szCs w:val="22"/>
        </w:rPr>
        <w:t>назофарингит</w:t>
      </w:r>
      <w:proofErr w:type="spellEnd"/>
      <w:r w:rsidRPr="00DE5187">
        <w:rPr>
          <w:color w:val="212529"/>
          <w:sz w:val="22"/>
          <w:szCs w:val="22"/>
        </w:rPr>
        <w:t xml:space="preserve"> протекает как обычная ОРВИ, об инфицировании также узнают только после положительного результата посева со слизистой оболочки носоглотки.</w:t>
      </w:r>
    </w:p>
    <w:p w14:paraId="7519830E" w14:textId="38A3EDA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>У одного из тысячи развивается менингококковый сепсис (тяжелейшая интоксикация, геморрагическая звездчатая сыпь, появляющаяся сначала на стопах, голенях, коже ягодиц, далее на всех конечностях и туловище).</w:t>
      </w:r>
    </w:p>
    <w:p w14:paraId="521DDF0E" w14:textId="2E83C062" w:rsidR="008713E3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>Менингококковый менингит также начинается с интоксикации, головной боли, рвоты. При осмотре - положительные менингеальные симптомы.</w:t>
      </w:r>
    </w:p>
    <w:p w14:paraId="0F784D4E" w14:textId="77777777" w:rsidR="00DA18AC" w:rsidRDefault="00DA18AC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</w:p>
    <w:p w14:paraId="1D5A5402" w14:textId="153A6611" w:rsidR="00DE5187" w:rsidRDefault="00DE5187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  <w:r w:rsidRPr="00DE5187">
        <w:rPr>
          <w:rStyle w:val="ad"/>
          <w:color w:val="C45911" w:themeColor="accent2" w:themeShade="BF"/>
          <w:sz w:val="22"/>
          <w:szCs w:val="22"/>
        </w:rPr>
        <w:t>ЧЕМ ОПАСНО ЗАБОЛЕВАНИЕ?</w:t>
      </w:r>
    </w:p>
    <w:p w14:paraId="7C6A6942" w14:textId="77777777" w:rsidR="00DA18AC" w:rsidRPr="00DE5187" w:rsidRDefault="00DA18AC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C45911" w:themeColor="accent2" w:themeShade="BF"/>
          <w:sz w:val="22"/>
          <w:szCs w:val="22"/>
        </w:rPr>
      </w:pPr>
    </w:p>
    <w:p w14:paraId="2D55A420" w14:textId="7777777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>Летальность достигает 50%.</w:t>
      </w:r>
    </w:p>
    <w:p w14:paraId="49861978" w14:textId="7777777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>У перенесших тяжёлые формы менингококковой инфекции часто диагностируют потерю слуха, органическое поражение нервной системы.</w:t>
      </w:r>
    </w:p>
    <w:p w14:paraId="388BF320" w14:textId="23CCCC52" w:rsid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>Менингококковый сепсис осложняется полиартритами, перикардитом, эндокардитом, миокардитом, воспалительным поражением глаз, поражением почек, печени, надпочечников.</w:t>
      </w:r>
    </w:p>
    <w:p w14:paraId="02C72FDC" w14:textId="77777777" w:rsidR="00DA18AC" w:rsidRDefault="00DA18AC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</w:p>
    <w:p w14:paraId="6BCB5A7E" w14:textId="195511B0" w:rsidR="001857D4" w:rsidRDefault="001857D4" w:rsidP="00DA18AC">
      <w:pPr>
        <w:pStyle w:val="ac"/>
        <w:shd w:val="clear" w:color="auto" w:fill="FFFFFF"/>
        <w:spacing w:before="0" w:beforeAutospacing="0" w:after="24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  <w:r w:rsidRPr="001857D4">
        <w:rPr>
          <w:rStyle w:val="ad"/>
          <w:color w:val="C45911" w:themeColor="accent2" w:themeShade="BF"/>
          <w:sz w:val="22"/>
          <w:szCs w:val="22"/>
        </w:rPr>
        <w:t>КАК УБЕРЕЧЬСЯ?</w:t>
      </w:r>
    </w:p>
    <w:p w14:paraId="6F943CD0" w14:textId="77777777" w:rsidR="00DA18AC" w:rsidRDefault="00DA18AC" w:rsidP="00DA18AC">
      <w:pPr>
        <w:pStyle w:val="ac"/>
        <w:shd w:val="clear" w:color="auto" w:fill="FFFFFF"/>
        <w:spacing w:before="0" w:beforeAutospacing="0" w:after="240" w:afterAutospacing="0"/>
        <w:contextualSpacing/>
        <w:jc w:val="center"/>
        <w:rPr>
          <w:color w:val="C45911" w:themeColor="accent2" w:themeShade="BF"/>
          <w:sz w:val="22"/>
          <w:szCs w:val="22"/>
        </w:rPr>
      </w:pPr>
    </w:p>
    <w:p w14:paraId="3381C62C" w14:textId="4556FE66" w:rsidR="001857D4" w:rsidRPr="00F12045" w:rsidRDefault="001857D4" w:rsidP="00DA18AC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</w:rPr>
      </w:pPr>
      <w:r w:rsidRPr="00F12045">
        <w:rPr>
          <w:sz w:val="22"/>
          <w:szCs w:val="22"/>
        </w:rPr>
        <w:t>ранняя изоляция больного в инфекционный стационар</w:t>
      </w:r>
      <w:r w:rsidR="00F12045" w:rsidRPr="00F12045">
        <w:rPr>
          <w:sz w:val="22"/>
          <w:szCs w:val="22"/>
        </w:rPr>
        <w:t>.</w:t>
      </w:r>
    </w:p>
    <w:p w14:paraId="3B8384EA" w14:textId="77777777" w:rsidR="00F12045" w:rsidRPr="00F12045" w:rsidRDefault="001857D4" w:rsidP="00DA18AC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</w:rPr>
      </w:pPr>
      <w:proofErr w:type="spellStart"/>
      <w:r w:rsidRPr="00F12045">
        <w:rPr>
          <w:sz w:val="22"/>
          <w:szCs w:val="22"/>
        </w:rPr>
        <w:t>бработка</w:t>
      </w:r>
      <w:proofErr w:type="spellEnd"/>
      <w:r w:rsidRPr="00F12045">
        <w:rPr>
          <w:sz w:val="22"/>
          <w:szCs w:val="22"/>
        </w:rPr>
        <w:t xml:space="preserve"> дезинфицирующими растворами предметов ухода за больным (кружек, ложек тарелок и </w:t>
      </w:r>
      <w:proofErr w:type="gramStart"/>
      <w:r w:rsidRPr="00F12045">
        <w:rPr>
          <w:sz w:val="22"/>
          <w:szCs w:val="22"/>
        </w:rPr>
        <w:t>т.п.</w:t>
      </w:r>
      <w:proofErr w:type="gramEnd"/>
      <w:r w:rsidRPr="00F12045">
        <w:rPr>
          <w:sz w:val="22"/>
          <w:szCs w:val="22"/>
        </w:rPr>
        <w:t>), предоставление ему индивидуальной посуды.</w:t>
      </w:r>
    </w:p>
    <w:p w14:paraId="4123637D" w14:textId="77777777" w:rsidR="00F12045" w:rsidRPr="00F12045" w:rsidRDefault="00F12045" w:rsidP="00DA18AC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</w:rPr>
      </w:pPr>
      <w:r w:rsidRPr="00F12045">
        <w:rPr>
          <w:sz w:val="22"/>
          <w:szCs w:val="22"/>
        </w:rPr>
        <w:t>с</w:t>
      </w:r>
      <w:r w:rsidR="001857D4" w:rsidRPr="00F12045">
        <w:rPr>
          <w:sz w:val="22"/>
          <w:szCs w:val="22"/>
        </w:rPr>
        <w:t>трогое соблюдение правил личной гигиены.</w:t>
      </w:r>
    </w:p>
    <w:p w14:paraId="2EBE2338" w14:textId="1EE137B8" w:rsidR="00DE5187" w:rsidRPr="00F12045" w:rsidRDefault="001857D4" w:rsidP="00DA18AC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</w:rPr>
      </w:pPr>
      <w:r w:rsidRPr="00F12045">
        <w:rPr>
          <w:sz w:val="22"/>
          <w:szCs w:val="22"/>
        </w:rPr>
        <w:lastRenderedPageBreak/>
        <w:t>специфическая профилактика менингококковой инфекции методом вакцинации (введение вакцины).</w:t>
      </w:r>
    </w:p>
    <w:p w14:paraId="14501FA8" w14:textId="77777777" w:rsidR="00F12045" w:rsidRDefault="00F12045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</w:p>
    <w:p w14:paraId="07AB0BAF" w14:textId="24EDFA64" w:rsidR="00DE5187" w:rsidRDefault="00DE5187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  <w:r w:rsidRPr="00DE5187">
        <w:rPr>
          <w:rStyle w:val="ad"/>
          <w:color w:val="C45911" w:themeColor="accent2" w:themeShade="BF"/>
          <w:sz w:val="22"/>
          <w:szCs w:val="22"/>
        </w:rPr>
        <w:t>ПРОФИЛАКТИКА</w:t>
      </w:r>
    </w:p>
    <w:p w14:paraId="58AB877F" w14:textId="77777777" w:rsidR="00DA18AC" w:rsidRPr="00DE5187" w:rsidRDefault="00DA18AC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C45911" w:themeColor="accent2" w:themeShade="BF"/>
          <w:sz w:val="22"/>
          <w:szCs w:val="22"/>
        </w:rPr>
      </w:pPr>
    </w:p>
    <w:p w14:paraId="4249CF32" w14:textId="7777777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 xml:space="preserve">Вакцинация против менингококковой инфекции входит в календарь профилактических прививок по эпидемическим показаниям и проводится детям и взрослым в очагах менингококковой инфекции, вызванной менингококками </w:t>
      </w:r>
      <w:proofErr w:type="spellStart"/>
      <w:r w:rsidRPr="00DE5187">
        <w:rPr>
          <w:color w:val="212529"/>
          <w:sz w:val="22"/>
          <w:szCs w:val="22"/>
        </w:rPr>
        <w:t>серогрупп</w:t>
      </w:r>
      <w:proofErr w:type="spellEnd"/>
      <w:r w:rsidRPr="00DE5187">
        <w:rPr>
          <w:color w:val="212529"/>
          <w:sz w:val="22"/>
          <w:szCs w:val="22"/>
        </w:rPr>
        <w:t xml:space="preserve"> A или C.</w:t>
      </w:r>
    </w:p>
    <w:p w14:paraId="249E7F8B" w14:textId="77777777" w:rsidR="00DE5187" w:rsidRPr="00DE5187" w:rsidRDefault="00DE5187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DE5187">
        <w:rPr>
          <w:color w:val="212529"/>
          <w:sz w:val="22"/>
          <w:szCs w:val="22"/>
        </w:rPr>
        <w:t xml:space="preserve">Вакцинация проводится в эндемичных регионах, а также в случае эпидемии, вызванной менингококками </w:t>
      </w:r>
      <w:proofErr w:type="spellStart"/>
      <w:r w:rsidRPr="00DE5187">
        <w:rPr>
          <w:color w:val="212529"/>
          <w:sz w:val="22"/>
          <w:szCs w:val="22"/>
        </w:rPr>
        <w:t>серогрупп</w:t>
      </w:r>
      <w:proofErr w:type="spellEnd"/>
      <w:r w:rsidRPr="00DE5187">
        <w:rPr>
          <w:color w:val="212529"/>
          <w:sz w:val="22"/>
          <w:szCs w:val="22"/>
        </w:rPr>
        <w:t xml:space="preserve"> A или C.</w:t>
      </w:r>
    </w:p>
    <w:p w14:paraId="52CB1939" w14:textId="77777777" w:rsidR="00665FEC" w:rsidRDefault="00665FEC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  <w:r w:rsidRPr="00665FEC">
        <w:rPr>
          <w:rStyle w:val="ad"/>
          <w:color w:val="C45911" w:themeColor="accent2" w:themeShade="BF"/>
          <w:sz w:val="22"/>
          <w:szCs w:val="22"/>
        </w:rPr>
        <w:t>НЕСПЕЦИФИЧЕСКАЯ ПРОФИЛАКТИК</w:t>
      </w:r>
      <w:r>
        <w:rPr>
          <w:rStyle w:val="ad"/>
          <w:color w:val="C45911" w:themeColor="accent2" w:themeShade="BF"/>
          <w:sz w:val="22"/>
          <w:szCs w:val="22"/>
        </w:rPr>
        <w:t>А</w:t>
      </w:r>
    </w:p>
    <w:p w14:paraId="51BE7BA7" w14:textId="77777777" w:rsidR="00665FEC" w:rsidRDefault="00665FEC" w:rsidP="00DA18AC">
      <w:pPr>
        <w:pStyle w:val="ac"/>
        <w:shd w:val="clear" w:color="auto" w:fill="FFFFFF"/>
        <w:spacing w:before="0" w:beforeAutospacing="0" w:after="0" w:afterAutospacing="0"/>
        <w:contextualSpacing/>
        <w:rPr>
          <w:color w:val="212529"/>
          <w:sz w:val="22"/>
          <w:szCs w:val="22"/>
        </w:rPr>
      </w:pPr>
    </w:p>
    <w:p w14:paraId="61F09722" w14:textId="2EB113B7" w:rsidR="00665FEC" w:rsidRDefault="00665FEC" w:rsidP="00DA18AC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212529"/>
          <w:sz w:val="22"/>
          <w:szCs w:val="22"/>
        </w:rPr>
      </w:pPr>
      <w:r w:rsidRPr="00665FEC">
        <w:rPr>
          <w:color w:val="212529"/>
          <w:sz w:val="22"/>
          <w:szCs w:val="22"/>
        </w:rPr>
        <w:t>Неспецифическая профилактика менингококковой инфекции заключается в недопущении контактов с заболевшими и в наблюдении за контактными в течение 10 дней.</w:t>
      </w:r>
    </w:p>
    <w:p w14:paraId="5A4E1E2F" w14:textId="30526ACB" w:rsidR="001849C4" w:rsidRDefault="001849C4" w:rsidP="00DA18AC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212529"/>
          <w:sz w:val="22"/>
          <w:szCs w:val="22"/>
        </w:rPr>
      </w:pPr>
    </w:p>
    <w:p w14:paraId="64D7AFD5" w14:textId="47B6DA11" w:rsidR="001849C4" w:rsidRPr="001849C4" w:rsidRDefault="001849C4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C45911" w:themeColor="accent2" w:themeShade="BF"/>
          <w:sz w:val="22"/>
          <w:szCs w:val="22"/>
        </w:rPr>
      </w:pPr>
      <w:r w:rsidRPr="001849C4">
        <w:rPr>
          <w:b/>
          <w:bCs/>
          <w:color w:val="C45911" w:themeColor="accent2" w:themeShade="BF"/>
          <w:sz w:val="22"/>
          <w:szCs w:val="22"/>
        </w:rPr>
        <w:t>СХЕМА ВАКЦИНАЦИИ</w:t>
      </w:r>
    </w:p>
    <w:p w14:paraId="634B0B81" w14:textId="77777777" w:rsidR="001849C4" w:rsidRPr="001849C4" w:rsidRDefault="001849C4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Вакцинация против менингококковой инфекции проводится однократно.</w:t>
      </w:r>
    </w:p>
    <w:p w14:paraId="22D9D54D" w14:textId="77777777" w:rsidR="001849C4" w:rsidRDefault="001849C4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Разрешено проводить вакцинацию одновременно с вакцинацией против других инфекций, кроме вакцинации против желтой лихорадки и туберкулеза.</w:t>
      </w:r>
    </w:p>
    <w:p w14:paraId="52E753D3" w14:textId="054E2B25" w:rsidR="001849C4" w:rsidRPr="001849C4" w:rsidRDefault="001849C4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Детям от 1 года до 8 лет включительно, а также студентам первых курсов средних и высших учебных заведений проводят вакцинацию полисахаридной вакциной.</w:t>
      </w:r>
    </w:p>
    <w:p w14:paraId="0F879C6C" w14:textId="19D8C0EB" w:rsidR="001849C4" w:rsidRDefault="001849C4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Поствакцинальный иммунитет сохраняется до 10 лет.</w:t>
      </w:r>
    </w:p>
    <w:p w14:paraId="2EEBFD4F" w14:textId="77777777" w:rsidR="00DA18AC" w:rsidRDefault="00DA18AC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color w:val="C45911" w:themeColor="accent2" w:themeShade="BF"/>
          <w:sz w:val="22"/>
          <w:szCs w:val="22"/>
        </w:rPr>
      </w:pPr>
    </w:p>
    <w:p w14:paraId="26B15CD0" w14:textId="477A03AE" w:rsidR="001849C4" w:rsidRDefault="001849C4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C45911" w:themeColor="accent2" w:themeShade="BF"/>
          <w:sz w:val="22"/>
          <w:szCs w:val="22"/>
        </w:rPr>
      </w:pPr>
      <w:r w:rsidRPr="001849C4">
        <w:rPr>
          <w:rStyle w:val="ad"/>
          <w:color w:val="C45911" w:themeColor="accent2" w:themeShade="BF"/>
          <w:sz w:val="22"/>
          <w:szCs w:val="22"/>
        </w:rPr>
        <w:t>ГРУППЫ РИСКА</w:t>
      </w:r>
      <w:r>
        <w:rPr>
          <w:color w:val="C45911" w:themeColor="accent2" w:themeShade="BF"/>
          <w:sz w:val="22"/>
          <w:szCs w:val="22"/>
        </w:rPr>
        <w:t>:</w:t>
      </w:r>
    </w:p>
    <w:p w14:paraId="03F908ED" w14:textId="77777777" w:rsidR="001D0612" w:rsidRPr="001849C4" w:rsidRDefault="001D0612" w:rsidP="00DA18A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C45911" w:themeColor="accent2" w:themeShade="BF"/>
          <w:sz w:val="22"/>
          <w:szCs w:val="22"/>
        </w:rPr>
      </w:pPr>
    </w:p>
    <w:p w14:paraId="7D4263FC" w14:textId="7AD49717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призывники;</w:t>
      </w:r>
    </w:p>
    <w:p w14:paraId="7702C53C" w14:textId="3B6AC872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направляющиеся в эндемичные по менингококковой инфекции районы;</w:t>
      </w:r>
    </w:p>
    <w:p w14:paraId="40559764" w14:textId="1A3A1E03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медицинские работники, работающие с инфекционными больными;</w:t>
      </w:r>
    </w:p>
    <w:p w14:paraId="2E9DB643" w14:textId="4DC8BD63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медицинские работники и сотрудники лабораторий, работающие с живой культурой менингококка;</w:t>
      </w:r>
    </w:p>
    <w:p w14:paraId="7366077F" w14:textId="4476E737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воспитанники и персонал детских домов, домов ребенка, интернатов;</w:t>
      </w:r>
    </w:p>
    <w:p w14:paraId="0A3E97A3" w14:textId="77777777" w:rsid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проживающие в общежитиях;</w:t>
      </w:r>
    </w:p>
    <w:p w14:paraId="5C61974D" w14:textId="3161A689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лица, принимающие участие в массовых международных спортивных и культурных мероприятиях;</w:t>
      </w:r>
    </w:p>
    <w:p w14:paraId="26F654C4" w14:textId="21E166C4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дети до 5 лет включительно;</w:t>
      </w:r>
    </w:p>
    <w:p w14:paraId="531EBD57" w14:textId="3009D451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 xml:space="preserve">подростки в возрасте </w:t>
      </w:r>
      <w:proofErr w:type="gramStart"/>
      <w:r w:rsidRPr="001849C4">
        <w:rPr>
          <w:color w:val="212529"/>
          <w:sz w:val="22"/>
          <w:szCs w:val="22"/>
        </w:rPr>
        <w:t>13-17</w:t>
      </w:r>
      <w:proofErr w:type="gramEnd"/>
      <w:r w:rsidRPr="001849C4">
        <w:rPr>
          <w:color w:val="212529"/>
          <w:sz w:val="22"/>
          <w:szCs w:val="22"/>
        </w:rPr>
        <w:t xml:space="preserve"> лет (повышенный уровень носительства);</w:t>
      </w:r>
    </w:p>
    <w:p w14:paraId="5D52A026" w14:textId="611F91EA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лица старше 60 лет;</w:t>
      </w:r>
    </w:p>
    <w:p w14:paraId="45D6C113" w14:textId="38954D58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лица с первичными и вторичными иммунодефицитными состояниями, в том числе ВИЧ-инфицированные;</w:t>
      </w:r>
    </w:p>
    <w:p w14:paraId="5AB9C5A0" w14:textId="0B9709B6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>лица, перенесшие кохлеарную имплантацию;</w:t>
      </w:r>
    </w:p>
    <w:p w14:paraId="23DF6F28" w14:textId="1BCC71D7" w:rsidR="001849C4" w:rsidRPr="001849C4" w:rsidRDefault="001849C4" w:rsidP="00DA18AC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212529"/>
          <w:sz w:val="22"/>
          <w:szCs w:val="22"/>
        </w:rPr>
      </w:pPr>
      <w:r w:rsidRPr="001849C4">
        <w:rPr>
          <w:color w:val="212529"/>
          <w:sz w:val="22"/>
          <w:szCs w:val="22"/>
        </w:rPr>
        <w:t xml:space="preserve">лица с </w:t>
      </w:r>
      <w:proofErr w:type="spellStart"/>
      <w:r w:rsidRPr="001849C4">
        <w:rPr>
          <w:color w:val="212529"/>
          <w:sz w:val="22"/>
          <w:szCs w:val="22"/>
        </w:rPr>
        <w:t>ликвореей</w:t>
      </w:r>
      <w:proofErr w:type="spellEnd"/>
      <w:r w:rsidRPr="001849C4">
        <w:rPr>
          <w:color w:val="212529"/>
          <w:sz w:val="22"/>
          <w:szCs w:val="22"/>
        </w:rPr>
        <w:t>.</w:t>
      </w:r>
    </w:p>
    <w:p w14:paraId="6DF6490C" w14:textId="4FFE99D2" w:rsidR="008713E3" w:rsidRDefault="001849C4" w:rsidP="00DA18AC">
      <w:pPr>
        <w:pStyle w:val="ac"/>
        <w:shd w:val="clear" w:color="auto" w:fill="FFFFFF"/>
        <w:spacing w:before="150" w:beforeAutospacing="0" w:after="150" w:afterAutospacing="0"/>
        <w:contextualSpacing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1849C4">
        <w:rPr>
          <w:color w:val="212529"/>
          <w:sz w:val="22"/>
          <w:szCs w:val="22"/>
        </w:rPr>
        <w:t xml:space="preserve">Дети заболевают чаще, чем взрослые. </w:t>
      </w:r>
      <w:r w:rsidR="001D0612">
        <w:rPr>
          <w:color w:val="212529"/>
          <w:sz w:val="22"/>
          <w:szCs w:val="22"/>
        </w:rPr>
        <w:br/>
      </w:r>
      <w:r w:rsidR="001D0612">
        <w:rPr>
          <w:color w:val="212529"/>
          <w:sz w:val="22"/>
          <w:szCs w:val="22"/>
        </w:rPr>
        <w:br w:type="column"/>
      </w:r>
      <w:r w:rsidR="001857D4">
        <w:rPr>
          <w:noProof/>
          <w:color w:val="212529"/>
          <w:sz w:val="22"/>
          <w:szCs w:val="22"/>
        </w:rPr>
        <w:drawing>
          <wp:inline distT="0" distB="0" distL="0" distR="0" wp14:anchorId="3DEEA363" wp14:editId="0F3903A7">
            <wp:extent cx="3223050" cy="241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97" cy="242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CB327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7955E6A6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5F59CEDF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35FD6B3F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1218D78A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60423A34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3FC9123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5DF3E6F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2C927BE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05D26791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53DA5244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12DF13ED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55F49CEE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B286201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A673665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64086029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16C67F7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7D4AD35A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6CF67DB6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3E0F4D30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64D7FE36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3750EA80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75901BCC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4E17785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94D2785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E244D0F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875491D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709945D8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1794FAF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2C3FD2DD" w14:textId="77777777" w:rsidR="001857D4" w:rsidRDefault="001857D4" w:rsidP="00DA18AC">
      <w:pPr>
        <w:pStyle w:val="a6"/>
        <w:spacing w:before="14" w:line="249" w:lineRule="auto"/>
        <w:ind w:right="38"/>
        <w:contextualSpacing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56D78183" w14:textId="77777777" w:rsidR="001857D4" w:rsidRDefault="001857D4" w:rsidP="008713E3">
      <w:pPr>
        <w:pStyle w:val="a6"/>
        <w:spacing w:before="14" w:line="249" w:lineRule="auto"/>
        <w:ind w:right="38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</w:p>
    <w:p w14:paraId="4B84093A" w14:textId="24906AA3" w:rsidR="00896383" w:rsidRDefault="00A3482F" w:rsidP="008713E3">
      <w:pPr>
        <w:pStyle w:val="a6"/>
        <w:spacing w:before="14" w:line="249" w:lineRule="auto"/>
        <w:ind w:right="38"/>
        <w:rPr>
          <w:rFonts w:ascii="Arial" w:hAnsi="Arial" w:cs="Arial"/>
          <w:color w:val="000000"/>
          <w:sz w:val="16"/>
          <w:szCs w:val="18"/>
          <w:shd w:val="clear" w:color="auto" w:fill="FFFFFF"/>
        </w:rPr>
        <w:sectPr w:rsidR="00896383" w:rsidSect="00896383">
          <w:footerReference w:type="default" r:id="rId10"/>
          <w:pgSz w:w="16838" w:h="11906" w:orient="landscape"/>
          <w:pgMar w:top="284" w:right="1134" w:bottom="426" w:left="1134" w:header="708" w:footer="708" w:gutter="0"/>
          <w:cols w:num="3" w:space="708"/>
          <w:titlePg/>
          <w:docGrid w:linePitch="360"/>
        </w:sectPr>
      </w:pPr>
      <w:r>
        <w:rPr>
          <w:rFonts w:ascii="Arial" w:hAnsi="Arial" w:cs="Arial"/>
          <w:noProof/>
          <w:color w:val="000000"/>
          <w:sz w:val="16"/>
          <w:szCs w:val="18"/>
          <w:shd w:val="clear" w:color="auto" w:fill="FFFFFF"/>
        </w:rPr>
        <w:pict w14:anchorId="22A80772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.35pt;margin-top:1.4pt;width:241.7pt;height:30.85pt;z-index:251660288;mso-height-percent:200;mso-height-percent:200;mso-width-relative:margin;mso-height-relative:margin">
            <v:textbox style="mso-fit-shape-to-text:t">
              <w:txbxContent>
                <w:p w14:paraId="41FC007B" w14:textId="251BE2F6" w:rsidR="00896383" w:rsidRPr="00896383" w:rsidRDefault="00DD69D9" w:rsidP="001857D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Пюрко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Алина Сергеевна</w:t>
                  </w:r>
                  <w:r w:rsidR="00896383" w:rsidRPr="00896383">
                    <w:rPr>
                      <w:rFonts w:ascii="Times New Roman" w:hAnsi="Times New Roman" w:cs="Times New Roman"/>
                      <w:sz w:val="24"/>
                    </w:rPr>
                    <w:t xml:space="preserve"> 212 группа</w:t>
                  </w:r>
                </w:p>
              </w:txbxContent>
            </v:textbox>
          </v:shape>
        </w:pict>
      </w:r>
    </w:p>
    <w:p w14:paraId="396536C8" w14:textId="4CD8989D" w:rsidR="008713E3" w:rsidRPr="00896383" w:rsidRDefault="008713E3" w:rsidP="008713E3">
      <w:pPr>
        <w:pStyle w:val="a6"/>
        <w:spacing w:before="14" w:line="249" w:lineRule="auto"/>
        <w:ind w:right="38"/>
        <w:rPr>
          <w:b/>
          <w:sz w:val="18"/>
          <w:szCs w:val="24"/>
        </w:rPr>
      </w:pPr>
    </w:p>
    <w:sectPr w:rsidR="008713E3" w:rsidRPr="00896383" w:rsidSect="00896383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247B" w14:textId="77777777" w:rsidR="00A3482F" w:rsidRDefault="00A3482F" w:rsidP="00700FF3">
      <w:pPr>
        <w:spacing w:after="0" w:line="240" w:lineRule="auto"/>
      </w:pPr>
      <w:r>
        <w:separator/>
      </w:r>
    </w:p>
  </w:endnote>
  <w:endnote w:type="continuationSeparator" w:id="0">
    <w:p w14:paraId="2FA7567E" w14:textId="77777777" w:rsidR="00A3482F" w:rsidRDefault="00A3482F" w:rsidP="0070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A0FF" w14:textId="77777777" w:rsidR="00700FF3" w:rsidRDefault="00700FF3">
    <w:pPr>
      <w:pStyle w:val="aa"/>
    </w:pPr>
    <w:r>
      <w:t xml:space="preserve">     </w:t>
    </w:r>
    <w:r w:rsidR="00896383">
      <w:t xml:space="preserve">         </w:t>
    </w:r>
  </w:p>
  <w:p w14:paraId="7025399D" w14:textId="77777777" w:rsidR="00700FF3" w:rsidRDefault="00700F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B10C" w14:textId="77777777" w:rsidR="00A3482F" w:rsidRDefault="00A3482F" w:rsidP="00700FF3">
      <w:pPr>
        <w:spacing w:after="0" w:line="240" w:lineRule="auto"/>
      </w:pPr>
      <w:r>
        <w:separator/>
      </w:r>
    </w:p>
  </w:footnote>
  <w:footnote w:type="continuationSeparator" w:id="0">
    <w:p w14:paraId="64058411" w14:textId="77777777" w:rsidR="00A3482F" w:rsidRDefault="00A3482F" w:rsidP="0070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A9C"/>
    <w:multiLevelType w:val="hybridMultilevel"/>
    <w:tmpl w:val="EABC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CA5"/>
    <w:multiLevelType w:val="hybridMultilevel"/>
    <w:tmpl w:val="2532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5A26"/>
    <w:multiLevelType w:val="hybridMultilevel"/>
    <w:tmpl w:val="7B481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F6"/>
    <w:multiLevelType w:val="hybridMultilevel"/>
    <w:tmpl w:val="697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EF4"/>
    <w:multiLevelType w:val="hybridMultilevel"/>
    <w:tmpl w:val="DCE28E48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60FC7BC7"/>
    <w:multiLevelType w:val="hybridMultilevel"/>
    <w:tmpl w:val="C72C5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102"/>
    <w:multiLevelType w:val="hybridMultilevel"/>
    <w:tmpl w:val="50C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41215"/>
    <w:multiLevelType w:val="hybridMultilevel"/>
    <w:tmpl w:val="B140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5F87"/>
    <w:multiLevelType w:val="hybridMultilevel"/>
    <w:tmpl w:val="0E7E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1D43"/>
    <w:multiLevelType w:val="hybridMultilevel"/>
    <w:tmpl w:val="AD50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768013">
    <w:abstractNumId w:val="5"/>
  </w:num>
  <w:num w:numId="2" w16cid:durableId="2100826458">
    <w:abstractNumId w:val="9"/>
  </w:num>
  <w:num w:numId="3" w16cid:durableId="1621641850">
    <w:abstractNumId w:val="8"/>
  </w:num>
  <w:num w:numId="4" w16cid:durableId="423650792">
    <w:abstractNumId w:val="2"/>
  </w:num>
  <w:num w:numId="5" w16cid:durableId="832985576">
    <w:abstractNumId w:val="0"/>
  </w:num>
  <w:num w:numId="6" w16cid:durableId="1212615197">
    <w:abstractNumId w:val="4"/>
  </w:num>
  <w:num w:numId="7" w16cid:durableId="411052085">
    <w:abstractNumId w:val="7"/>
  </w:num>
  <w:num w:numId="8" w16cid:durableId="137041943">
    <w:abstractNumId w:val="6"/>
  </w:num>
  <w:num w:numId="9" w16cid:durableId="36051833">
    <w:abstractNumId w:val="3"/>
  </w:num>
  <w:num w:numId="10" w16cid:durableId="97185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349"/>
    <w:rsid w:val="001469E5"/>
    <w:rsid w:val="001849C4"/>
    <w:rsid w:val="001857D4"/>
    <w:rsid w:val="001A7ED5"/>
    <w:rsid w:val="001D0612"/>
    <w:rsid w:val="00225D37"/>
    <w:rsid w:val="00326461"/>
    <w:rsid w:val="003A0315"/>
    <w:rsid w:val="00514097"/>
    <w:rsid w:val="00522BCA"/>
    <w:rsid w:val="005F289F"/>
    <w:rsid w:val="0060500F"/>
    <w:rsid w:val="00621559"/>
    <w:rsid w:val="00660E7C"/>
    <w:rsid w:val="00665FEC"/>
    <w:rsid w:val="006A743E"/>
    <w:rsid w:val="00700FF3"/>
    <w:rsid w:val="00702D37"/>
    <w:rsid w:val="007070DB"/>
    <w:rsid w:val="00715678"/>
    <w:rsid w:val="0077746F"/>
    <w:rsid w:val="007F2888"/>
    <w:rsid w:val="008713E3"/>
    <w:rsid w:val="00884079"/>
    <w:rsid w:val="00896383"/>
    <w:rsid w:val="008B7593"/>
    <w:rsid w:val="0090797B"/>
    <w:rsid w:val="00A01286"/>
    <w:rsid w:val="00A3482F"/>
    <w:rsid w:val="00A50D28"/>
    <w:rsid w:val="00A624D6"/>
    <w:rsid w:val="00B276DA"/>
    <w:rsid w:val="00B30DB5"/>
    <w:rsid w:val="00B4443A"/>
    <w:rsid w:val="00BC09EC"/>
    <w:rsid w:val="00BE3BBD"/>
    <w:rsid w:val="00C62E94"/>
    <w:rsid w:val="00C6426A"/>
    <w:rsid w:val="00CC5E7C"/>
    <w:rsid w:val="00D17B76"/>
    <w:rsid w:val="00D34C92"/>
    <w:rsid w:val="00D7483D"/>
    <w:rsid w:val="00DA18AC"/>
    <w:rsid w:val="00DD69D9"/>
    <w:rsid w:val="00DE5187"/>
    <w:rsid w:val="00DF5349"/>
    <w:rsid w:val="00E778E7"/>
    <w:rsid w:val="00EC1B78"/>
    <w:rsid w:val="00EF3F02"/>
    <w:rsid w:val="00F1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56EBF8E9"/>
  <w15:docId w15:val="{5D1A8FE0-85A6-468D-904C-5BBD6DC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37"/>
  </w:style>
  <w:style w:type="paragraph" w:styleId="2">
    <w:name w:val="heading 2"/>
    <w:basedOn w:val="a"/>
    <w:link w:val="20"/>
    <w:uiPriority w:val="9"/>
    <w:qFormat/>
    <w:rsid w:val="00F1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07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2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22BCA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7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FF3"/>
  </w:style>
  <w:style w:type="paragraph" w:styleId="aa">
    <w:name w:val="footer"/>
    <w:basedOn w:val="a"/>
    <w:link w:val="ab"/>
    <w:uiPriority w:val="99"/>
    <w:unhideWhenUsed/>
    <w:rsid w:val="007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FF3"/>
  </w:style>
  <w:style w:type="paragraph" w:styleId="ac">
    <w:name w:val="Normal (Web)"/>
    <w:basedOn w:val="a"/>
    <w:uiPriority w:val="99"/>
    <w:unhideWhenUsed/>
    <w:rsid w:val="00DD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E51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2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F12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28C5-F159-4E5B-8BC5-E36C678E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Колезнев Алексей Владимирович</cp:lastModifiedBy>
  <cp:revision>2</cp:revision>
  <dcterms:created xsi:type="dcterms:W3CDTF">2022-06-06T15:08:00Z</dcterms:created>
  <dcterms:modified xsi:type="dcterms:W3CDTF">2022-06-06T15:08:00Z</dcterms:modified>
</cp:coreProperties>
</file>