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59375" w14:textId="77777777" w:rsidR="00782C31" w:rsidRPr="00687F4E" w:rsidRDefault="00782C31" w:rsidP="00782C31">
      <w:pPr>
        <w:pStyle w:val="a3"/>
        <w:spacing w:line="360" w:lineRule="auto"/>
        <w:jc w:val="center"/>
      </w:pPr>
      <w:r w:rsidRPr="00687F4E"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14:paraId="6BF6C1D9" w14:textId="77777777" w:rsidR="00782C31" w:rsidRPr="00687F4E" w:rsidRDefault="00782C31" w:rsidP="00782C31">
      <w:pPr>
        <w:pStyle w:val="a3"/>
        <w:jc w:val="center"/>
      </w:pPr>
    </w:p>
    <w:p w14:paraId="74779392" w14:textId="77777777" w:rsidR="00782C31" w:rsidRPr="00687F4E" w:rsidRDefault="00782C31" w:rsidP="00782C31">
      <w:pPr>
        <w:pStyle w:val="a3"/>
        <w:jc w:val="center"/>
      </w:pPr>
      <w:r w:rsidRPr="00687F4E">
        <w:t>Кафедра терапии ИПО</w:t>
      </w:r>
    </w:p>
    <w:p w14:paraId="2A653E0E" w14:textId="77777777" w:rsidR="00782C31" w:rsidRPr="00687F4E" w:rsidRDefault="00782C31" w:rsidP="00782C31">
      <w:pPr>
        <w:pStyle w:val="a3"/>
        <w:jc w:val="center"/>
      </w:pPr>
      <w:r w:rsidRPr="00687F4E">
        <w:t xml:space="preserve">Заведующий кафедрой: д.м.н., профессор </w:t>
      </w:r>
      <w:proofErr w:type="spellStart"/>
      <w:r w:rsidRPr="00687F4E">
        <w:t>Гринштейн</w:t>
      </w:r>
      <w:proofErr w:type="spellEnd"/>
      <w:r w:rsidRPr="00687F4E">
        <w:t xml:space="preserve"> Юрий Исаевич</w:t>
      </w:r>
    </w:p>
    <w:p w14:paraId="090A55DD" w14:textId="77777777" w:rsidR="00782C31" w:rsidRPr="00687F4E" w:rsidRDefault="00782C31" w:rsidP="00782C31">
      <w:pPr>
        <w:pStyle w:val="a3"/>
        <w:jc w:val="center"/>
      </w:pPr>
      <w:r w:rsidRPr="00687F4E">
        <w:t>РЕФЕРАТ</w:t>
      </w:r>
    </w:p>
    <w:p w14:paraId="6C8CAA4B" w14:textId="77777777" w:rsidR="00782C31" w:rsidRPr="00687F4E" w:rsidRDefault="00782C31" w:rsidP="00782C31">
      <w:pPr>
        <w:pStyle w:val="a3"/>
        <w:jc w:val="center"/>
      </w:pPr>
    </w:p>
    <w:p w14:paraId="6B6DE320" w14:textId="5BF1B902" w:rsidR="00782C31" w:rsidRPr="00687F4E" w:rsidRDefault="00782C31" w:rsidP="00782C31">
      <w:pPr>
        <w:pStyle w:val="1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687F4E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Тема: «Диагностика и лечение Системной красной волчанки»</w:t>
      </w:r>
    </w:p>
    <w:p w14:paraId="71AF2168" w14:textId="77777777" w:rsidR="00782C31" w:rsidRPr="00687F4E" w:rsidRDefault="00782C31" w:rsidP="00782C31">
      <w:pPr>
        <w:pStyle w:val="a3"/>
        <w:jc w:val="center"/>
      </w:pPr>
      <w:r w:rsidRPr="00687F4E">
        <w:t xml:space="preserve"> </w:t>
      </w:r>
    </w:p>
    <w:p w14:paraId="66A18A71" w14:textId="11BF695F" w:rsidR="00782C31" w:rsidRPr="00687F4E" w:rsidRDefault="00782C31" w:rsidP="00782C31">
      <w:pPr>
        <w:pStyle w:val="a3"/>
        <w:jc w:val="center"/>
      </w:pPr>
    </w:p>
    <w:p w14:paraId="2333F00F" w14:textId="77777777" w:rsidR="00782C31" w:rsidRPr="00687F4E" w:rsidRDefault="00782C31" w:rsidP="00782C31">
      <w:pPr>
        <w:pStyle w:val="a3"/>
        <w:jc w:val="center"/>
      </w:pPr>
    </w:p>
    <w:p w14:paraId="5E48EE09" w14:textId="77777777" w:rsidR="00782C31" w:rsidRPr="00687F4E" w:rsidRDefault="00782C31" w:rsidP="00782C31">
      <w:pPr>
        <w:pStyle w:val="a3"/>
        <w:jc w:val="center"/>
      </w:pPr>
    </w:p>
    <w:p w14:paraId="2EE0B912" w14:textId="44F0D64C" w:rsidR="00782C31" w:rsidRPr="00687F4E" w:rsidRDefault="00782C31" w:rsidP="00782C31">
      <w:pPr>
        <w:pStyle w:val="a3"/>
        <w:jc w:val="center"/>
      </w:pPr>
      <w:r w:rsidRPr="00687F4E">
        <w:t xml:space="preserve">                                                   Выполнил: ординатор 1 года 111 группы кафедры Терапия        ИПО </w:t>
      </w:r>
      <w:proofErr w:type="spellStart"/>
      <w:r w:rsidRPr="00687F4E">
        <w:t>Борчикова</w:t>
      </w:r>
      <w:proofErr w:type="spellEnd"/>
      <w:r w:rsidRPr="00687F4E">
        <w:t xml:space="preserve"> Татьяна Владимировна</w:t>
      </w:r>
    </w:p>
    <w:p w14:paraId="7E28AD4B" w14:textId="77777777" w:rsidR="00782C31" w:rsidRPr="00687F4E" w:rsidRDefault="00782C31" w:rsidP="00782C31">
      <w:pPr>
        <w:pStyle w:val="a3"/>
        <w:jc w:val="center"/>
      </w:pPr>
    </w:p>
    <w:p w14:paraId="798D1A91" w14:textId="59D811F4" w:rsidR="00782C31" w:rsidRPr="00687F4E" w:rsidRDefault="00782C31" w:rsidP="00782C31">
      <w:pPr>
        <w:pStyle w:val="a3"/>
        <w:jc w:val="center"/>
      </w:pPr>
      <w:r w:rsidRPr="00687F4E">
        <w:t xml:space="preserve">                                                Проверил: КМН, Доцент кафедры Терапия ИПО Шабалин</w:t>
      </w:r>
      <w:r w:rsidR="002119C2" w:rsidRPr="00687F4E">
        <w:t xml:space="preserve"> Владимир Викторович</w:t>
      </w:r>
    </w:p>
    <w:p w14:paraId="3541247D" w14:textId="77777777" w:rsidR="00782C31" w:rsidRPr="00687F4E" w:rsidRDefault="00782C31" w:rsidP="00782C31">
      <w:pPr>
        <w:pStyle w:val="a3"/>
        <w:jc w:val="center"/>
      </w:pPr>
    </w:p>
    <w:p w14:paraId="1F2193F9" w14:textId="77777777" w:rsidR="00782C31" w:rsidRPr="00687F4E" w:rsidRDefault="00782C31" w:rsidP="00782C31">
      <w:pPr>
        <w:pStyle w:val="a3"/>
        <w:jc w:val="center"/>
      </w:pPr>
    </w:p>
    <w:p w14:paraId="663672A6" w14:textId="77777777" w:rsidR="00782C31" w:rsidRPr="00687F4E" w:rsidRDefault="00782C31" w:rsidP="00782C31">
      <w:pPr>
        <w:pStyle w:val="a3"/>
      </w:pPr>
    </w:p>
    <w:p w14:paraId="51D9372D" w14:textId="0E29E054" w:rsidR="00782C31" w:rsidRPr="00687F4E" w:rsidRDefault="00782C31" w:rsidP="00782C31">
      <w:pPr>
        <w:pStyle w:val="a3"/>
        <w:jc w:val="center"/>
      </w:pPr>
    </w:p>
    <w:p w14:paraId="778FA199" w14:textId="5C37556E" w:rsidR="00782C31" w:rsidRPr="00687F4E" w:rsidRDefault="00782C31" w:rsidP="00782C31">
      <w:pPr>
        <w:pStyle w:val="a3"/>
        <w:jc w:val="center"/>
      </w:pPr>
    </w:p>
    <w:p w14:paraId="51D537B3" w14:textId="7BC6A697" w:rsidR="00782C31" w:rsidRPr="00687F4E" w:rsidRDefault="00782C31" w:rsidP="00782C31">
      <w:pPr>
        <w:pStyle w:val="a3"/>
        <w:jc w:val="center"/>
      </w:pPr>
    </w:p>
    <w:p w14:paraId="0EF1E386" w14:textId="70B2381C" w:rsidR="00782C31" w:rsidRPr="00687F4E" w:rsidRDefault="00782C31" w:rsidP="00782C31">
      <w:pPr>
        <w:pStyle w:val="a3"/>
        <w:jc w:val="center"/>
      </w:pPr>
    </w:p>
    <w:p w14:paraId="001F7F5D" w14:textId="77777777" w:rsidR="00782C31" w:rsidRPr="00687F4E" w:rsidRDefault="00782C31" w:rsidP="00782C31">
      <w:pPr>
        <w:pStyle w:val="a3"/>
        <w:jc w:val="center"/>
      </w:pPr>
    </w:p>
    <w:p w14:paraId="03794F28" w14:textId="6A9F0F2E" w:rsidR="00782C31" w:rsidRPr="00687F4E" w:rsidRDefault="00782C31" w:rsidP="00687F4E">
      <w:pPr>
        <w:pStyle w:val="a3"/>
        <w:jc w:val="center"/>
      </w:pPr>
      <w:r w:rsidRPr="00687F4E">
        <w:t>Красноярск 2024</w:t>
      </w:r>
    </w:p>
    <w:p w14:paraId="73BFD230" w14:textId="20EF75DF" w:rsidR="00782C31" w:rsidRPr="00687F4E" w:rsidRDefault="00782C31" w:rsidP="00782C31">
      <w:pPr>
        <w:pStyle w:val="a3"/>
        <w:jc w:val="center"/>
      </w:pPr>
    </w:p>
    <w:p w14:paraId="48589ACD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87F4E">
        <w:rPr>
          <w:rFonts w:ascii="Times New Roman" w:hAnsi="Times New Roman" w:cs="Times New Roman"/>
          <w:kern w:val="36"/>
          <w:sz w:val="24"/>
          <w:szCs w:val="24"/>
        </w:rPr>
        <w:t xml:space="preserve">Оглавление </w:t>
      </w:r>
    </w:p>
    <w:p w14:paraId="1D7DAB12" w14:textId="3A8C723C" w:rsidR="00D019E9" w:rsidRPr="00687F4E" w:rsidRDefault="00782C31" w:rsidP="00D019E9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87F4E">
        <w:rPr>
          <w:rFonts w:ascii="Times New Roman" w:hAnsi="Times New Roman" w:cs="Times New Roman"/>
          <w:kern w:val="36"/>
          <w:sz w:val="24"/>
          <w:szCs w:val="24"/>
        </w:rPr>
        <w:t>Введение………………………………………………………………………………….3</w:t>
      </w:r>
    </w:p>
    <w:p w14:paraId="0D4F1496" w14:textId="76933E0C" w:rsidR="00782C31" w:rsidRPr="00687F4E" w:rsidRDefault="00D019E9" w:rsidP="00687F4E">
      <w:pPr>
        <w:pStyle w:val="1"/>
        <w:ind w:firstLine="709"/>
        <w:rPr>
          <w:rFonts w:ascii="Times New Roman" w:hAnsi="Times New Roman" w:cs="Times New Roman"/>
          <w:kern w:val="36"/>
          <w:sz w:val="24"/>
          <w:szCs w:val="24"/>
        </w:rPr>
      </w:pPr>
      <w:r w:rsidRPr="00687F4E">
        <w:rPr>
          <w:rFonts w:ascii="Times New Roman" w:hAnsi="Times New Roman" w:cs="Times New Roman"/>
          <w:kern w:val="36"/>
          <w:sz w:val="24"/>
          <w:szCs w:val="24"/>
        </w:rPr>
        <w:t>Этио</w:t>
      </w:r>
      <w:r w:rsidR="00687F4E">
        <w:rPr>
          <w:rFonts w:ascii="Times New Roman" w:hAnsi="Times New Roman" w:cs="Times New Roman"/>
          <w:kern w:val="36"/>
          <w:sz w:val="24"/>
          <w:szCs w:val="24"/>
        </w:rPr>
        <w:t xml:space="preserve">логия и </w:t>
      </w:r>
      <w:r w:rsidRPr="00687F4E">
        <w:rPr>
          <w:rFonts w:ascii="Times New Roman" w:hAnsi="Times New Roman" w:cs="Times New Roman"/>
          <w:kern w:val="36"/>
          <w:sz w:val="24"/>
          <w:szCs w:val="24"/>
        </w:rPr>
        <w:t>патогенез</w:t>
      </w:r>
      <w:r w:rsidR="00782C31" w:rsidRPr="00687F4E">
        <w:rPr>
          <w:rFonts w:ascii="Times New Roman" w:hAnsi="Times New Roman" w:cs="Times New Roman"/>
          <w:kern w:val="36"/>
          <w:sz w:val="24"/>
          <w:szCs w:val="24"/>
        </w:rPr>
        <w:t xml:space="preserve"> ……</w:t>
      </w:r>
      <w:r w:rsidR="00687F4E">
        <w:rPr>
          <w:rFonts w:ascii="Times New Roman" w:hAnsi="Times New Roman" w:cs="Times New Roman"/>
          <w:kern w:val="36"/>
          <w:sz w:val="24"/>
          <w:szCs w:val="24"/>
        </w:rPr>
        <w:t>…</w:t>
      </w:r>
      <w:r w:rsidR="00782C31" w:rsidRPr="00687F4E">
        <w:rPr>
          <w:rFonts w:ascii="Times New Roman" w:hAnsi="Times New Roman" w:cs="Times New Roman"/>
          <w:kern w:val="36"/>
          <w:sz w:val="24"/>
          <w:szCs w:val="24"/>
        </w:rPr>
        <w:t>….………....……………………………………………3</w:t>
      </w:r>
    </w:p>
    <w:p w14:paraId="2DD56AC7" w14:textId="41E3E596" w:rsidR="00782C31" w:rsidRPr="00687F4E" w:rsidRDefault="00D019E9" w:rsidP="00782C3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</w:rPr>
        <w:t xml:space="preserve">Классификация  </w:t>
      </w:r>
      <w:r w:rsidR="00687F4E">
        <w:rPr>
          <w:rFonts w:ascii="Times New Roman" w:hAnsi="Times New Roman" w:cs="Times New Roman"/>
          <w:sz w:val="24"/>
          <w:szCs w:val="24"/>
        </w:rPr>
        <w:t>…………………</w:t>
      </w:r>
      <w:r w:rsidR="00782C31" w:rsidRPr="00687F4E">
        <w:rPr>
          <w:rFonts w:ascii="Times New Roman" w:hAnsi="Times New Roman" w:cs="Times New Roman"/>
          <w:sz w:val="24"/>
          <w:szCs w:val="24"/>
        </w:rPr>
        <w:t>…</w:t>
      </w:r>
      <w:r w:rsidR="00687F4E">
        <w:rPr>
          <w:rFonts w:ascii="Times New Roman" w:hAnsi="Times New Roman" w:cs="Times New Roman"/>
          <w:sz w:val="24"/>
          <w:szCs w:val="24"/>
        </w:rPr>
        <w:t>…</w:t>
      </w:r>
      <w:r w:rsidR="00782C31" w:rsidRPr="00687F4E">
        <w:rPr>
          <w:rFonts w:ascii="Times New Roman" w:hAnsi="Times New Roman" w:cs="Times New Roman"/>
          <w:sz w:val="24"/>
          <w:szCs w:val="24"/>
        </w:rPr>
        <w:t>………………………….…….......................…</w:t>
      </w:r>
      <w:r w:rsidR="00687F4E">
        <w:rPr>
          <w:rFonts w:ascii="Times New Roman" w:hAnsi="Times New Roman" w:cs="Times New Roman"/>
          <w:sz w:val="24"/>
          <w:szCs w:val="24"/>
        </w:rPr>
        <w:t>5</w:t>
      </w:r>
    </w:p>
    <w:p w14:paraId="7C045317" w14:textId="0D63D42C" w:rsid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</w:rPr>
        <w:t>Ди</w:t>
      </w:r>
      <w:r w:rsidR="00687F4E">
        <w:rPr>
          <w:rFonts w:ascii="Times New Roman" w:hAnsi="Times New Roman" w:cs="Times New Roman"/>
          <w:sz w:val="24"/>
          <w:szCs w:val="24"/>
        </w:rPr>
        <w:t>а</w:t>
      </w:r>
      <w:r w:rsidR="00B1675F" w:rsidRPr="00687F4E">
        <w:rPr>
          <w:rFonts w:ascii="Times New Roman" w:hAnsi="Times New Roman" w:cs="Times New Roman"/>
          <w:sz w:val="24"/>
          <w:szCs w:val="24"/>
        </w:rPr>
        <w:t>гностика</w:t>
      </w:r>
      <w:r w:rsidRPr="00687F4E">
        <w:rPr>
          <w:rFonts w:ascii="Times New Roman" w:hAnsi="Times New Roman" w:cs="Times New Roman"/>
          <w:kern w:val="36"/>
          <w:sz w:val="24"/>
          <w:szCs w:val="24"/>
        </w:rPr>
        <w:t>………………………</w:t>
      </w:r>
      <w:r w:rsidR="00687F4E">
        <w:rPr>
          <w:rFonts w:ascii="Times New Roman" w:hAnsi="Times New Roman" w:cs="Times New Roman"/>
          <w:kern w:val="36"/>
          <w:sz w:val="24"/>
          <w:szCs w:val="24"/>
        </w:rPr>
        <w:t>………………...</w:t>
      </w:r>
      <w:r w:rsidRPr="00687F4E">
        <w:rPr>
          <w:rFonts w:ascii="Times New Roman" w:hAnsi="Times New Roman" w:cs="Times New Roman"/>
          <w:kern w:val="36"/>
          <w:sz w:val="24"/>
          <w:szCs w:val="24"/>
        </w:rPr>
        <w:t>…..………………………….….....</w:t>
      </w:r>
      <w:r w:rsidR="00687F4E">
        <w:rPr>
          <w:rFonts w:ascii="Times New Roman" w:hAnsi="Times New Roman" w:cs="Times New Roman"/>
          <w:kern w:val="36"/>
          <w:sz w:val="24"/>
          <w:szCs w:val="24"/>
        </w:rPr>
        <w:t>5</w:t>
      </w:r>
    </w:p>
    <w:p w14:paraId="6F6E152E" w14:textId="6650895A" w:rsidR="00782C31" w:rsidRPr="00687F4E" w:rsidRDefault="00687F4E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Дифференциальная диагностика…………………………………………………….....8</w:t>
      </w:r>
    </w:p>
    <w:p w14:paraId="4F2C220D" w14:textId="5FD6D16B" w:rsidR="00782C31" w:rsidRPr="00687F4E" w:rsidRDefault="00782C31" w:rsidP="00687F4E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</w:rPr>
        <w:t>Лечение…….………………………………………………………………………..…1</w:t>
      </w:r>
      <w:r w:rsidR="00687F4E">
        <w:rPr>
          <w:rFonts w:ascii="Times New Roman" w:hAnsi="Times New Roman" w:cs="Times New Roman"/>
          <w:sz w:val="24"/>
          <w:szCs w:val="24"/>
        </w:rPr>
        <w:t>0</w:t>
      </w:r>
    </w:p>
    <w:p w14:paraId="6B233EB0" w14:textId="2C31A41F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литературы……………………………………………………………..…...</w:t>
      </w:r>
      <w:r w:rsidR="00687F4E">
        <w:rPr>
          <w:rFonts w:ascii="Times New Roman" w:hAnsi="Times New Roman" w:cs="Times New Roman"/>
          <w:sz w:val="24"/>
          <w:szCs w:val="24"/>
        </w:rPr>
        <w:t>...1</w:t>
      </w:r>
      <w:r w:rsidRPr="00687F4E">
        <w:rPr>
          <w:rFonts w:ascii="Times New Roman" w:hAnsi="Times New Roman" w:cs="Times New Roman"/>
          <w:sz w:val="24"/>
          <w:szCs w:val="24"/>
        </w:rPr>
        <w:t>1</w:t>
      </w:r>
    </w:p>
    <w:p w14:paraId="4228CA57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E754BB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AA5DB5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2CD99F14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33B89031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4A807E0B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687F4E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</w:p>
    <w:p w14:paraId="3E704875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74988FE2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1BD4DA13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4FBEBFE0" w14:textId="77777777" w:rsidR="00782C31" w:rsidRPr="00687F4E" w:rsidRDefault="00782C31" w:rsidP="00782C31">
      <w:pPr>
        <w:pStyle w:val="1"/>
        <w:ind w:firstLine="709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63D3DE52" w14:textId="77777777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5204E9D9" w14:textId="77777777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218BFF8D" w14:textId="77777777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12D79646" w14:textId="3777C6F5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09187362" w14:textId="0A0F29EE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02C85333" w14:textId="5A2C86CB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793C0D96" w14:textId="0FE21D4B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708A8C00" w14:textId="77777777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73ACAAEE" w14:textId="77777777" w:rsidR="00782C31" w:rsidRPr="00687F4E" w:rsidRDefault="00782C31" w:rsidP="00782C31">
      <w:pPr>
        <w:rPr>
          <w:rFonts w:ascii="Times New Roman" w:hAnsi="Times New Roman" w:cs="Times New Roman"/>
          <w:sz w:val="24"/>
          <w:szCs w:val="24"/>
        </w:rPr>
      </w:pPr>
    </w:p>
    <w:p w14:paraId="422672CF" w14:textId="77777777" w:rsidR="00782C31" w:rsidRPr="00687F4E" w:rsidRDefault="00782C31" w:rsidP="00782C31">
      <w:pPr>
        <w:pStyle w:val="1"/>
        <w:jc w:val="both"/>
        <w:rPr>
          <w:rFonts w:ascii="Times New Roman" w:hAnsi="Times New Roman" w:cs="Times New Roman"/>
          <w:kern w:val="36"/>
          <w:sz w:val="24"/>
          <w:szCs w:val="24"/>
        </w:rPr>
      </w:pPr>
    </w:p>
    <w:p w14:paraId="580F3CE6" w14:textId="77777777" w:rsidR="00782C31" w:rsidRPr="00687F4E" w:rsidRDefault="00782C31" w:rsidP="00782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02B41" w14:textId="77777777" w:rsidR="00782C31" w:rsidRPr="00687F4E" w:rsidRDefault="00782C31" w:rsidP="00782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F4E">
        <w:rPr>
          <w:rFonts w:ascii="Times New Roman" w:hAnsi="Times New Roman" w:cs="Times New Roman"/>
          <w:b/>
          <w:bCs/>
          <w:sz w:val="24"/>
          <w:szCs w:val="24"/>
        </w:rPr>
        <w:t>Введение.</w:t>
      </w:r>
    </w:p>
    <w:p w14:paraId="2AA84571" w14:textId="77777777" w:rsidR="00782C31" w:rsidRPr="00687F4E" w:rsidRDefault="00782C31" w:rsidP="00782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22A0B" w14:textId="09CFFCD9" w:rsidR="00782C31" w:rsidRPr="00782C31" w:rsidRDefault="00782C31" w:rsidP="00782C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СКВ</w:t>
      </w: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Системное аутоиммунное заболевание неизвестной этиологии</w:t>
      </w: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характеризуется</w:t>
      </w: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гиперпродукцией органоспецифических </w:t>
      </w:r>
      <w:proofErr w:type="spellStart"/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аутоантител</w:t>
      </w:r>
      <w:proofErr w:type="spellEnd"/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к различным компонентам клеточного ядра с развитием </w:t>
      </w:r>
      <w:proofErr w:type="spellStart"/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иммуновоспалительного</w:t>
      </w:r>
      <w:proofErr w:type="spellEnd"/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повреждения тканей и внутренних органо</w:t>
      </w: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в. Заболеваемость СКВ колеблется от 4 до 250 случаев на 100000 населения. </w:t>
      </w: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Пик заболеваемости приходится на 15-25 лет</w:t>
      </w: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Женщины страдают в 8-10 раз чаще мужчин</w:t>
      </w: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782C31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Смертность при СКВ в 3 раза выше, чем в популяции</w:t>
      </w:r>
      <w:r w:rsidR="00CE7FD3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3282CC99" w14:textId="6474504A" w:rsidR="00782C31" w:rsidRDefault="00782C31" w:rsidP="00782C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14:paraId="5D3910C1" w14:textId="7144AF33" w:rsidR="00EB5342" w:rsidRDefault="00EB5342" w:rsidP="00782C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14:paraId="730237BA" w14:textId="77777777" w:rsidR="00EB5342" w:rsidRPr="00687F4E" w:rsidRDefault="00EB5342" w:rsidP="00782C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14:paraId="643DFF14" w14:textId="269B25ED" w:rsidR="00CE7FD3" w:rsidRPr="00687F4E" w:rsidRDefault="00CE7FD3" w:rsidP="00D019E9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687F4E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Этио</w:t>
      </w:r>
      <w:r w:rsidR="00D3294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логия и патогенез.</w:t>
      </w:r>
    </w:p>
    <w:p w14:paraId="46B6C843" w14:textId="77777777" w:rsidR="00CE7FD3" w:rsidRPr="00CE7FD3" w:rsidRDefault="00CE7FD3" w:rsidP="00CE7FD3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Факторы риска:</w:t>
      </w:r>
    </w:p>
    <w:p w14:paraId="6D2D80B7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УФО</w:t>
      </w:r>
    </w:p>
    <w:p w14:paraId="05AFDD2D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Курение</w:t>
      </w:r>
    </w:p>
    <w:p w14:paraId="46C4C204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ЛС (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прокаинамид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, эстрогены, гидралазин и т.д.)</w:t>
      </w:r>
    </w:p>
    <w:p w14:paraId="0553F5EA" w14:textId="77777777" w:rsidR="00CE7FD3" w:rsidRPr="00CE7FD3" w:rsidRDefault="00CE7FD3" w:rsidP="00CE7FD3">
      <w:pPr>
        <w:numPr>
          <w:ilvl w:val="0"/>
          <w:numId w:val="8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Патогенез</w:t>
      </w:r>
    </w:p>
    <w:p w14:paraId="010DB90D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патогенезе СКВ участвуют как врождённые, так и приобретённые иммунные реакции</w:t>
      </w:r>
    </w:p>
    <w:p w14:paraId="0680CD31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Взаимодействие генов с факторами окружающей среды приводит к многочисленным иммунологическим изменениям, результатом которых являются иммунные реакции против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аутологичных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нуклеиновых кислот </w:t>
      </w:r>
    </w:p>
    <w:p w14:paraId="164C7D63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Аутоантитела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и отложение иммунных комплексов могут повреждать ткани в почках, сердце, сосудах, центральной нервной системе, коже, лёгких, мышцах и суставах</w:t>
      </w:r>
    </w:p>
    <w:p w14:paraId="0F7300DD" w14:textId="77777777" w:rsidR="00CE7FD3" w:rsidRPr="00CE7FD3" w:rsidRDefault="00CE7FD3" w:rsidP="00CE7FD3">
      <w:pPr>
        <w:numPr>
          <w:ilvl w:val="1"/>
          <w:numId w:val="8"/>
        </w:numPr>
        <w:shd w:val="clear" w:color="auto" w:fill="FFFFFF"/>
        <w:spacing w:after="0" w:line="360" w:lineRule="atLeast"/>
        <w:ind w:left="1740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Заболевание начинается с доклинической бессимптомной фазы, характеризующейся появлением антинуклеарных антител/антинуклеарного фактора (АНА/АНФ), общих для аутоиммунных заболеваний, в последующем — высокоспецифичных для СКВ: антител к двуспиральной ДНК (анти-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дс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-ДНК), к Смит/Smith антигену (анти-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Sm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), антифосфолипидных антител (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аФЛ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</w:t>
      </w:r>
    </w:p>
    <w:p w14:paraId="49F4D3D7" w14:textId="451799C8" w:rsidR="00CE7FD3" w:rsidRPr="00687F4E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 </w:t>
      </w:r>
    </w:p>
    <w:p w14:paraId="35736420" w14:textId="26D4EAA1" w:rsidR="00D019E9" w:rsidRPr="00687F4E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5139F582" w14:textId="378C5FF5" w:rsidR="00D019E9" w:rsidRPr="00687F4E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1F4A0AC7" w14:textId="768C46C9" w:rsidR="00D019E9" w:rsidRPr="00687F4E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7E848CB2" w14:textId="3E167649" w:rsidR="00D019E9" w:rsidRPr="00687F4E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7EC49E77" w14:textId="5800342A" w:rsidR="00D019E9" w:rsidRPr="00687F4E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1ADE0FB1" w14:textId="09C0381E" w:rsidR="00D019E9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09BC8CE2" w14:textId="77777777" w:rsidR="00D019E9" w:rsidRPr="00CE7FD3" w:rsidRDefault="00D019E9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506FBBEC" w14:textId="4C1A00F2" w:rsid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lastRenderedPageBreak/>
        <w:t xml:space="preserve">Модель патогенеза </w:t>
      </w:r>
      <w:proofErr w:type="spellStart"/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системнои</w:t>
      </w:r>
      <w:proofErr w:type="spellEnd"/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 xml:space="preserve">̆ </w:t>
      </w:r>
      <w:proofErr w:type="spellStart"/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краснои</w:t>
      </w:r>
      <w:proofErr w:type="spellEnd"/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̆ волчанки</w:t>
      </w:r>
      <w:r w:rsidRPr="00CE7FD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 </w:t>
      </w:r>
    </w:p>
    <w:p w14:paraId="1CA32D57" w14:textId="370F96CD" w:rsidR="005663C8" w:rsidRPr="00687F4E" w:rsidRDefault="005663C8" w:rsidP="005663C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Рисунок 1</w:t>
      </w:r>
    </w:p>
    <w:p w14:paraId="16A64B4D" w14:textId="1EA277EE" w:rsidR="00CE7FD3" w:rsidRPr="00687F4E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687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9EED62" wp14:editId="6A84DA28">
            <wp:extent cx="4676398" cy="7132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58" cy="71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971C" w14:textId="24DA005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69893076" w14:textId="397248FE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4F151601" w14:textId="77777777" w:rsidR="00CE7FD3" w:rsidRPr="00CE7FD3" w:rsidRDefault="00CE7FD3" w:rsidP="00CE7FD3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Соответ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softHyphen/>
        <w:t xml:space="preserve">ственно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этои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̆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гипотетическои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̆ модели гены предрасположенности способ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softHyphen/>
        <w:t xml:space="preserve">ны вызвать утрату аутотолерантности, а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действие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внешних факторов приводит к персистенции ядерных антигенов. Развивается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иммунныи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̆ ответ на ядерные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аутоантигены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которыи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̆ усиливается под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воздействием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нуклеиновых кислот на дендритные клетки (ДК) и В-лимфоциты, а также продуцируемого IFN типа I</w:t>
      </w:r>
    </w:p>
    <w:p w14:paraId="76F9F6DB" w14:textId="77777777" w:rsidR="00CE7FD3" w:rsidRPr="00CE7FD3" w:rsidRDefault="00CE7FD3" w:rsidP="00CE7FD3">
      <w:pPr>
        <w:numPr>
          <w:ilvl w:val="0"/>
          <w:numId w:val="9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 xml:space="preserve">IFN — интерферон;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Ig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— иммуноглобулин; TLR — 7о//-подобные рецепторы; ДНК — дезоксирибонуклеиновая кис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softHyphen/>
        <w:t xml:space="preserve"> лота; УФ —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ультрафиолетовыи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̆</w:t>
      </w:r>
    </w:p>
    <w:p w14:paraId="3758CE0D" w14:textId="77777777" w:rsidR="00CE7FD3" w:rsidRPr="00782C31" w:rsidRDefault="00CE7FD3" w:rsidP="00782C3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</w:p>
    <w:p w14:paraId="0FA9AC16" w14:textId="77777777" w:rsidR="00782C31" w:rsidRPr="00687F4E" w:rsidRDefault="00782C31" w:rsidP="00782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B946A" w14:textId="77777777" w:rsidR="00782C31" w:rsidRPr="00687F4E" w:rsidRDefault="00782C31" w:rsidP="00782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F4E">
        <w:rPr>
          <w:rFonts w:ascii="Times New Roman" w:hAnsi="Times New Roman" w:cs="Times New Roman"/>
          <w:b/>
          <w:sz w:val="24"/>
          <w:szCs w:val="24"/>
        </w:rPr>
        <w:t>Классификация.</w:t>
      </w:r>
    </w:p>
    <w:p w14:paraId="37B9B133" w14:textId="77777777" w:rsidR="00782C31" w:rsidRPr="00687F4E" w:rsidRDefault="00782C31" w:rsidP="00782C31">
      <w:pPr>
        <w:tabs>
          <w:tab w:val="left" w:pos="142"/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CFD3C2" w14:textId="77777777" w:rsidR="00782C31" w:rsidRPr="00687F4E" w:rsidRDefault="00782C31" w:rsidP="00782C3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0C374C93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1.По варианту течения</w:t>
      </w:r>
    </w:p>
    <w:p w14:paraId="40816CAF" w14:textId="77777777" w:rsidR="00CE7FD3" w:rsidRPr="00CE7FD3" w:rsidRDefault="00CE7FD3" w:rsidP="00CE7FD3">
      <w:pPr>
        <w:numPr>
          <w:ilvl w:val="0"/>
          <w:numId w:val="1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Рецидивирующе-ремиттирующее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течение — 2 и более обострений СКВ по индексу SLEDAI2K или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Selena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SLEDAI в течение 1 года</w:t>
      </w:r>
    </w:p>
    <w:p w14:paraId="403341C7" w14:textId="77777777" w:rsidR="00CE7FD3" w:rsidRPr="00CE7FD3" w:rsidRDefault="00CE7FD3" w:rsidP="00CE7FD3">
      <w:pPr>
        <w:numPr>
          <w:ilvl w:val="0"/>
          <w:numId w:val="1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Хронически активное течение — 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персистирующая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активность заболевания в течение одного года (SLEDAI2K или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Selena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SLEDAI ≥ 1 балла за счет клинического и иммунологического параметров индекса)</w:t>
      </w:r>
    </w:p>
    <w:p w14:paraId="096F3EB8" w14:textId="77777777" w:rsidR="00CE7FD3" w:rsidRPr="00CE7FD3" w:rsidRDefault="00CE7FD3" w:rsidP="00CE7FD3">
      <w:pPr>
        <w:numPr>
          <w:ilvl w:val="0"/>
          <w:numId w:val="10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Ремиссия — полное отсутствие клинических проявлений СКВ в течение одного года при возможном наличии незначительного увеличения АТ к ДНК, снижение С3- или С4-компонентов комплемента (SLEDAI 0-4 балла за счет иммунологических параметров индекса)</w:t>
      </w:r>
    </w:p>
    <w:p w14:paraId="0BC5E101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 </w:t>
      </w:r>
    </w:p>
    <w:p w14:paraId="415593C4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2.По степени активности (индекс активности СКВ SELENA-SLEDAI)</w:t>
      </w:r>
    </w:p>
    <w:p w14:paraId="0B12AD15" w14:textId="77777777" w:rsidR="00CE7FD3" w:rsidRPr="00CE7FD3" w:rsidRDefault="00CE7FD3" w:rsidP="00CE7FD3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Нет активности — 0 баллов</w:t>
      </w:r>
    </w:p>
    <w:p w14:paraId="6686C12A" w14:textId="77777777" w:rsidR="00CE7FD3" w:rsidRPr="00CE7FD3" w:rsidRDefault="00CE7FD3" w:rsidP="00CE7FD3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Низкая активность — 1-5 баллов</w:t>
      </w:r>
    </w:p>
    <w:p w14:paraId="5AAD4D7C" w14:textId="77777777" w:rsidR="00CE7FD3" w:rsidRPr="00CE7FD3" w:rsidRDefault="00CE7FD3" w:rsidP="00CE7FD3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Средняя активность — 6-10 баллов</w:t>
      </w:r>
    </w:p>
    <w:p w14:paraId="45827719" w14:textId="77777777" w:rsidR="00CE7FD3" w:rsidRPr="00CE7FD3" w:rsidRDefault="00CE7FD3" w:rsidP="00CE7FD3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Высокая активность — 11-19 баллов</w:t>
      </w:r>
    </w:p>
    <w:p w14:paraId="391FC6E2" w14:textId="77777777" w:rsidR="00CE7FD3" w:rsidRPr="00CE7FD3" w:rsidRDefault="00CE7FD3" w:rsidP="00CE7FD3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Очень высокая активность — более 20 баллов</w:t>
      </w:r>
    </w:p>
    <w:p w14:paraId="131DACE9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 </w:t>
      </w:r>
    </w:p>
    <w:p w14:paraId="747F3431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3.По индексу повреждения (индекс SLICC)</w:t>
      </w:r>
    </w:p>
    <w:p w14:paraId="4F023BED" w14:textId="77777777" w:rsidR="00CE7FD3" w:rsidRPr="00CE7FD3" w:rsidRDefault="00CE7FD3" w:rsidP="00CE7FD3">
      <w:pPr>
        <w:numPr>
          <w:ilvl w:val="0"/>
          <w:numId w:val="1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Отсутствие повреждений — 0 баллов</w:t>
      </w:r>
    </w:p>
    <w:p w14:paraId="23C1E451" w14:textId="77777777" w:rsidR="00CE7FD3" w:rsidRPr="00CE7FD3" w:rsidRDefault="00CE7FD3" w:rsidP="00CE7FD3">
      <w:pPr>
        <w:numPr>
          <w:ilvl w:val="0"/>
          <w:numId w:val="1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Низкий индекс повреждения — 1 балл</w:t>
      </w:r>
    </w:p>
    <w:p w14:paraId="6060BC82" w14:textId="77777777" w:rsidR="00CE7FD3" w:rsidRPr="00CE7FD3" w:rsidRDefault="00CE7FD3" w:rsidP="00CE7FD3">
      <w:pPr>
        <w:numPr>
          <w:ilvl w:val="0"/>
          <w:numId w:val="1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Средний индекс повреждения — 2-4 балла</w:t>
      </w:r>
    </w:p>
    <w:p w14:paraId="7A2CB332" w14:textId="77777777" w:rsidR="00CE7FD3" w:rsidRPr="00CE7FD3" w:rsidRDefault="00CE7FD3" w:rsidP="00CE7FD3">
      <w:pPr>
        <w:numPr>
          <w:ilvl w:val="0"/>
          <w:numId w:val="12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Высокий индекс повреждения — более 4 баллов</w:t>
      </w:r>
    </w:p>
    <w:p w14:paraId="3F4455E0" w14:textId="79924B3E" w:rsidR="00782C31" w:rsidRPr="00687F4E" w:rsidRDefault="00782C31" w:rsidP="00782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D720C" w14:textId="0A151378" w:rsidR="00CE7FD3" w:rsidRPr="00687F4E" w:rsidRDefault="00CE7FD3" w:rsidP="00B167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F4E">
        <w:rPr>
          <w:rFonts w:ascii="Times New Roman" w:hAnsi="Times New Roman" w:cs="Times New Roman"/>
          <w:b/>
          <w:bCs/>
          <w:sz w:val="24"/>
          <w:szCs w:val="24"/>
        </w:rPr>
        <w:t>Диагностика</w:t>
      </w:r>
    </w:p>
    <w:p w14:paraId="18ECBDA6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Клиническая картина соответствует диагностическим критериям SLICC 2012. Для установления диагноза нужно набрать ≥ 4 критерия, один из которых обязательно должен быть клиническим и один иммунологическим (кроме реакции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Кумбса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69981ABD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Болезнь может дебютировать одним или двумя симптомами, однако для СКВ характерно полиорганное поражение, ввиду которого страдают кожа, слизистые, опорно-двигательный аппарат, лёгкие, почки, сердечно-сосудистая и нервная системы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612849CA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СКВ очень характерны общие симптомы: слабость, субфебрилитет или лихорадка, снижение массы тела</w:t>
      </w:r>
    </w:p>
    <w:p w14:paraId="7FF826E3" w14:textId="7A9A7FC3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Клинические проявления существенно варьируют у разных больных и в разные периоды заболевания. Течение СКВ волнообразное, с чередованием ремиссий и обострений, при которых возможно вовлечение в патологический процесс новых органов и систем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7D078C9C" w14:textId="2AD49510" w:rsidR="00CE7FD3" w:rsidRPr="00CE7FD3" w:rsidRDefault="00B1675F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</w:t>
      </w:r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иагноз СКВ является клиническим, но требующим обязательного лабораторного подтверждения с определением АНФ и 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высокоспецифических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биомаркёров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: 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аутоантител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(анти-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дс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-ДНК, анти-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Sm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, 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аФЛ</w:t>
      </w:r>
      <w:proofErr w:type="spellEnd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) и </w:t>
      </w:r>
      <w:proofErr w:type="spellStart"/>
      <w:r w:rsidR="00CE7FD3"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гипокомплементемии</w:t>
      </w:r>
      <w:proofErr w:type="spellEnd"/>
      <w:r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25AA4199" w14:textId="77777777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 </w:t>
      </w:r>
    </w:p>
    <w:p w14:paraId="0FA3470D" w14:textId="6C190346" w:rsidR="00CE7FD3" w:rsidRDefault="00CE7FD3" w:rsidP="00CE7FD3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Диагностические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критерии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системной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красной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волчанки</w:t>
      </w: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val="en-US" w:eastAsia="ru-RU"/>
        </w:rPr>
        <w:t xml:space="preserve"> SLISS (The Systemic Lupus International Collaborating Clinics), 2012</w:t>
      </w:r>
    </w:p>
    <w:p w14:paraId="169F753D" w14:textId="0BDC29CB" w:rsidR="005663C8" w:rsidRPr="005663C8" w:rsidRDefault="005663C8" w:rsidP="005663C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5663C8"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 xml:space="preserve">Таблица 1 </w:t>
      </w:r>
    </w:p>
    <w:p w14:paraId="39FCC2DF" w14:textId="4EDEC061" w:rsidR="00CE7FD3" w:rsidRPr="00687F4E" w:rsidRDefault="00CE7FD3" w:rsidP="00CE7FD3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D3D3D"/>
          <w:sz w:val="24"/>
          <w:szCs w:val="24"/>
          <w:lang w:val="en-US" w:eastAsia="ru-RU"/>
        </w:rPr>
      </w:pPr>
      <w:r w:rsidRPr="00687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15659" wp14:editId="6019DDB8">
            <wp:extent cx="5127153" cy="645566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26" cy="646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2E78" w14:textId="2AAB20DC" w:rsidR="00CE7FD3" w:rsidRPr="00CE7FD3" w:rsidRDefault="00CE7FD3" w:rsidP="00CE7FD3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D3D3D"/>
          <w:sz w:val="24"/>
          <w:szCs w:val="24"/>
          <w:lang w:val="en-US" w:eastAsia="ru-RU"/>
        </w:rPr>
      </w:pPr>
      <w:r w:rsidRPr="00687F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64793A" wp14:editId="30AD6991">
            <wp:extent cx="5483225" cy="3500941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99" cy="35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C23A" w14:textId="5B5BD620" w:rsidR="00CE7FD3" w:rsidRPr="00CE7FD3" w:rsidRDefault="00CE7FD3" w:rsidP="00CE7FD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</w:p>
    <w:p w14:paraId="5F56F639" w14:textId="77777777" w:rsidR="00CE7FD3" w:rsidRPr="00CE7FD3" w:rsidRDefault="00CE7FD3" w:rsidP="00B1675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3D3D3D"/>
          <w:sz w:val="24"/>
          <w:szCs w:val="24"/>
          <w:lang w:eastAsia="ru-RU"/>
        </w:rPr>
        <w:t>Диагностика волчаночного нефрита</w:t>
      </w:r>
    </w:p>
    <w:p w14:paraId="2630C9AB" w14:textId="77777777" w:rsidR="00CE7FD3" w:rsidRPr="00CE7FD3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Волчаночный нефрит определяется соответственно критериям ACR:  </w:t>
      </w:r>
    </w:p>
    <w:p w14:paraId="168C1775" w14:textId="754364A1" w:rsidR="00CE7FD3" w:rsidRPr="00CE7FD3" w:rsidRDefault="00CE7FD3" w:rsidP="00B167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Персистирующая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протеинурия &gt; 0,5 г\день,  и\или 5 эритроцитов, 5 лейкоцитов или цилиндров при отсутствии инфекции мочевых путей  дополнительно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Данные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нефробиопсии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с подтверждением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иммуннокомплексного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нефрита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Биопсия почки, при отсутствии противопоказаний должна проводиться у всех пациентов СКВ с активным нефритом</w:t>
      </w:r>
    </w:p>
    <w:p w14:paraId="1999630D" w14:textId="2350173C" w:rsidR="00CE7FD3" w:rsidRPr="00CE7FD3" w:rsidRDefault="005663C8" w:rsidP="005663C8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24"/>
          <w:szCs w:val="24"/>
          <w:lang w:eastAsia="ru-RU"/>
        </w:rPr>
        <w:t>Таблица 2</w:t>
      </w:r>
    </w:p>
    <w:p w14:paraId="3CEC6170" w14:textId="59DC8A8C" w:rsidR="00CE7FD3" w:rsidRPr="00687F4E" w:rsidRDefault="00D019E9" w:rsidP="00782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BBF2CC" wp14:editId="05AF7245">
            <wp:extent cx="5709749" cy="3008376"/>
            <wp:effectExtent l="0" t="0" r="571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55" cy="302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1D8B" w14:textId="17ECE959" w:rsidR="00CE7FD3" w:rsidRPr="00687F4E" w:rsidRDefault="00CE7FD3" w:rsidP="00782C3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7708A4F" w14:textId="357873A4" w:rsidR="00CE7FD3" w:rsidRPr="00687F4E" w:rsidRDefault="00CE7FD3" w:rsidP="00782C3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9A6CBCF" w14:textId="77777777" w:rsidR="00B1675F" w:rsidRPr="00687F4E" w:rsidRDefault="00B1675F" w:rsidP="00782C3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8F93DDB" w14:textId="67D939A7" w:rsidR="00B1675F" w:rsidRPr="00687F4E" w:rsidRDefault="00B1675F" w:rsidP="00B16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F4E">
        <w:rPr>
          <w:rFonts w:ascii="Times New Roman" w:hAnsi="Times New Roman" w:cs="Times New Roman"/>
          <w:b/>
          <w:sz w:val="24"/>
          <w:szCs w:val="24"/>
        </w:rPr>
        <w:lastRenderedPageBreak/>
        <w:t>Дифференциальный диагноз</w:t>
      </w:r>
    </w:p>
    <w:p w14:paraId="1385AEFC" w14:textId="0A96C1EE" w:rsidR="00B1675F" w:rsidRPr="00687F4E" w:rsidRDefault="00B1675F" w:rsidP="00B1675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49A8CC5" w14:textId="3E35B48D" w:rsidR="00B1675F" w:rsidRPr="00687F4E" w:rsidRDefault="005663C8" w:rsidP="005663C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3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6"/>
        <w:gridCol w:w="2299"/>
        <w:gridCol w:w="2305"/>
        <w:gridCol w:w="2129"/>
      </w:tblGrid>
      <w:tr w:rsidR="00B1675F" w:rsidRPr="00B1675F" w14:paraId="186A9845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50D47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eastAsia="ru-RU"/>
              </w:rPr>
              <w:t>Диагноз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9B3AE7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eastAsia="ru-RU"/>
              </w:rPr>
              <w:t>Обоснование для дифференциальной диагностики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2F8F26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eastAsia="ru-RU"/>
              </w:rPr>
              <w:t>Обследования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939FE9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124"/>
                <w:sz w:val="24"/>
                <w:szCs w:val="24"/>
                <w:lang w:eastAsia="ru-RU"/>
              </w:rPr>
              <w:t>Критерии исключения диагноза</w:t>
            </w:r>
          </w:p>
        </w:tc>
      </w:tr>
      <w:tr w:rsidR="00B1675F" w:rsidRPr="00B1675F" w14:paraId="25DDD537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6054D3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Ревматоидный артрит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3009D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Преимущественное поражение женщин, симметричный полиартрит мелких суставов кистей, висцеральные проявления (дигитальный артериит, полисерозиты, поражение почек). У 25% больных РА выявляют положительный тест на АНФ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B5855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ИФА : АЦЦП, РФ, рентген кистей с захватом лучезапястных суставов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5891CB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Поражение суставов носит стойкий, прогрессирующий характер. Выражена утренняя скованность. По мере прогрессирования заболевания развиваются деструкция суставных поверхностей и деформации суставов. Типичные эрозивные изменения на рентгенограммах. Тяжелое поражение внутренних органов встречается относительно редко.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B1675F" w:rsidRPr="00B1675F" w14:paraId="05593E8D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968DC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Синдром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Стилла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 у взрослых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489D81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Поражение суставов, миалгии, высокая лихорадка, пятнисто-папулезная сыпь,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лимфоаденопатия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, спленомегалия,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серозит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F590B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Определение ферритина в крови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br/>
              <w:t xml:space="preserve">УЗИ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оганов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 брюшной полости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7EC83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В период активности — нейтрофильный лейкоцитоз (а не лейкопения, как при СКВ). Тест на АНФ отрицательный. Кожные изменения носят кратковременный характер.</w:t>
            </w:r>
          </w:p>
        </w:tc>
      </w:tr>
      <w:tr w:rsidR="00B1675F" w:rsidRPr="00B1675F" w14:paraId="4E5FE1F4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C15C59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Системные васкулиты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0093DA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Лихорадка, поражение кожи, 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суставов, почек, ЦНС, легких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350403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Иммунологические исследования (АНЦА).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br/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УЗДГИ сосудов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7BD8E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Чаще болеют мужчины (за исключением 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неспецифического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аортроартериита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). Нередко триггером бывает инфекции (вирусная, бактериальная).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br/>
              <w:t>Клиническая симптоматика определяется ишемическими изменениями в органах и тканях вследствие воспаления и некроза сосудистой стенки. Поражение нервной системы преимущественно в виде множественных мононевритов. Лейкоцитоз, тромбоцитоз, положительные АНЦА</w:t>
            </w:r>
          </w:p>
        </w:tc>
      </w:tr>
      <w:tr w:rsidR="00B1675F" w:rsidRPr="00B1675F" w14:paraId="55368F8A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6C20A9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Системная склеродермия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2DD721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Симметричный полиартрит, синдром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Рейно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, полисерозит, конституциональные нарушения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2B766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Иммунологические исследования: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антицентромерные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 антитела, АНФ, антитела к Scl-70, биопсия кожно-мышечного лоскута.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62968F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Типичные изменения кожи и подкожной клетчатки (уплотнение, атрофия, нарушение пигментации), суставов (преобладание фиброзных изменений), ЖКТ. Рентгенологические признаки (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остеолиз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, резорбция концевых фаланг), кальциноз мягких тканей.</w:t>
            </w:r>
          </w:p>
        </w:tc>
      </w:tr>
      <w:tr w:rsidR="00B1675F" w:rsidRPr="00B1675F" w14:paraId="726830D2" w14:textId="77777777" w:rsidTr="00B1675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D85B0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Синдром лекарственной  волчанки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6E81A2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Полиартрит, кожный синдром, фотосенсибилизация,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гепатоспленомегали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я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, полисерозит, лихорадка, лейкопения, положительный анализы на АНФ, LE-клетки).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015BD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В анамнезе длительный прием лекарственного средства, способного 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индуцировать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волчаночноподобный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 синдром (антигипертензивные, антиаритмические, противосудорожные препараты, сульфаниламиды, пероральные контрацептивы).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FEF776" w14:textId="77777777" w:rsidR="00B1675F" w:rsidRPr="00B1675F" w:rsidRDefault="00B1675F" w:rsidP="00B167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Редко встречают тяжелое поражение почек и ЦНС, тромбоцитопению. </w:t>
            </w:r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 xml:space="preserve">После отмены лекарственного препарата клиническая симптоматика регрессируют в течение 4-6 </w:t>
            </w:r>
            <w:proofErr w:type="spellStart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нед</w:t>
            </w:r>
            <w:proofErr w:type="spellEnd"/>
            <w:r w:rsidRPr="00B1675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 (положительный тест на АНФ сохраняется до 1 года).</w:t>
            </w:r>
          </w:p>
        </w:tc>
      </w:tr>
    </w:tbl>
    <w:p w14:paraId="2A43A97D" w14:textId="77777777" w:rsidR="00B1675F" w:rsidRPr="00687F4E" w:rsidRDefault="00B1675F" w:rsidP="00782C3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AA6BFDB" w14:textId="77777777" w:rsidR="00A44266" w:rsidRPr="00687F4E" w:rsidRDefault="00A44266" w:rsidP="00782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ED7BA" w14:textId="03B67B59" w:rsidR="00CE7FD3" w:rsidRPr="00687F4E" w:rsidRDefault="00B1675F" w:rsidP="00782C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F4E">
        <w:rPr>
          <w:rFonts w:ascii="Times New Roman" w:hAnsi="Times New Roman" w:cs="Times New Roman"/>
          <w:b/>
          <w:sz w:val="24"/>
          <w:szCs w:val="24"/>
        </w:rPr>
        <w:t>Лечение</w:t>
      </w:r>
    </w:p>
    <w:p w14:paraId="231980C1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Основные принципы: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Подход к терапии должен быть мультидисциплинарным, должен учитывать индивидуальные особенности пациентов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Терапия должна быть органосохраняющей и предотвращающей тяжелые обострения, включая интенсивную терапию в начале, с последующей терапией меньшей интенсивности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Улучшение качества жизни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438C7366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Немедикаментозное лечение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: с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ледует рекомендовать пациентам избегать факторов, которые могут провоцировать обострение болезни (интеркуррентные инфекции, стресс, инсоляция, немотивированный прием медикаментов 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др</w:t>
      </w:r>
      <w:proofErr w:type="spellEnd"/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Отказ от курения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Стремиться поддерживать нормальную массу тела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395E4E41" w14:textId="71ECEC0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Медикаментозное лечение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: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Основное место в лечении СКВ занимают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аминохинолиновые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препараты (ГХ), глюкокортикоиды (ГКС) 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цитостатики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При отсутствии противопоказаний гидроксихлорохин должен назначаться всем пациентам в дозе 200-400 мг/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сут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Для лечения СКВ с невысокой степенью активности и без поражения жизненно важных органов могут быть использованы в дополнение к гидроксихлорохину низкие дозы ГКС (не более 25 мг/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сут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;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случае достижения стойкой ремиссии можно снижать дозу по 1 мг/неделю до поддерживающей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5ACBE0CA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 случаях прогрессирующего течения СКВ, с высокой активностью и тяжелыми поражениями внутренних органов ГКС назначаются в высоких (подавляющих) дозах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Обычно применяется преднизолон внутрь в дозах 40-60 мг (или 0.5-1.0 мг\кг веса)</w:t>
      </w:r>
    </w:p>
    <w:p w14:paraId="3B8A89E9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 критических ситуациях или неэффективности назначения преднизолона внутрь применяются инфузии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метилпреднизолона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(пульс-терапия 3 дня подряд по 15-20 мг\кг)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Цитостатики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 (цитостатические иммунодепрессанты) назначаются больным СКВ при прогрессирующем течении, высокой активности, сопровождающимися поражением жизненно-важных органов и систем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627DA732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Для индукционной терапии используется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циклофосфан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(ЦФ) или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мофетила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микофенолат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(ММФ) в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в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комбинации с пульс-терапией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метилпреднизолоном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и последующим назначением ГКС внутрь в дозе 0.5-1.0 мг\кг.</w:t>
      </w:r>
    </w:p>
    <w:p w14:paraId="785C9ECD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ЦФ назначается при развитии волчаночного нефрита по 1000 мг внутривенно ежемесячно в течение 6 месяцев или по 500 мг каждые 2 недели, до 6 инфузий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0313084B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lastRenderedPageBreak/>
        <w:t>ММФ назначается в дозе 2-3 г в день в течение 6 месяцев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 достижении клинико-лабораторного эффекта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цитостатики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используются в качестве поддерживающей терапии: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ММФ в дозах 1-2 г в день или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азатиоприн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2 мг\кг в день в течение 6 месяцев 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78795CE6" w14:textId="1B6A7D97" w:rsidR="00CE7FD3" w:rsidRPr="00CE7FD3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У больных с высокой иммунологической и клинической активностью (высокий уровень анти –ДНК, снижение С3 и С4 компонентов комплемента, SLEDAI 6-10 баллов), без клинических признаков активного волчаночного нефрита и поражения ЦНС рекомендуется применение анти-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BLyS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терапии (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Белимумаб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 по 10 мг\кг ежемесячно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. </w:t>
      </w: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Первые 3 инфузии по 10 мг\кг веса назначаются в стационаре (0-14-28 день) и далее в амбулаторных условиях ежемесячно в течение не менее 6 месяцев</w:t>
      </w:r>
    </w:p>
    <w:p w14:paraId="62EDD25F" w14:textId="77777777" w:rsidR="00CE7FD3" w:rsidRPr="00CE7FD3" w:rsidRDefault="00CE7FD3" w:rsidP="00B1675F">
      <w:pPr>
        <w:shd w:val="clear" w:color="auto" w:fill="FFFFFF"/>
        <w:spacing w:after="0" w:line="360" w:lineRule="atLeast"/>
        <w:ind w:left="720"/>
        <w:jc w:val="center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Лечение поражения ЦНС</w:t>
      </w:r>
    </w:p>
    <w:p w14:paraId="3D551F27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 развитии тяжелых, жизненно-угрожающих состояний (судороги, поперечный миелит, неврит зрительного нерва,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цереброваскулит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) рекомендуется незамедлительно начать проведение интенсивной терапии инфузии ЦФ по 500-1000 мг и МП по 1000 мг несколько дней подряд с последующим назначением ГК внутрь 0,5-1,0 мг\кг\день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52A5D235" w14:textId="77777777" w:rsidR="00B1675F" w:rsidRPr="00687F4E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 развитии комы, сопора, прогрессирующего миелита, наличии высокого уровня АДНК и\или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криоглобулинов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в сыворотке крови показано применение плазмафереза, ежедневно или через день, с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эксфузией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20-30 мл/кг веса плазмы. Назначение внутривенного иммуноглобулина в дозах 0,5-1,0 г\кг рекомендуется после окончания процедур плазмафереза</w:t>
      </w:r>
      <w:r w:rsidR="00B1675F" w:rsidRPr="00687F4E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.</w:t>
      </w:r>
    </w:p>
    <w:p w14:paraId="60C5F93D" w14:textId="53006EC1" w:rsidR="00CE7FD3" w:rsidRPr="00CE7FD3" w:rsidRDefault="00CE7FD3" w:rsidP="00B1675F">
      <w:pPr>
        <w:shd w:val="clear" w:color="auto" w:fill="FFFFFF"/>
        <w:spacing w:after="0" w:line="360" w:lineRule="atLeast"/>
        <w:ind w:left="284" w:firstLine="709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При отсутствии эффекта в течение первых 3-4 дней от начала интенсивной терапии эксперты рекомендуют назначать </w:t>
      </w:r>
      <w:proofErr w:type="spellStart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>Ритуксимаб</w:t>
      </w:r>
      <w:proofErr w:type="spellEnd"/>
      <w:r w:rsidRPr="00CE7FD3"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  <w:t xml:space="preserve"> по 500-1000 мг еженедельно</w:t>
      </w:r>
    </w:p>
    <w:p w14:paraId="25F770C1" w14:textId="77777777" w:rsidR="00CE7FD3" w:rsidRPr="00CE7FD3" w:rsidRDefault="00CE7FD3" w:rsidP="00B1675F">
      <w:pPr>
        <w:shd w:val="clear" w:color="auto" w:fill="FFFFFF"/>
        <w:spacing w:after="0" w:line="360" w:lineRule="atLeast"/>
        <w:ind w:left="720"/>
        <w:jc w:val="center"/>
        <w:rPr>
          <w:rFonts w:ascii="Times New Roman" w:eastAsia="Times New Roman" w:hAnsi="Times New Roman" w:cs="Times New Roman"/>
          <w:color w:val="464646"/>
          <w:sz w:val="24"/>
          <w:szCs w:val="24"/>
          <w:lang w:eastAsia="ru-RU"/>
        </w:rPr>
      </w:pPr>
      <w:r w:rsidRPr="00CE7FD3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Лечение волчаночного нефрита</w:t>
      </w:r>
    </w:p>
    <w:p w14:paraId="44CA3FCD" w14:textId="64D8153B" w:rsidR="00CE7FD3" w:rsidRPr="00687F4E" w:rsidRDefault="005663C8" w:rsidP="005663C8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4</w:t>
      </w:r>
    </w:p>
    <w:p w14:paraId="65BF1159" w14:textId="5EDC73A0" w:rsidR="00B1675F" w:rsidRPr="00E509DF" w:rsidRDefault="00687F4E" w:rsidP="00E509D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87F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5829DC" wp14:editId="1566DD57">
            <wp:extent cx="5440680" cy="3501693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5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F81A" w14:textId="4D81E544" w:rsidR="00782C31" w:rsidRPr="00687F4E" w:rsidRDefault="00782C31" w:rsidP="00687F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F4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  <w:r w:rsidR="00687F4E" w:rsidRPr="00687F4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C96FB1E" w14:textId="105A9E99" w:rsidR="00D019E9" w:rsidRPr="00687F4E" w:rsidRDefault="00723F3B" w:rsidP="00723F3B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Ревматология: национальное руководство/ под ред. Е.Л. Насонова, В.А. </w:t>
      </w:r>
      <w:proofErr w:type="spellStart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Насо</w:t>
      </w:r>
      <w:proofErr w:type="spellEnd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-новой. М.: ГЭОТАР- Медиа, 2010 г. - 711 с. </w:t>
      </w:r>
    </w:p>
    <w:p w14:paraId="7F831EE2" w14:textId="41851288" w:rsidR="00723F3B" w:rsidRPr="00687F4E" w:rsidRDefault="00687F4E" w:rsidP="00723F3B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  <w:lang w:val="en-US"/>
        </w:rPr>
        <w:t xml:space="preserve">Hoffman IE, </w:t>
      </w:r>
      <w:proofErr w:type="spellStart"/>
      <w:r w:rsidRPr="00687F4E">
        <w:rPr>
          <w:rFonts w:ascii="Times New Roman" w:hAnsi="Times New Roman" w:cs="Times New Roman"/>
          <w:sz w:val="24"/>
          <w:szCs w:val="24"/>
          <w:lang w:val="en-US"/>
        </w:rPr>
        <w:t>Peene</w:t>
      </w:r>
      <w:proofErr w:type="spellEnd"/>
      <w:r w:rsidRPr="00687F4E">
        <w:rPr>
          <w:rFonts w:ascii="Times New Roman" w:hAnsi="Times New Roman" w:cs="Times New Roman"/>
          <w:sz w:val="24"/>
          <w:szCs w:val="24"/>
          <w:lang w:val="en-US"/>
        </w:rPr>
        <w:t xml:space="preserve"> I, </w:t>
      </w:r>
      <w:proofErr w:type="spellStart"/>
      <w:r w:rsidRPr="00687F4E">
        <w:rPr>
          <w:rFonts w:ascii="Times New Roman" w:hAnsi="Times New Roman" w:cs="Times New Roman"/>
          <w:sz w:val="24"/>
          <w:szCs w:val="24"/>
          <w:lang w:val="en-US"/>
        </w:rPr>
        <w:t>Meheus</w:t>
      </w:r>
      <w:proofErr w:type="spellEnd"/>
      <w:r w:rsidRPr="00687F4E">
        <w:rPr>
          <w:rFonts w:ascii="Times New Roman" w:hAnsi="Times New Roman" w:cs="Times New Roman"/>
          <w:sz w:val="24"/>
          <w:szCs w:val="24"/>
          <w:lang w:val="en-US"/>
        </w:rPr>
        <w:t xml:space="preserve"> L, et al. Specific antinuclear antibodies are associated with clinical features in systemic lupus erythematosus. </w:t>
      </w:r>
      <w:proofErr w:type="spellStart"/>
      <w:r w:rsidRPr="00687F4E">
        <w:rPr>
          <w:rFonts w:ascii="Times New Roman" w:hAnsi="Times New Roman" w:cs="Times New Roman"/>
          <w:sz w:val="24"/>
          <w:szCs w:val="24"/>
        </w:rPr>
        <w:t>Ann</w:t>
      </w:r>
      <w:proofErr w:type="spellEnd"/>
      <w:r w:rsidRPr="00687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F4E">
        <w:rPr>
          <w:rFonts w:ascii="Times New Roman" w:hAnsi="Times New Roman" w:cs="Times New Roman"/>
          <w:sz w:val="24"/>
          <w:szCs w:val="24"/>
        </w:rPr>
        <w:t>Rheum</w:t>
      </w:r>
      <w:proofErr w:type="spellEnd"/>
      <w:r w:rsidRPr="00687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7F4E">
        <w:rPr>
          <w:rFonts w:ascii="Times New Roman" w:hAnsi="Times New Roman" w:cs="Times New Roman"/>
          <w:sz w:val="24"/>
          <w:szCs w:val="24"/>
        </w:rPr>
        <w:t>Dis</w:t>
      </w:r>
      <w:proofErr w:type="spellEnd"/>
      <w:r w:rsidRPr="00687F4E">
        <w:rPr>
          <w:rFonts w:ascii="Times New Roman" w:hAnsi="Times New Roman" w:cs="Times New Roman"/>
          <w:sz w:val="24"/>
          <w:szCs w:val="24"/>
        </w:rPr>
        <w:t xml:space="preserve">. 2004;63(9):1155–1158. </w:t>
      </w:r>
      <w:proofErr w:type="spellStart"/>
      <w:r w:rsidRPr="00687F4E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687F4E">
        <w:rPr>
          <w:rFonts w:ascii="Times New Roman" w:hAnsi="Times New Roman" w:cs="Times New Roman"/>
          <w:sz w:val="24"/>
          <w:szCs w:val="24"/>
        </w:rPr>
        <w:t>: 10.1136/ard.2003.013417.</w:t>
      </w:r>
    </w:p>
    <w:p w14:paraId="2924C94B" w14:textId="259A8FC8" w:rsidR="00687F4E" w:rsidRPr="00687F4E" w:rsidRDefault="00687F4E" w:rsidP="00723F3B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Рациональная фармакотерапия ревматических заболеваний: </w:t>
      </w:r>
      <w:proofErr w:type="spellStart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Сompendium</w:t>
      </w:r>
      <w:proofErr w:type="spellEnd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На-</w:t>
      </w:r>
      <w:proofErr w:type="spellStart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сонова</w:t>
      </w:r>
      <w:proofErr w:type="spellEnd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В.А., Насонов Е.Л., Алекперов Р.Т., Алексеева Л.И. и др.; Под общ. ред. В.А. Насоновой, Е.Л. Насонова. – М.: </w:t>
      </w:r>
      <w:proofErr w:type="spellStart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Литтера</w:t>
      </w:r>
      <w:proofErr w:type="spellEnd"/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2007 г. – 448с.</w:t>
      </w:r>
    </w:p>
    <w:p w14:paraId="358AAD4B" w14:textId="2942EC2B" w:rsidR="00687F4E" w:rsidRPr="00687F4E" w:rsidRDefault="00687F4E" w:rsidP="00723F3B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Федеральные клинические рекомендации по ревматологии 2013 г. с дополнениями от 2016 г.\</w:t>
      </w:r>
    </w:p>
    <w:p w14:paraId="076AE49F" w14:textId="23856869" w:rsidR="00687F4E" w:rsidRPr="00687F4E" w:rsidRDefault="00687F4E" w:rsidP="00723F3B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87F4E">
        <w:rPr>
          <w:rFonts w:ascii="Times New Roman" w:hAnsi="Times New Roman" w:cs="Times New Roman"/>
          <w:sz w:val="24"/>
          <w:szCs w:val="24"/>
        </w:rPr>
        <w:t>Соловьев С.К., Асеева Е.А., Попкова Т.В., Лила А.М., Мазуров В.И., Насонов Е.Л. Системная красная волчанка: новые горизонты диагностики и терапии. Научно-практическая ревматология. 2020;.58 (1): 5- 14. 4.</w:t>
      </w:r>
    </w:p>
    <w:p w14:paraId="6D3C0BB8" w14:textId="77777777" w:rsidR="00687F4E" w:rsidRPr="00687F4E" w:rsidRDefault="00687F4E" w:rsidP="00E509DF">
      <w:pPr>
        <w:pStyle w:val="a5"/>
        <w:ind w:left="1440"/>
        <w:rPr>
          <w:rFonts w:ascii="Times New Roman" w:hAnsi="Times New Roman" w:cs="Times New Roman"/>
          <w:sz w:val="24"/>
          <w:szCs w:val="24"/>
        </w:rPr>
      </w:pPr>
    </w:p>
    <w:sectPr w:rsidR="00687F4E" w:rsidRPr="00687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BFE"/>
    <w:multiLevelType w:val="hybridMultilevel"/>
    <w:tmpl w:val="87FA0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B89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B8B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66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E2B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5AF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4C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7015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42A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35F2C"/>
    <w:multiLevelType w:val="multilevel"/>
    <w:tmpl w:val="E630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345A02"/>
    <w:multiLevelType w:val="multilevel"/>
    <w:tmpl w:val="959AD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B7387"/>
    <w:multiLevelType w:val="hybridMultilevel"/>
    <w:tmpl w:val="C8C4A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E6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B868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AC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A1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67D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86D2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2E5A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668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B955D1"/>
    <w:multiLevelType w:val="multilevel"/>
    <w:tmpl w:val="0A585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8F382A"/>
    <w:multiLevelType w:val="multilevel"/>
    <w:tmpl w:val="D856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219A9"/>
    <w:multiLevelType w:val="multilevel"/>
    <w:tmpl w:val="5C7E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A61D34"/>
    <w:multiLevelType w:val="multilevel"/>
    <w:tmpl w:val="FA729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C628C4"/>
    <w:multiLevelType w:val="multilevel"/>
    <w:tmpl w:val="5A36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BB6D87"/>
    <w:multiLevelType w:val="multilevel"/>
    <w:tmpl w:val="4C8E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A52FB6"/>
    <w:multiLevelType w:val="multilevel"/>
    <w:tmpl w:val="4D26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AF6A45"/>
    <w:multiLevelType w:val="multilevel"/>
    <w:tmpl w:val="2CA8A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AE08BE"/>
    <w:multiLevelType w:val="multilevel"/>
    <w:tmpl w:val="0440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069BB"/>
    <w:multiLevelType w:val="multilevel"/>
    <w:tmpl w:val="01A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9D2B53"/>
    <w:multiLevelType w:val="multilevel"/>
    <w:tmpl w:val="B71A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1"/>
  </w:num>
  <w:num w:numId="5">
    <w:abstractNumId w:val="4"/>
  </w:num>
  <w:num w:numId="6">
    <w:abstractNumId w:val="12"/>
  </w:num>
  <w:num w:numId="7">
    <w:abstractNumId w:val="5"/>
  </w:num>
  <w:num w:numId="8">
    <w:abstractNumId w:val="2"/>
  </w:num>
  <w:num w:numId="9">
    <w:abstractNumId w:val="13"/>
  </w:num>
  <w:num w:numId="10">
    <w:abstractNumId w:val="9"/>
  </w:num>
  <w:num w:numId="11">
    <w:abstractNumId w:val="8"/>
  </w:num>
  <w:num w:numId="12">
    <w:abstractNumId w:val="14"/>
  </w:num>
  <w:num w:numId="13">
    <w:abstractNumId w:val="10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F1"/>
    <w:rsid w:val="002119C2"/>
    <w:rsid w:val="0048307F"/>
    <w:rsid w:val="005663C8"/>
    <w:rsid w:val="00687F4E"/>
    <w:rsid w:val="00723F3B"/>
    <w:rsid w:val="007750F1"/>
    <w:rsid w:val="00782C31"/>
    <w:rsid w:val="009F1AC8"/>
    <w:rsid w:val="00A44266"/>
    <w:rsid w:val="00B1675F"/>
    <w:rsid w:val="00CE7FD3"/>
    <w:rsid w:val="00D019E9"/>
    <w:rsid w:val="00D32943"/>
    <w:rsid w:val="00E509DF"/>
    <w:rsid w:val="00EB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0A66"/>
  <w15:chartTrackingRefBased/>
  <w15:docId w15:val="{75477265-E840-4EE8-ACCE-57B045C85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2C3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C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C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ody Text"/>
    <w:basedOn w:val="a"/>
    <w:link w:val="a4"/>
    <w:uiPriority w:val="99"/>
    <w:unhideWhenUsed/>
    <w:rsid w:val="00782C31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82C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2C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782C31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59"/>
    <w:rsid w:val="00782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концевой сноски1"/>
    <w:basedOn w:val="a"/>
    <w:rsid w:val="00782C31"/>
    <w:pPr>
      <w:suppressAutoHyphens/>
      <w:spacing w:after="200" w:line="276" w:lineRule="auto"/>
    </w:pPr>
    <w:rPr>
      <w:rFonts w:ascii="Times New Roman" w:eastAsia="Calibri" w:hAnsi="Times New Roman" w:cs="Times New Roman"/>
      <w:kern w:val="1"/>
      <w:sz w:val="20"/>
      <w:szCs w:val="20"/>
      <w:lang w:eastAsia="ar-SA"/>
    </w:rPr>
  </w:style>
  <w:style w:type="character" w:styleId="a7">
    <w:name w:val="Emphasis"/>
    <w:basedOn w:val="a0"/>
    <w:uiPriority w:val="20"/>
    <w:qFormat/>
    <w:rsid w:val="00782C31"/>
    <w:rPr>
      <w:i/>
      <w:iCs/>
    </w:rPr>
  </w:style>
  <w:style w:type="paragraph" w:styleId="a8">
    <w:name w:val="Normal (Web)"/>
    <w:basedOn w:val="a"/>
    <w:uiPriority w:val="99"/>
    <w:semiHidden/>
    <w:unhideWhenUsed/>
    <w:rsid w:val="00CE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E7F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4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Аяс Борчиков</dc:creator>
  <cp:keywords/>
  <dc:description/>
  <cp:lastModifiedBy>Аяс Борчиков</cp:lastModifiedBy>
  <cp:revision>13</cp:revision>
  <dcterms:created xsi:type="dcterms:W3CDTF">2024-05-20T04:22:00Z</dcterms:created>
  <dcterms:modified xsi:type="dcterms:W3CDTF">2024-05-20T06:36:00Z</dcterms:modified>
</cp:coreProperties>
</file>