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6761" w14:textId="77777777" w:rsidR="0047743B" w:rsidRDefault="0047743B" w:rsidP="0047743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proofErr w:type="spellStart"/>
      <w:r>
        <w:rPr>
          <w:sz w:val="28"/>
          <w:szCs w:val="28"/>
        </w:rPr>
        <w:t>Красноярскии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государственныи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медицинскии</w:t>
      </w:r>
      <w:proofErr w:type="spellEnd"/>
      <w:r>
        <w:rPr>
          <w:sz w:val="28"/>
          <w:szCs w:val="28"/>
        </w:rPr>
        <w:t xml:space="preserve">̆ университет имени профессора В.Ф. </w:t>
      </w:r>
      <w:proofErr w:type="spellStart"/>
      <w:r>
        <w:rPr>
          <w:sz w:val="28"/>
          <w:szCs w:val="28"/>
        </w:rPr>
        <w:t>Войно-Ясенецкого</w:t>
      </w:r>
      <w:proofErr w:type="spellEnd"/>
      <w:r>
        <w:rPr>
          <w:sz w:val="28"/>
          <w:szCs w:val="28"/>
        </w:rPr>
        <w:t xml:space="preserve">» Министерства здравоохранения </w:t>
      </w:r>
      <w:proofErr w:type="spellStart"/>
      <w:r>
        <w:rPr>
          <w:sz w:val="28"/>
          <w:szCs w:val="28"/>
        </w:rPr>
        <w:t>Российскои</w:t>
      </w:r>
      <w:proofErr w:type="spellEnd"/>
      <w:r>
        <w:rPr>
          <w:sz w:val="28"/>
          <w:szCs w:val="28"/>
        </w:rPr>
        <w:t>̆ Федерации.</w:t>
      </w:r>
    </w:p>
    <w:p w14:paraId="2ED3B31B" w14:textId="77777777" w:rsidR="0047743B" w:rsidRDefault="0047743B" w:rsidP="0047743B">
      <w:pPr>
        <w:pStyle w:val="a3"/>
        <w:jc w:val="center"/>
      </w:pPr>
    </w:p>
    <w:p w14:paraId="0A8AD580" w14:textId="77777777" w:rsidR="0047743B" w:rsidRDefault="0047743B" w:rsidP="0047743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кардиологии, </w:t>
      </w:r>
      <w:proofErr w:type="spellStart"/>
      <w:r>
        <w:rPr>
          <w:sz w:val="28"/>
          <w:szCs w:val="28"/>
        </w:rPr>
        <w:t>функциональнои</w:t>
      </w:r>
      <w:proofErr w:type="spellEnd"/>
      <w:r>
        <w:rPr>
          <w:sz w:val="28"/>
          <w:szCs w:val="28"/>
        </w:rPr>
        <w:t>̆ и клинико-</w:t>
      </w:r>
      <w:proofErr w:type="spellStart"/>
      <w:r>
        <w:rPr>
          <w:sz w:val="28"/>
          <w:szCs w:val="28"/>
        </w:rPr>
        <w:t>лабораторнои</w:t>
      </w:r>
      <w:proofErr w:type="spellEnd"/>
      <w:r>
        <w:rPr>
          <w:sz w:val="28"/>
          <w:szCs w:val="28"/>
        </w:rPr>
        <w:t>̆ диагностики ИПО</w:t>
      </w:r>
    </w:p>
    <w:p w14:paraId="0B2D35F1" w14:textId="77777777" w:rsidR="0047743B" w:rsidRDefault="0047743B" w:rsidP="0047743B">
      <w:pPr>
        <w:pStyle w:val="a3"/>
        <w:jc w:val="center"/>
      </w:pPr>
    </w:p>
    <w:p w14:paraId="607B18FE" w14:textId="77777777" w:rsidR="0047743B" w:rsidRDefault="0047743B" w:rsidP="0047743B">
      <w:pPr>
        <w:pStyle w:val="a3"/>
        <w:ind w:left="495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Зав.кафедрои</w:t>
      </w:r>
      <w:proofErr w:type="spellEnd"/>
      <w:r>
        <w:rPr>
          <w:sz w:val="28"/>
          <w:szCs w:val="28"/>
        </w:rPr>
        <w:t xml:space="preserve">̆: ДМН, Профессор Матюшин Г. В. </w:t>
      </w:r>
    </w:p>
    <w:p w14:paraId="6D7ABC2F" w14:textId="77777777" w:rsidR="0047743B" w:rsidRDefault="0047743B" w:rsidP="0047743B">
      <w:pPr>
        <w:pStyle w:val="a3"/>
        <w:ind w:left="495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Ответственныи</w:t>
      </w:r>
      <w:proofErr w:type="spellEnd"/>
      <w:r>
        <w:rPr>
          <w:sz w:val="28"/>
          <w:szCs w:val="28"/>
        </w:rPr>
        <w:t xml:space="preserve">̆ за ординатуру: КМН, доцент Кузнецова О.О. </w:t>
      </w:r>
    </w:p>
    <w:p w14:paraId="18925734" w14:textId="77777777" w:rsidR="0047743B" w:rsidRDefault="0047743B" w:rsidP="0047743B">
      <w:pPr>
        <w:pStyle w:val="a3"/>
        <w:jc w:val="right"/>
        <w:rPr>
          <w:sz w:val="28"/>
          <w:szCs w:val="28"/>
        </w:rPr>
      </w:pPr>
    </w:p>
    <w:p w14:paraId="412830BF" w14:textId="77777777" w:rsidR="0047743B" w:rsidRDefault="0047743B" w:rsidP="0047743B">
      <w:pPr>
        <w:pStyle w:val="a3"/>
        <w:jc w:val="right"/>
        <w:rPr>
          <w:sz w:val="28"/>
          <w:szCs w:val="28"/>
        </w:rPr>
      </w:pPr>
    </w:p>
    <w:p w14:paraId="3DE2D479" w14:textId="77777777" w:rsidR="0047743B" w:rsidRDefault="0047743B" w:rsidP="0047743B">
      <w:pPr>
        <w:pStyle w:val="a3"/>
        <w:jc w:val="right"/>
      </w:pPr>
    </w:p>
    <w:p w14:paraId="41FDEB91" w14:textId="58A29991" w:rsidR="0047743B" w:rsidRDefault="0047743B" w:rsidP="0047743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РЕФЕРАТ на тему: «</w:t>
      </w:r>
      <w:r>
        <w:rPr>
          <w:sz w:val="32"/>
          <w:szCs w:val="32"/>
        </w:rPr>
        <w:t>Гипертрофическая кардиомиопатия</w:t>
      </w:r>
      <w:r>
        <w:rPr>
          <w:sz w:val="28"/>
          <w:szCs w:val="28"/>
        </w:rPr>
        <w:t>»</w:t>
      </w:r>
    </w:p>
    <w:p w14:paraId="4542E9B3" w14:textId="77777777" w:rsidR="0047743B" w:rsidRDefault="0047743B" w:rsidP="0047743B">
      <w:pPr>
        <w:pStyle w:val="a3"/>
        <w:jc w:val="center"/>
        <w:rPr>
          <w:sz w:val="28"/>
          <w:szCs w:val="28"/>
        </w:rPr>
      </w:pPr>
    </w:p>
    <w:p w14:paraId="330C5191" w14:textId="77777777" w:rsidR="0047743B" w:rsidRDefault="0047743B" w:rsidP="0047743B">
      <w:pPr>
        <w:pStyle w:val="a3"/>
        <w:jc w:val="center"/>
      </w:pPr>
    </w:p>
    <w:p w14:paraId="7AA203D6" w14:textId="77777777" w:rsidR="0047743B" w:rsidRDefault="0047743B" w:rsidP="0047743B">
      <w:pPr>
        <w:pStyle w:val="a3"/>
        <w:jc w:val="center"/>
      </w:pPr>
    </w:p>
    <w:p w14:paraId="347A129E" w14:textId="77777777" w:rsidR="0047743B" w:rsidRDefault="0047743B" w:rsidP="0047743B">
      <w:pPr>
        <w:pStyle w:val="a3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Ординатор 1 года обучения, </w:t>
      </w:r>
      <w:proofErr w:type="spellStart"/>
      <w:r>
        <w:rPr>
          <w:sz w:val="28"/>
          <w:szCs w:val="28"/>
        </w:rPr>
        <w:t>Манукян</w:t>
      </w:r>
      <w:proofErr w:type="spellEnd"/>
      <w:r>
        <w:rPr>
          <w:sz w:val="28"/>
          <w:szCs w:val="28"/>
        </w:rPr>
        <w:t xml:space="preserve"> Е.Э.</w:t>
      </w:r>
      <w:r>
        <w:rPr>
          <w:sz w:val="28"/>
          <w:szCs w:val="28"/>
        </w:rPr>
        <w:br/>
        <w:t xml:space="preserve">Проверила: к.м.н., доцент Савченко Е.А. </w:t>
      </w:r>
    </w:p>
    <w:p w14:paraId="4A290433" w14:textId="77777777" w:rsidR="0047743B" w:rsidRDefault="0047743B" w:rsidP="0047743B">
      <w:pPr>
        <w:pStyle w:val="a3"/>
        <w:rPr>
          <w:sz w:val="28"/>
          <w:szCs w:val="28"/>
        </w:rPr>
      </w:pPr>
    </w:p>
    <w:p w14:paraId="2292F956" w14:textId="77777777" w:rsidR="0047743B" w:rsidRDefault="0047743B" w:rsidP="0047743B">
      <w:pPr>
        <w:pStyle w:val="a3"/>
        <w:rPr>
          <w:sz w:val="28"/>
          <w:szCs w:val="28"/>
        </w:rPr>
      </w:pPr>
    </w:p>
    <w:p w14:paraId="7B7425CA" w14:textId="77777777" w:rsidR="0047743B" w:rsidRDefault="0047743B" w:rsidP="0047743B">
      <w:pPr>
        <w:pStyle w:val="a3"/>
        <w:rPr>
          <w:sz w:val="28"/>
          <w:szCs w:val="28"/>
        </w:rPr>
      </w:pPr>
    </w:p>
    <w:p w14:paraId="31DAB683" w14:textId="77777777" w:rsidR="0047743B" w:rsidRDefault="0047743B" w:rsidP="0047743B">
      <w:pPr>
        <w:pStyle w:val="a3"/>
      </w:pPr>
    </w:p>
    <w:p w14:paraId="2E988A72" w14:textId="382E828E" w:rsidR="0047743B" w:rsidRDefault="0047743B" w:rsidP="0047743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2D03FC80" w14:textId="77777777" w:rsidR="0047743B" w:rsidRDefault="0047743B" w:rsidP="0047743B">
      <w:pPr>
        <w:pStyle w:val="a3"/>
        <w:jc w:val="center"/>
        <w:rPr>
          <w:b/>
          <w:bCs/>
          <w:color w:val="231F20"/>
        </w:rPr>
      </w:pPr>
    </w:p>
    <w:p w14:paraId="78F6614E" w14:textId="77777777" w:rsidR="0047743B" w:rsidRDefault="0047743B" w:rsidP="0047743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0F335C9" w14:textId="4D1EECDC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>Содержание:</w:t>
      </w:r>
    </w:p>
    <w:p w14:paraId="2D632C00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1.Введение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br/>
        <w:t>2. Генетические основы кардиомиопатий 3. Классификация кардиомиопатий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br/>
        <w:t xml:space="preserve">4. Гипертрофическая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кардиомиатия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br/>
        <w:t>5. Стратегия лечения больных ГКМП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br/>
        <w:t>6. Лечение ФП при ГКМП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br/>
        <w:t>7. Фенокопии ГКМП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br/>
        <w:t>8. Заключение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br/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9. Список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используемои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̆ литературы. </w:t>
      </w:r>
    </w:p>
    <w:p w14:paraId="509BB685" w14:textId="78D5E48D" w:rsidR="0047743B" w:rsidRPr="0047743B" w:rsidRDefault="0047743B" w:rsidP="0047743B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begin"/>
      </w:r>
      <w:r w:rsidRPr="0047743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 xml:space="preserve"> INCLUDEPICTURE "/Users/eranuimanukan/Library/Group Containers/UBF8T346G9.ms/WebArchiveCopyPasteTempFiles/com.microsoft.Word/page2image1856354704" \* MERGEFORMATINET </w:instrText>
      </w:r>
      <w:r w:rsidRPr="0047743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47743B">
        <w:rPr>
          <w:rFonts w:ascii="Times New Roman" w:eastAsia="Times New Roman" w:hAnsi="Times New Roman" w:cs="Times New Roman"/>
          <w:noProof/>
          <w:kern w:val="0"/>
          <w:lang w:eastAsia="ru-RU"/>
          <w14:ligatures w14:val="none"/>
        </w:rPr>
        <w:drawing>
          <wp:inline distT="0" distB="0" distL="0" distR="0" wp14:anchorId="6AC48CE3" wp14:editId="40F10191">
            <wp:extent cx="5936615" cy="963295"/>
            <wp:effectExtent l="0" t="0" r="0" b="0"/>
            <wp:docPr id="212560669" name="Рисунок 5" descr="page2image185635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8563547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43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</w:p>
    <w:p w14:paraId="3F8E8A09" w14:textId="77777777" w:rsidR="0047743B" w:rsidRDefault="0047743B" w:rsidP="0047743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2298105B" w14:textId="77777777" w:rsidR="0047743B" w:rsidRDefault="0047743B" w:rsidP="0047743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3CD2E31A" w14:textId="77777777" w:rsidR="0047743B" w:rsidRDefault="0047743B" w:rsidP="0047743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3B900D41" w14:textId="77777777" w:rsidR="0047743B" w:rsidRDefault="0047743B" w:rsidP="0047743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1C81BA03" w14:textId="77777777" w:rsidR="0047743B" w:rsidRDefault="0047743B" w:rsidP="0047743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06F1A69F" w14:textId="77777777" w:rsidR="0047743B" w:rsidRDefault="0047743B" w:rsidP="0047743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186959F0" w14:textId="77777777" w:rsidR="0047743B" w:rsidRDefault="0047743B" w:rsidP="0047743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10C348AB" w14:textId="77777777" w:rsidR="0047743B" w:rsidRDefault="0047743B" w:rsidP="0047743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396F8521" w14:textId="77777777" w:rsidR="0047743B" w:rsidRDefault="0047743B" w:rsidP="0047743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3C88CE12" w14:textId="77777777" w:rsidR="0047743B" w:rsidRDefault="0047743B" w:rsidP="0047743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74D2D9E5" w14:textId="77777777" w:rsidR="0047743B" w:rsidRDefault="0047743B" w:rsidP="0047743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4A6A5594" w14:textId="77777777" w:rsidR="0047743B" w:rsidRDefault="0047743B" w:rsidP="0047743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0389EF75" w14:textId="77777777" w:rsidR="0047743B" w:rsidRDefault="0047743B" w:rsidP="0047743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6102B598" w14:textId="77777777" w:rsidR="0047743B" w:rsidRDefault="0047743B" w:rsidP="0047743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00B5E0D7" w14:textId="5DB417D2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 xml:space="preserve">Введение </w:t>
      </w:r>
    </w:p>
    <w:p w14:paraId="5C7F4762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Кардиомиопатии (КМП) – группа заболеваний, при которых первично поражается миокард, и это поражение не является следствием ВПС, приобретенных клапанных пороков, АГ, ИБС, поражения перикарда. Факт того, что мутации одних и тех же генов могут приводить к развитию различных типов КМП 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внекардиальных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фенотипов, говорит о сложности патогенеза заболевания и подчеркивает роль других генетических факторов и факторов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внешнеи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среды. Классификация кардиомиопатий (WHO, 1995) Первичные кардиомиопатии </w:t>
      </w:r>
    </w:p>
    <w:p w14:paraId="19E26C0C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Дилатационная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кардиомиопатия (ДКМП).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br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Гипертрофическая кардиомиопатия (ГКМП). </w:t>
      </w:r>
    </w:p>
    <w:p w14:paraId="1E57C774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Рестриктивная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кардиомиопатия (РКМП).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br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Аритмогенная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дисплазия правого желудочка (АДПЖ). </w:t>
      </w:r>
    </w:p>
    <w:p w14:paraId="288B5E5F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Недифференцируемые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кардиомиопатии.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br/>
        <w:t xml:space="preserve">Специфические кардиомиопатии (ассоциированные со специфическим </w:t>
      </w:r>
    </w:p>
    <w:p w14:paraId="05B022F4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системным или несистемным заболеванием) </w:t>
      </w:r>
    </w:p>
    <w:p w14:paraId="5139A635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Ишемическая КМП. </w:t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Клапанная КМП. </w:t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Гипертензивная КМП. </w:t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Воспалительная (инфекционного и аутоиммунного генеза). </w:t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Метаболическая (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гипо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/гипертиреоз, акромегалия, феохромоцитома, СД, болезни накопления,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гемохроматоз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, дефицит факторов питания,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электролитныи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дисбаланс). </w:t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КМП при системных заболеваниях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соединительнои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ткани. </w:t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КМП при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нейромышечных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заболеваниях. </w:t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Токсические КМП. </w:t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Послеродовая КМП. </w:t>
      </w:r>
    </w:p>
    <w:p w14:paraId="2BAA289B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Поскольку в классификации ВОЗ от 1996 года не был отражен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генетическии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характер заболевания, к настоящему времени сложились предпосылки для пересмотра или дополнения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этои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классификации. </w:t>
      </w:r>
    </w:p>
    <w:p w14:paraId="39E4849F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>Генетические основы кардиомиопатий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. Последние достижения в области изучения этиологии и патогенеза кардиомиопатий отражены в двух классификациях, предложенных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Американскои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Ассоциациеи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Сердца (ААС) 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Европейскои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Ассоциациеи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̆ Кардиологов (ЕАК) (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Maron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B.J.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et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al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., 2006;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Elliott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P.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et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al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., 2008). Преимуществами классификационного подхода, предложенного ААС, является то, что в его основе лежит этиология заболеваний и подробно отражены генетические причины. В классификации ЕАК (2008) выделены морфофункциональные классы, что делает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данныи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подход клинически ориентированным, удобным для использования в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повседневнои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клиническои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практике </w:t>
      </w:r>
    </w:p>
    <w:p w14:paraId="0EC09817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Кардиомиопатии (КМП) – гетерогенная группа заболеваний миокарда, ассоциированных с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механическои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и/или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электрическои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дисфункциеи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при которых обычно (но не всегда) выявляется неадекватная гипертрофия левого и/или правого желудочков или дилатация вследствие разнообразных причин, часто являющихся генетическими. </w:t>
      </w:r>
    </w:p>
    <w:p w14:paraId="0D97530C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Важное дополнение: врожденные и приобретенные клапанные пороки, АГ, ИБС, заболевания перикарда должны быть исключены как причина выявленных изменений, но могут присутствовать как сопутствующая патология. </w:t>
      </w:r>
    </w:p>
    <w:p w14:paraId="015998AE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В настоящее время известно более 60 генов, опосредующих развитие различных кардиомиопатий. Фенотипические проявления кардиомиопатии часто зависят от возраста, пола, факторов среды,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коморбидности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. Классификация MOGE(s) от 2013 года базируется на основе двух вышеперечисленных классификационных подходов. Несомненным достоинством является возможность формализованного описания кардиомиопатии и в целом нозологии, а также возможность в ходе динамического наблюдения за пациентом дополнять и конкретизировать описательную схему течения заболевания. </w:t>
      </w:r>
    </w:p>
    <w:p w14:paraId="6542E9DB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Классификация MOGE(s) учитывает 5 характеристик кардиомиопатии: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морфофункциональныи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класс (ГКМП, ДКМП, РКМП, и т.д.) (M); поражение органов (O);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генетическии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в том числе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семейныи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характер наследования (G) и точную этиологическую характеристику с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подробнои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информациеи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о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генетическои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или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негенетическои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причине (E); также может быть добавлена информация о функциональном состоянии миокарда (S), которое описывают с использованием стадий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сердечнои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недостаточности A-D, предложенных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Американскои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Коллегиеи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̆ Кардиологов/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Американскои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Ассоциациеи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Сердца (ACC/AАС) и функциональных классов I-IV, предложенных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Нью-Йоркскои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ассоциациеи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сердца (NYHA). Добавление (S) оставили факультативным, его следует использовать по усмотрению лечащего врача. </w:t>
      </w:r>
    </w:p>
    <w:p w14:paraId="53125B90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Обозначение «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морфофункциональныи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̆» (M) определяет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описательныи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диагноз фенотипа (MD =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дилатационная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кардиомиопатия; MH = гипертрофическая кардиомиопатия; MA =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аритмогенная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правожелудочковая (ПЖ) кардиомиопатия (АПЖК) или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аритмогенная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дисплазия сердца (АДС); MR =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рестриктивная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кардиомиопатия; MLVNC = изолированная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некомпактность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ЛЖ). Возможно описание смешанных фенотипов: дилатация + рестрикция, гипертрофия + дилатация (MD+R или MH+D). Также могут быть добавлены специфичные для конкретного заболевания клинические, в том числе ЭКГ, маркеры, например, атриовентрикулярная блокада, синдром Вольфа– Паркинсона–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Уайта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(WPW) и др. Поражения органов (O) документируют как поражения исключительно сердца (OH).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Внекардиальные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24F82ED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lastRenderedPageBreak/>
        <w:t>поражения могут быть описаны с помощью обозначений органов/систем, таких как скелетные мышцы (OH+M), органы слуха (OH+A), почки (OH+K), нервная система (OH+N), печень (OH+L), желудочно-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кишечныи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тракт (OH+G), кожа (OH+C), зрительная система (OH+O) или OH+MR для случая задержки умственного развития. Здоровые носители мутации могут быть описаны как (O0).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Генетическии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или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семейныи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характер наследования (G) предоставляет информацию об аутосомно-доминантном (GAD),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аутосомнорецессивном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(GAR), Х-сцепленном (GXL), X-сцепленном рецессивном (GXLR), X-сцепленном доминантном (GXLD) наследовании или наследовании по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материнскои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̆ линии (GM). Термин «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спорадическии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̆» (GS) указывает исключительно на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несемейныи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характер заболевания или заболевание, имеющееся у одного члена семьи, когда информация или данные по другим членам семьи недоступны (и не будут доступны). Этиологическая характеристика (E) добавляет к описанию лежащую в основе заболевания причину. Например, генетическая (EG) этиология может быть описана с помощью конкретного опосредующего развитие заболевания гена и мутации (мутаций), как в случае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саркомернои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ГКМП (EG- MYH7[p.Arg403Glu]), так и фенокопий, например,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семейного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транстиретинового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амилоидоза (EA-</w:t>
      </w:r>
      <w:proofErr w:type="gram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TTR[</w:t>
      </w:r>
      <w:proofErr w:type="gram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p.Val30Met]) и т.п. Этиологическая детализация может включать понятие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неноситель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(EG-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Neg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), если результат генетического теста отрицателен. Причина заболевания может быть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негенетическои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например, изолированное поражение сердца при AL- амилоидозе. Показатель «S» отражает тяжесть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хроническои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сердечнои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недостаточности. </w:t>
      </w:r>
    </w:p>
    <w:p w14:paraId="3F5E68E2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ГИПЕРТРОФИЧЕСКАЯ КАРДИОМИОПАТИЯ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ГКМП – необъяснимая гипертрофия левого (ЛЖ) и/или правого желудочков (ПЖ) при нормальном или уменьшенном размере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полостеи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̆ сердца и отсутствии других кардиологических или системных заболеваний, которые могут вызвать подобную величину гипертрофии (≥ 15 мм) по данным эхокардиографии (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ЭхоКГ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). ГКМП может быть диагностирована в любом возрасте, независимо от пола 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расовои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принадлежности. </w:t>
      </w:r>
    </w:p>
    <w:p w14:paraId="23EA7515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Кардиомиопатии (КМП) – гетерогенная группа заболеваний миокарда, ассоциированных с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механическои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и/или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электрическои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дисфункциеи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при которых обычно (но не всегда) выявляется неадекватная гипертрофия левого и/или правого желудочков или дилатация вследствие разнообразных причин, часто являющихся генетическими. </w:t>
      </w:r>
    </w:p>
    <w:p w14:paraId="749A5BFA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Важное дополнение: врожденные и приобретенные клапанные пороки, АГ, ИБС, заболевания перикарда должны быть исключены как причина выявленных изменений, но могут присутствовать как сопутствующая патология. В настоящее время известно более 60 генов, опосредующих </w:t>
      </w:r>
    </w:p>
    <w:p w14:paraId="60C76C3F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развитие различных кардиомиопатий. Фенотипические проявления кардиомиопатии часто зависят от возраста, пола, факторов среды,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коморбидности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. Классификация MOGE(s) от 2013 года базируется на основе двух вышеперечисленных классификационных подходов. Несомненным достоинством является возможность формализованного описания кардиомиопатии и в целом нозологии, а также возможность в ходе динамического наблюдения за пациентом дополнять и конкретизировать описательную схему течения заболевания. </w:t>
      </w:r>
    </w:p>
    <w:p w14:paraId="5D90926A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Классификация MOGE(s) учитывает 5 характеристик кардиомиопатии: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морфофункциональныи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класс (ГКМП, ДКМП, РКМП, и т.д.) (M); поражение органов (O);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генетическии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в том числе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семейныи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характер наследования (G) и точную этиологическую характеристику с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подробнои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информациеи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о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генетическои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или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негенетическои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причине (E); также может быть добавлена информация о функциональном состоянии миокарда (S), которое описывают с использованием стадий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сердечнои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недостаточности A-D, предложенных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Американскои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Коллегиеи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̆ Кардиологов/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Американскои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Ассоциациеи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Сердца (ACC/AАС) и функциональных классов I-IV, предложенных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Нью-Йоркскои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ассоциациеи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сердца (NYHA). Добавление (S) оставили факультативным, его следует использовать по усмотрению лечащего врача. </w:t>
      </w:r>
    </w:p>
    <w:p w14:paraId="0E4DCB12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Обозначение «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морфофункциональныи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̆» (M) определяет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описательныи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диагноз фенотипа (MD =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дилатационная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кардиомиопатия; MH = гипертрофическая кардиомиопатия; MA =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аритмогенная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правожелудочковая (ПЖ) кардиомиопатия (АПЖК) или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аритмогенная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дисплазия сердца (АДС); MR =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рестриктивная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кардиомиопатия; MLVNC = изолированная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некомпактность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ЛЖ). Возможно описание смешанных фенотипов: дилатация + рестрикция, гипертрофия + дилатация (MD+R или MH+D). Также могут быть добавлены специфичные для конкретного заболевания клинические, в том числе ЭКГ, маркеры, например, атриовентрикулярная блокада, синдром Вольфа– Паркинсона–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Уайта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(WPW) и др. Поражения органов (O) документируют как поражения исключительно сердца (OH).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Внекардиальные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поражения могут быть описаны с помощью обозначений органов/систем, таких как скелетные мышцы (OH+M), органы слуха (OH+A), почки (OH+K), нервная система (OH+N), печень (OH+L), желудочно-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кишечныи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тракт (OH+G), кожа (OH+C), зрительная система (OH+O) или OH+MR для случая задержки умственного развития. Здоровые носители мутации могут быть описаны как (O0).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Генетическии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или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семейныи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характер наследования (G) предоставляет информацию об аутосомно-доминантном (GAD),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аутосомнорецессивном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(GAR), Х-сцепленном (GXL), X-сцепленном рецессивном (GXLR), X-сцепленном доминантном (GXLD) наследовании или наследовании по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материнскои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̆ линии (GM). Термин «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спорадическии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̆» (GS) указывает исключительно на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несемейныи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характер заболевания или </w:t>
      </w:r>
    </w:p>
    <w:p w14:paraId="59742DDB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заболевание, имеющееся у одного члена семьи, когда информация или данные по другим членам семьи недоступны (и не будут доступны). Этиологическая характеристика (E) добавляет к описанию лежащую в основе заболевания причину. Например, генетическая (EG) этиология может быть описана с помощью конкретного опосредующего развитие заболевания гена и мутации (мутаций), как в случае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саркомернои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ГКМП (EG- MYH7[p.Arg403Glu]), так и фенокопий, например,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семейного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транстиретинового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амилоидоза (EA-</w:t>
      </w:r>
      <w:proofErr w:type="gram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TTR[</w:t>
      </w:r>
      <w:proofErr w:type="gram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p.Val30Met]) и т.п. Этиологическая детализация может включать понятие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неноситель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(EG-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Neg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), если результат генетического теста отрицателен. Причина заболевания может быть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негенетическои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например, изолированное поражение сердца при AL- амилоидозе. Показатель «S» отражает тяжесть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хроническои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сердечнои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недостаточности. </w:t>
      </w:r>
    </w:p>
    <w:p w14:paraId="59100CDD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ГИПЕРТРОФИЧЕСКАЯ КАРДИОМИОПАТИЯ ГКМП – необъяснимая гипертрофия левого (ЛЖ) и/или правого желудочков (ПЖ) при нормальном или уменьшенном размере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полостеи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̆ сердца и отсутствии других кардиологических или системных заболеваний, которые могут вызвать подобную величину гипертрофии (≥ 15 мм) по данным эхокардиографии (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ЭхоКГ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). ГКМП может быть диагностирована в любом возрасте, независимо от пола 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расовои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принадлежности. Гипертрофическая кардиомиопатия (ГКМП) – это генетическое заболевание с аутосомно-доминантным типом наследования,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причинои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которого являются более 1400 мутаций как минимум в 11 генах, кодирующих белки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саркомера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саркомер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- ассоциированные белки, ответственные за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контрактильную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функцию сердца. Описанные генетические дефекты характеризуются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разнои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степенью пенетрантности, выраженностью морфологических и клинических проявлений. Взаимосвязь между генотипом и клиническим фенотипом является предметом активного изучения. При этом у 5% пациентов с ГКМП присутствуют ≥2 мутаций в одном гене или различных генах. Исследования показали, что присутствие более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однои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мутации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саркомера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(две, три и более) при ГКМП увеличивает тяжесть течения заболевания и риск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внезапнои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сердечнои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смерти (ВСС) </w:t>
      </w:r>
    </w:p>
    <w:p w14:paraId="57CA601D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Часто пациенты с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даннои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патологиеи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страдают различными нарушениями сердечного ритма. По данным разных источников, в 12- 28 % случаев ГКМП проявляется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фибрилляциеи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предсердий (ФП). Несмотря на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очевидныи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прогресс в профилактике и лечении ФП, это нарушение ритма остается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однои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из главных причин развития острого нарушения мозгового кровообращения (ОНМК),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сердечнои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недостаточности (СН),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внезапнои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смерти и сердечно- сосудистых заболеваний во всем мире. На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сегодняшнии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день ни для одного из доступных фармакологических агентов не было доказано, что он модифицирует развитие заболевания или исход у пациентов с ГКМП. </w:t>
      </w:r>
    </w:p>
    <w:p w14:paraId="09D60C9C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Единственные вмешательства, которые, как полагают, влияют на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долгосрочныи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прогноз, это хирургическая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миэктомия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имплантируемыи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кардиовертер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-дефибриллятор (ИКД). Тем не менее фармакологическая терапия играет очень важную роль в улучшении качества жизни и снижении риска осложнений, связанных с заболеванием. </w:t>
      </w:r>
    </w:p>
    <w:p w14:paraId="73AE6881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Стратегия лечения больных ГКМП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(адаптировано из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Elliott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PM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et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al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., 2014). Основные цели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фармакологическои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терапии при ГКМП: </w:t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FC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контроль симптомов и ограничение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физическои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нагрузки; </w:t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FC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коррекция повышенных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внутрижелудочковых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градиентов; лечение дисфункции ЛЖ 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сердечнои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недостаточности (СН); </w:t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FC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контроль фибрилляции предсердий и желудочковых аритмий и предотвращение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кардиоэмболических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осложнений. </w:t>
      </w:r>
    </w:p>
    <w:p w14:paraId="04EC00AC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Важно помнить, что у пациентов с ОВТЛЖ симптомы, как правило, варьируют с течением времени и нарастают при обезвоживании, приеме пищи, алкоголя и приседании. </w:t>
      </w:r>
    </w:p>
    <w:p w14:paraId="6CE277DC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Обструкция ВТЛЖ определяется пиковыми градиентами, превышающими 30 мм рт. ст. в состоянии покоя или 50 мм рт. ст. во время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физическои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нагрузки, и ассоциирована с неблагоприятным прогнозом вследствие развития нежелательных кардиоваскулярных событий.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O'Mahony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с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соавт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. (2014) разработали модель прогнозирования риска ВСС, включающую перечисленные факторы, по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которои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риск менее 4 % расценивается как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низкии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4-6 % –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среднии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̆; более 6 % –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высокии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̆ (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O'Mahony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et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al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., 2014). </w:t>
      </w:r>
    </w:p>
    <w:p w14:paraId="471D27A9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Модель прогнозирования риска ВСС не применяется у пациентов старше 80 лет и моложе 16 лет, при наличии фенокопий ГКМП, ГЛЖ у спортсменов, в случае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перенесеннои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внезапнои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сердечнои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смерти или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устойчивои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желудочковои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тахикардии. </w:t>
      </w:r>
    </w:p>
    <w:p w14:paraId="4487583C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ГКМП 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коморбидность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Сопутствующие заболевания (например, артериальная гипертензия,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сахарныи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диабет, гиперлипидемия, ожирение) </w:t>
      </w:r>
    </w:p>
    <w:p w14:paraId="1750C779" w14:textId="5F368E65" w:rsidR="0047743B" w:rsidRPr="0047743B" w:rsidRDefault="0047743B" w:rsidP="0047743B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begin"/>
      </w:r>
      <w:r w:rsidRPr="0047743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 xml:space="preserve"> INCLUDEPICTURE "/Users/eranuimanukan/Library/Group Containers/UBF8T346G9.ms/WebArchiveCopyPasteTempFiles/com.microsoft.Word/page8image1855873840" \* MERGEFORMATINET </w:instrText>
      </w:r>
      <w:r w:rsidRPr="0047743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47743B">
        <w:rPr>
          <w:rFonts w:ascii="Times New Roman" w:eastAsia="Times New Roman" w:hAnsi="Times New Roman" w:cs="Times New Roman"/>
          <w:noProof/>
          <w:kern w:val="0"/>
          <w:lang w:eastAsia="ru-RU"/>
          <w14:ligatures w14:val="none"/>
        </w:rPr>
        <w:drawing>
          <wp:inline distT="0" distB="0" distL="0" distR="0" wp14:anchorId="115DDFFF" wp14:editId="6809E8D8">
            <wp:extent cx="3227705" cy="2383790"/>
            <wp:effectExtent l="0" t="0" r="0" b="3810"/>
            <wp:docPr id="911547846" name="Рисунок 4" descr="page8image185587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8image18558738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43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</w:p>
    <w:p w14:paraId="11011FFD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lastRenderedPageBreak/>
        <w:t>должны лечиться в соответствии с существующими рекомендациями ГКМП (Класс I. Уровень доказательности С) (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Elliott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P.M.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et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al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., 2014). </w:t>
      </w:r>
    </w:p>
    <w:p w14:paraId="7334D4C5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Агрессивныи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контроль модифицируемых факторов риска сердечно- сосудистых заболеваний обязателен для пациентов с ГКМП с целью предотвращения синергических эффектов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ишемическои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болезни сердца, сахарного диабета тип 2 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артериальнои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гипертензии. Недавние исследования показали, что антагонисты рецепторов ангиотензина II (АРА) являются безопасными и, как правило, хорошо переносятся пациентами с ГКМП, однако следует соблюдать осторожность при использовании, необходимо титрование дозы препарата. ГКМП и хроническая сердечная недостаточность У 10-15 % пациентов с ГКМП и нарушением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диастолическои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функции развиваются признаки и симптомы СН, несмотря на сохраненную систолическую функцию. У приблизительно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однои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трети пациентов происходит снижение ФВЛЖ и развитие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дилатационнои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фазы ГКМП. Если прогрессирование заболевания очевидно, по жизненным показаниям проводится трансплантации сердца в соответствии с существующими рекомендациями ГКМП 2014 года (класс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IIa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при ФВЛЖ </w:t>
      </w:r>
      <w:proofErr w:type="gram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&lt; 50</w:t>
      </w:r>
      <w:proofErr w:type="gram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% и класс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IIb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при ФВЛЖ ≥ 50 %). </w:t>
      </w:r>
    </w:p>
    <w:p w14:paraId="4CD37BAF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Примечание: </w:t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Учитывая, что ГКМП обычно характеризуется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небольшои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полостью ЛЖ 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супранормальнои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систолическои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функциеи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̆, значения </w:t>
      </w:r>
      <w:proofErr w:type="gram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ФВЛЖ&lt; 50</w:t>
      </w:r>
      <w:proofErr w:type="gram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% для пациентов с ИГКМП должны рассматриваться как критические, отражающие тяжелое нарушение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систолическои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функции ЛЖ. </w:t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Следует избегать условий, при которых происходит уменьшение объема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циркулирующеи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крови, для предотвращения ухудшения при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обструктивнои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форме ГКМП (например, некорректное назначение мочегонных). </w:t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Дигоксин не следует использовать в схеме лечения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классическои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ГКМП (обструктивная форма, сохраненная фракция выброса), но он может быть рассмотрен в подгруппе пациентов с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выраженнои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дисфункциеи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ЛЖ для контроля частоты сокращения желудочков при лечении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постояннои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формы ФП. </w:t>
      </w:r>
    </w:p>
    <w:p w14:paraId="683CB4A0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Лечение ФП при ГКМП </w:t>
      </w:r>
    </w:p>
    <w:p w14:paraId="7BEA45F9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Антикоагулянты (без CHADSVASC), пожизненно, даже при восстановленном синусовом ритме. </w:t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Контроль ЧСС. </w:t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Контроль ритма (при </w:t>
      </w:r>
    </w:p>
    <w:p w14:paraId="658B5837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gram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ЛП &gt;</w:t>
      </w:r>
      <w:proofErr w:type="gram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45 мм ХМ ЭКГ каждые 6-12 месяцев для исключения ФП). </w:t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sym w:font="Symbol" w:char="F0B7"/>
      </w:r>
      <w:r w:rsidRPr="0047743B">
        <w:rPr>
          <w:rFonts w:ascii="SymbolMT" w:eastAsia="Times New Roman" w:hAnsi="Symbol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При ГКМП назначение НОАК приемлемо. Нет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проспективных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данных. Отсутствуют данные по использованию НОАК у пациентов с ГКМП, но они рекомендуются, когда подобранная доза АВК (МНО 2,0-3,0) не может использоваться для поддержания терапевтического уровня, или когда у больных развиваются побочные эффекты при приеме АВК, либо когда </w:t>
      </w:r>
    </w:p>
    <w:p w14:paraId="2DC43270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невозможен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регулярныи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мониторинг МНО. В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этои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ситуации рекомендуются прямые ингибиторы тромбина (дабигатран) или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оральныи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ингибитор фактора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Xа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напрмер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ривароксабан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апиксабан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). </w:t>
      </w:r>
    </w:p>
    <w:p w14:paraId="5ACFC136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ФЕНОКОПИИ ГКМП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ГКМП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– это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собирательныи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термин (идиопатическая ГКМП + фенокопии),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объединяющии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широкии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спектр заболеваний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генетическои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негенетическои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природы, отличающихся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этиопатогенезом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и подходами к терапии. На фенокопии ГКМП приходится 5-10 % всех случаев ГЛЖ неясного генеза. Диагноз и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дифференциальныи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диагноз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Дифференциальныи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диагноз должен проводиться как внутри группы ГЛЖ неясного генеза (ГКМП – болезнь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саркомера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и фенокопии), так и с другими заболеваниями сердечно-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сосудистои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̆ системы, сопровождающимися ГЛЖ (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Elliott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P.M.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et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al</w:t>
      </w:r>
      <w:proofErr w:type="spellEnd"/>
      <w:r w:rsidRPr="0047743B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., 2014). </w:t>
      </w:r>
    </w:p>
    <w:p w14:paraId="6F341C3E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Заключение. </w:t>
      </w:r>
    </w:p>
    <w:p w14:paraId="3D2C5861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В отношении прогноза течение кардиомиопатий </w:t>
      </w:r>
      <w:proofErr w:type="spellStart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>крайне</w:t>
      </w:r>
      <w:proofErr w:type="spellEnd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94763C4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неблагоприятно: сердечная недостаточность неуклонно прогрессирует, </w:t>
      </w:r>
    </w:p>
    <w:p w14:paraId="72CB50EF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велика вероятность аритмических, тромбоэмболических осложнений и </w:t>
      </w:r>
    </w:p>
    <w:p w14:paraId="7CECCEE4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>внезапнои</w:t>
      </w:r>
      <w:proofErr w:type="spellEnd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̆ смерти. После диагностики </w:t>
      </w:r>
      <w:proofErr w:type="spellStart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>дилатационнои</w:t>
      </w:r>
      <w:proofErr w:type="spellEnd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̆ кардиомиопатии 5- </w:t>
      </w:r>
    </w:p>
    <w:p w14:paraId="23C9FA97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летняя выживаемость составляет 30 %. При планомерном лечении возможна </w:t>
      </w:r>
    </w:p>
    <w:p w14:paraId="169F2CC7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стабилизация состояния на </w:t>
      </w:r>
      <w:proofErr w:type="spellStart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>неопределенныи</w:t>
      </w:r>
      <w:proofErr w:type="spellEnd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̆ срок. Наблюдаются случаи, </w:t>
      </w:r>
    </w:p>
    <w:p w14:paraId="7385916D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превышающие 10-летнюю выживаемость пациентов, после проведения </w:t>
      </w:r>
    </w:p>
    <w:p w14:paraId="6628F935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операций трансплантации сердца. Хирургическое лечение </w:t>
      </w:r>
      <w:proofErr w:type="spellStart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>субаортального</w:t>
      </w:r>
      <w:proofErr w:type="spellEnd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CED54C6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стеноза при </w:t>
      </w:r>
      <w:proofErr w:type="spellStart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>гипертрофическои</w:t>
      </w:r>
      <w:proofErr w:type="spellEnd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̆ кардиомиопатии хотя и дает </w:t>
      </w:r>
      <w:proofErr w:type="spellStart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>несомненныи</w:t>
      </w:r>
      <w:proofErr w:type="spellEnd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̆ </w:t>
      </w:r>
    </w:p>
    <w:p w14:paraId="47DA06B2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>положительныи</w:t>
      </w:r>
      <w:proofErr w:type="spellEnd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̆ результат, но сопряжено с высоким риском гибели пациента </w:t>
      </w:r>
    </w:p>
    <w:p w14:paraId="123FC18B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gramStart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>во время</w:t>
      </w:r>
      <w:proofErr w:type="gramEnd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 или вскоре после операции (умирает </w:t>
      </w:r>
      <w:proofErr w:type="spellStart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>каждыи</w:t>
      </w:r>
      <w:proofErr w:type="spellEnd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̆ 6-й </w:t>
      </w:r>
    </w:p>
    <w:p w14:paraId="32F0B409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>прооперированныи</w:t>
      </w:r>
      <w:proofErr w:type="spellEnd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̆). Женщинам, больным кардиомиопатиями, следует </w:t>
      </w:r>
    </w:p>
    <w:p w14:paraId="57377C22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воздержаться от </w:t>
      </w:r>
      <w:r w:rsidRPr="0047743B">
        <w:rPr>
          <w:rFonts w:ascii="TimesNewRomanPSMT" w:eastAsia="Times New Roman" w:hAnsi="TimesNewRomanPSMT" w:cs="Times New Roman"/>
          <w:color w:val="0544AA"/>
          <w:kern w:val="0"/>
          <w:sz w:val="28"/>
          <w:szCs w:val="28"/>
          <w:lang w:eastAsia="ru-RU"/>
          <w14:ligatures w14:val="none"/>
        </w:rPr>
        <w:t xml:space="preserve">беременности </w:t>
      </w:r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ввиду </w:t>
      </w:r>
      <w:proofErr w:type="spellStart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>высокои</w:t>
      </w:r>
      <w:proofErr w:type="spellEnd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̆ вероятности </w:t>
      </w:r>
      <w:proofErr w:type="spellStart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>материнскои</w:t>
      </w:r>
      <w:proofErr w:type="spellEnd"/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̆ </w:t>
      </w:r>
    </w:p>
    <w:p w14:paraId="06A20D68" w14:textId="77777777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MT" w:eastAsia="Times New Roman" w:hAnsi="TimesNewRomanPSMT" w:cs="Times New Roman"/>
          <w:color w:val="1E1E21"/>
          <w:kern w:val="0"/>
          <w:sz w:val="28"/>
          <w:szCs w:val="28"/>
          <w:lang w:eastAsia="ru-RU"/>
          <w14:ligatures w14:val="none"/>
        </w:rPr>
        <w:t xml:space="preserve">смертности. </w:t>
      </w:r>
    </w:p>
    <w:p w14:paraId="268EE0DB" w14:textId="77777777" w:rsidR="0047743B" w:rsidRDefault="0047743B" w:rsidP="0047743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1E1E21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214D34A1" w14:textId="77777777" w:rsidR="0047743B" w:rsidRDefault="0047743B" w:rsidP="0047743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1E1E21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11E8F539" w14:textId="5254FBD0" w:rsidR="0047743B" w:rsidRPr="0047743B" w:rsidRDefault="0047743B" w:rsidP="0047743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NewRomanPS" w:eastAsia="Times New Roman" w:hAnsi="TimesNewRomanPS" w:cs="Times New Roman"/>
          <w:b/>
          <w:bCs/>
          <w:color w:val="1E1E21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 xml:space="preserve">Список </w:t>
      </w:r>
      <w:proofErr w:type="spellStart"/>
      <w:r w:rsidRPr="0047743B">
        <w:rPr>
          <w:rFonts w:ascii="TimesNewRomanPS" w:eastAsia="Times New Roman" w:hAnsi="TimesNewRomanPS" w:cs="Times New Roman"/>
          <w:b/>
          <w:bCs/>
          <w:color w:val="1E1E21"/>
          <w:kern w:val="0"/>
          <w:sz w:val="28"/>
          <w:szCs w:val="28"/>
          <w:shd w:val="clear" w:color="auto" w:fill="FFFFFF"/>
          <w:lang w:eastAsia="ru-RU"/>
          <w14:ligatures w14:val="none"/>
        </w:rPr>
        <w:t>используемои</w:t>
      </w:r>
      <w:proofErr w:type="spellEnd"/>
      <w:r w:rsidRPr="0047743B">
        <w:rPr>
          <w:rFonts w:ascii="TimesNewRomanPS" w:eastAsia="Times New Roman" w:hAnsi="TimesNewRomanPS" w:cs="Times New Roman"/>
          <w:b/>
          <w:bCs/>
          <w:color w:val="1E1E2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̆ литературы.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3"/>
      </w:tblGrid>
      <w:tr w:rsidR="0047743B" w:rsidRPr="0047743B" w14:paraId="251BCA34" w14:textId="77777777" w:rsidTr="0047743B">
        <w:tc>
          <w:tcPr>
            <w:tcW w:w="0" w:type="auto"/>
            <w:tcBorders>
              <w:top w:val="single" w:sz="2" w:space="0" w:color="auto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1144627" w14:textId="77777777" w:rsidR="0047743B" w:rsidRPr="0047743B" w:rsidRDefault="0047743B" w:rsidP="004774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1. </w:t>
            </w:r>
            <w:r w:rsidRPr="0047743B">
              <w:rPr>
                <w:rFonts w:ascii="TimesNewRomanPSMT" w:eastAsia="Times New Roman" w:hAnsi="TimesNewRomanPSMT" w:cs="Times New Roman"/>
                <w:color w:val="3366BA"/>
                <w:kern w:val="0"/>
                <w:sz w:val="28"/>
                <w:szCs w:val="28"/>
                <w:lang w:eastAsia="ru-RU"/>
                <w14:ligatures w14:val="none"/>
              </w:rPr>
              <w:t>база</w:t>
            </w:r>
            <w:r w:rsidRPr="0047743B">
              <w:rPr>
                <w:rFonts w:ascii="TimesNewRomanPSMT" w:eastAsia="Times New Roman" w:hAnsi="TimesNewRomanPSMT" w:cs="Times New Roman"/>
                <w:color w:val="3366BA"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 </w:t>
            </w:r>
            <w:r w:rsidRPr="0047743B">
              <w:rPr>
                <w:rFonts w:ascii="TimesNewRomanPSMT" w:eastAsia="Times New Roman" w:hAnsi="TimesNewRomanPSMT" w:cs="Times New Roman"/>
                <w:color w:val="3366BA"/>
                <w:kern w:val="0"/>
                <w:sz w:val="28"/>
                <w:szCs w:val="28"/>
                <w:lang w:eastAsia="ru-RU"/>
                <w14:ligatures w14:val="none"/>
              </w:rPr>
              <w:t>данных</w:t>
            </w:r>
            <w:r w:rsidRPr="0047743B">
              <w:rPr>
                <w:rFonts w:ascii="TimesNewRomanPSMT" w:eastAsia="Times New Roman" w:hAnsi="TimesNewRomanPSMT" w:cs="Times New Roman"/>
                <w:color w:val="3366BA"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 Disease ontology </w:t>
            </w:r>
            <w:r w:rsidRPr="0047743B">
              <w:rPr>
                <w:rFonts w:ascii="TimesNewRomanPSMT" w:eastAsia="Times New Roman" w:hAnsi="TimesNewRomanPSMT" w:cs="Times New Roman"/>
                <w:color w:val="70757C"/>
                <w:kern w:val="0"/>
                <w:sz w:val="28"/>
                <w:szCs w:val="28"/>
                <w:lang w:val="en-US" w:eastAsia="ru-RU"/>
                <w14:ligatures w14:val="none"/>
              </w:rPr>
              <w:t>(</w:t>
            </w:r>
            <w:proofErr w:type="spellStart"/>
            <w:r w:rsidRPr="0047743B">
              <w:rPr>
                <w:rFonts w:ascii="TimesNewRomanPSMT" w:eastAsia="Times New Roman" w:hAnsi="TimesNewRomanPSMT" w:cs="Times New Roman"/>
                <w:color w:val="70757C"/>
                <w:kern w:val="0"/>
                <w:sz w:val="28"/>
                <w:szCs w:val="28"/>
                <w:lang w:eastAsia="ru-RU"/>
                <w14:ligatures w14:val="none"/>
              </w:rPr>
              <w:t>англ</w:t>
            </w:r>
            <w:proofErr w:type="spellEnd"/>
            <w:r w:rsidRPr="0047743B">
              <w:rPr>
                <w:rFonts w:ascii="TimesNewRomanPSMT" w:eastAsia="Times New Roman" w:hAnsi="TimesNewRomanPSMT" w:cs="Times New Roman"/>
                <w:color w:val="70757C"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.) </w:t>
            </w:r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val="en-US" w:eastAsia="ru-RU"/>
                <w14:ligatures w14:val="none"/>
              </w:rPr>
              <w:t>— 2016.</w:t>
            </w:r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val="en-US" w:eastAsia="ru-RU"/>
                <w14:ligatures w14:val="none"/>
              </w:rPr>
              <w:br/>
              <w:t xml:space="preserve">2. ↑ </w:t>
            </w:r>
            <w:proofErr w:type="spellStart"/>
            <w:r w:rsidRPr="0047743B">
              <w:rPr>
                <w:rFonts w:ascii="TimesNewRomanPSMT" w:eastAsia="Times New Roman" w:hAnsi="TimesNewRomanPSMT" w:cs="Times New Roman"/>
                <w:color w:val="0544AA"/>
                <w:kern w:val="0"/>
                <w:sz w:val="28"/>
                <w:szCs w:val="28"/>
                <w:lang w:eastAsia="ru-RU"/>
                <w14:ligatures w14:val="none"/>
              </w:rPr>
              <w:t>Переи</w:t>
            </w:r>
            <w:proofErr w:type="spellEnd"/>
            <w:r w:rsidRPr="0047743B">
              <w:rPr>
                <w:rFonts w:ascii="TimesNewRomanPSMT" w:eastAsia="Times New Roman" w:hAnsi="TimesNewRomanPSMT" w:cs="Times New Roman"/>
                <w:color w:val="0544AA"/>
                <w:kern w:val="0"/>
                <w:sz w:val="28"/>
                <w:szCs w:val="28"/>
                <w:lang w:val="en-US" w:eastAsia="ru-RU"/>
                <w14:ligatures w14:val="none"/>
              </w:rPr>
              <w:t>̆</w:t>
            </w:r>
            <w:proofErr w:type="spellStart"/>
            <w:r w:rsidRPr="0047743B">
              <w:rPr>
                <w:rFonts w:ascii="TimesNewRomanPSMT" w:eastAsia="Times New Roman" w:hAnsi="TimesNewRomanPSMT" w:cs="Times New Roman"/>
                <w:color w:val="0544AA"/>
                <w:kern w:val="0"/>
                <w:sz w:val="28"/>
                <w:szCs w:val="28"/>
                <w:lang w:eastAsia="ru-RU"/>
                <w14:ligatures w14:val="none"/>
              </w:rPr>
              <w:t>ти</w:t>
            </w:r>
            <w:proofErr w:type="spellEnd"/>
            <w:r w:rsidRPr="0047743B">
              <w:rPr>
                <w:rFonts w:ascii="TimesNewRomanPSMT" w:eastAsia="Times New Roman" w:hAnsi="TimesNewRomanPSMT" w:cs="Times New Roman"/>
                <w:color w:val="0544AA"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 </w:t>
            </w:r>
            <w:r w:rsidRPr="0047743B">
              <w:rPr>
                <w:rFonts w:ascii="TimesNewRomanPSMT" w:eastAsia="Times New Roman" w:hAnsi="TimesNewRomanPSMT" w:cs="Times New Roman"/>
                <w:color w:val="0544AA"/>
                <w:kern w:val="0"/>
                <w:sz w:val="28"/>
                <w:szCs w:val="28"/>
                <w:lang w:eastAsia="ru-RU"/>
                <w14:ligatures w14:val="none"/>
              </w:rPr>
              <w:t>обратно</w:t>
            </w:r>
            <w:r w:rsidRPr="0047743B">
              <w:rPr>
                <w:rFonts w:ascii="TimesNewRomanPSMT" w:eastAsia="Times New Roman" w:hAnsi="TimesNewRomanPSMT" w:cs="Times New Roman"/>
                <w:color w:val="0544AA"/>
                <w:kern w:val="0"/>
                <w:sz w:val="28"/>
                <w:szCs w:val="28"/>
                <w:lang w:val="en-US" w:eastAsia="ru-RU"/>
                <w14:ligatures w14:val="none"/>
              </w:rPr>
              <w:t>:</w:t>
            </w:r>
            <w:r w:rsidRPr="0047743B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544AA"/>
                <w:kern w:val="0"/>
                <w:position w:val="10"/>
                <w:sz w:val="18"/>
                <w:szCs w:val="18"/>
                <w:lang w:val="en-US" w:eastAsia="ru-RU"/>
                <w14:ligatures w14:val="none"/>
              </w:rPr>
              <w:t xml:space="preserve">1 2 3 </w:t>
            </w:r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Monarch Disease Ontology release 2018-06- </w:t>
            </w:r>
          </w:p>
          <w:p w14:paraId="71D413B7" w14:textId="77777777" w:rsidR="0047743B" w:rsidRPr="0047743B" w:rsidRDefault="0047743B" w:rsidP="004774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>29sonu — 2018-06-29 — 2018.</w:t>
            </w:r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3. ↑ </w:t>
            </w:r>
            <w:proofErr w:type="spellStart"/>
            <w:r w:rsidRPr="0047743B">
              <w:rPr>
                <w:rFonts w:ascii="TimesNewRomanPSMT" w:eastAsia="Times New Roman" w:hAnsi="TimesNewRomanPSMT" w:cs="Times New Roman"/>
                <w:color w:val="0544AA"/>
                <w:kern w:val="0"/>
                <w:sz w:val="28"/>
                <w:szCs w:val="28"/>
                <w:lang w:eastAsia="ru-RU"/>
                <w14:ligatures w14:val="none"/>
              </w:rPr>
              <w:t>Перейти</w:t>
            </w:r>
            <w:proofErr w:type="spellEnd"/>
            <w:r w:rsidRPr="0047743B">
              <w:rPr>
                <w:rFonts w:ascii="TimesNewRomanPSMT" w:eastAsia="Times New Roman" w:hAnsi="TimesNewRomanPSMT" w:cs="Times New Roman"/>
                <w:color w:val="0544AA"/>
                <w:kern w:val="0"/>
                <w:sz w:val="28"/>
                <w:szCs w:val="28"/>
                <w:lang w:eastAsia="ru-RU"/>
                <w14:ligatures w14:val="none"/>
              </w:rPr>
              <w:t xml:space="preserve"> обратно:</w:t>
            </w:r>
            <w:r w:rsidRPr="0047743B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544AA"/>
                <w:kern w:val="0"/>
                <w:position w:val="10"/>
                <w:sz w:val="18"/>
                <w:szCs w:val="18"/>
                <w:lang w:eastAsia="ru-RU"/>
                <w14:ligatures w14:val="none"/>
              </w:rPr>
              <w:t xml:space="preserve">1 2 3 </w:t>
            </w:r>
            <w:proofErr w:type="spellStart"/>
            <w:r w:rsidRPr="0047743B">
              <w:rPr>
                <w:rFonts w:ascii="TimesNewRomanPS" w:eastAsia="Times New Roman" w:hAnsi="TimesNewRomanPS" w:cs="Times New Roman"/>
                <w:i/>
                <w:iCs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>Маколкин</w:t>
            </w:r>
            <w:proofErr w:type="spellEnd"/>
            <w:r w:rsidRPr="0047743B">
              <w:rPr>
                <w:rFonts w:ascii="TimesNewRomanPS" w:eastAsia="Times New Roman" w:hAnsi="TimesNewRomanPS" w:cs="Times New Roman"/>
                <w:i/>
                <w:iCs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 xml:space="preserve">, В. И. </w:t>
            </w:r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 xml:space="preserve">Внутренние </w:t>
            </w:r>
            <w:proofErr w:type="gramStart"/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>болезни :</w:t>
            </w:r>
            <w:proofErr w:type="gramEnd"/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 xml:space="preserve"> учеб. для </w:t>
            </w:r>
          </w:p>
          <w:p w14:paraId="17655287" w14:textId="7873966D" w:rsidR="0047743B" w:rsidRPr="0047743B" w:rsidRDefault="0047743B" w:rsidP="004774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 xml:space="preserve">студ. мед. вузов / В. И. </w:t>
            </w:r>
            <w:proofErr w:type="spellStart"/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>Маколкин</w:t>
            </w:r>
            <w:proofErr w:type="spellEnd"/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 xml:space="preserve">, С. И. Овчаренко. — Изд. 5-е, </w:t>
            </w:r>
          </w:p>
        </w:tc>
      </w:tr>
      <w:tr w:rsidR="0047743B" w:rsidRPr="0047743B" w14:paraId="5CF73C7F" w14:textId="77777777" w:rsidTr="0047743B">
        <w:tc>
          <w:tcPr>
            <w:tcW w:w="0" w:type="auto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628F978" w14:textId="77777777" w:rsidR="0047743B" w:rsidRPr="0047743B" w:rsidRDefault="0047743B" w:rsidP="004774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>перераб</w:t>
            </w:r>
            <w:proofErr w:type="spellEnd"/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 xml:space="preserve">. и доп. — </w:t>
            </w:r>
            <w:proofErr w:type="gramStart"/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>М. :</w:t>
            </w:r>
            <w:proofErr w:type="gramEnd"/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 xml:space="preserve"> Медицина, 2005. — 591 с. — (Учебная литература для студентов медицинских вузов) </w:t>
            </w:r>
          </w:p>
        </w:tc>
      </w:tr>
      <w:tr w:rsidR="0047743B" w:rsidRPr="0047743B" w14:paraId="352084E9" w14:textId="77777777" w:rsidTr="0047743B"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3D8AE0E" w14:textId="77777777" w:rsidR="0047743B" w:rsidRPr="0047743B" w:rsidRDefault="0047743B" w:rsidP="004774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 xml:space="preserve">4. </w:t>
            </w:r>
            <w:r w:rsidRPr="0047743B">
              <w:rPr>
                <w:rFonts w:ascii="TimesNewRomanPS" w:eastAsia="Times New Roman" w:hAnsi="TimesNewRomanPS" w:cs="Times New Roman"/>
                <w:i/>
                <w:iCs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 xml:space="preserve">Кедров, А. А. </w:t>
            </w:r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>Болезни мышцы сердца. — Л., 1963.</w:t>
            </w:r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5. </w:t>
            </w:r>
            <w:proofErr w:type="spellStart"/>
            <w:r w:rsidRPr="0047743B">
              <w:rPr>
                <w:rFonts w:ascii="TimesNewRomanPS" w:eastAsia="Times New Roman" w:hAnsi="TimesNewRomanPS" w:cs="Times New Roman"/>
                <w:i/>
                <w:iCs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>Мухарлямов</w:t>
            </w:r>
            <w:proofErr w:type="spellEnd"/>
            <w:r w:rsidRPr="0047743B">
              <w:rPr>
                <w:rFonts w:ascii="TimesNewRomanPS" w:eastAsia="Times New Roman" w:hAnsi="TimesNewRomanPS" w:cs="Times New Roman"/>
                <w:i/>
                <w:iCs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 xml:space="preserve">, Н. М. </w:t>
            </w:r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 xml:space="preserve">Идиопатические поражения миокарда и их </w:t>
            </w:r>
          </w:p>
          <w:p w14:paraId="7A9A015C" w14:textId="77777777" w:rsidR="0047743B" w:rsidRPr="0047743B" w:rsidRDefault="0047743B" w:rsidP="004774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 xml:space="preserve">диагностика / Н. М. </w:t>
            </w:r>
            <w:proofErr w:type="spellStart"/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>Мухарлямов</w:t>
            </w:r>
            <w:proofErr w:type="spellEnd"/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 xml:space="preserve">, Г. Е. </w:t>
            </w:r>
            <w:proofErr w:type="spellStart"/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>Перчикова</w:t>
            </w:r>
            <w:proofErr w:type="spellEnd"/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 xml:space="preserve">, Л. Г. Ефимова. — </w:t>
            </w:r>
          </w:p>
          <w:p w14:paraId="0133220F" w14:textId="77777777" w:rsidR="0047743B" w:rsidRPr="0047743B" w:rsidRDefault="0047743B" w:rsidP="004774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>Терапевтическии</w:t>
            </w:r>
            <w:proofErr w:type="spellEnd"/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>̆ архив. — 1975. — Т. 47, No 10. — С. 44.</w:t>
            </w:r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6. </w:t>
            </w:r>
            <w:r w:rsidRPr="0047743B">
              <w:rPr>
                <w:rFonts w:ascii="TimesNewRomanPS" w:eastAsia="Times New Roman" w:hAnsi="TimesNewRomanPS" w:cs="Times New Roman"/>
                <w:i/>
                <w:iCs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 xml:space="preserve">Рапопорт, Я. Л. </w:t>
            </w:r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 xml:space="preserve">Кардиомиопатии // Клиническая медицина. — 1976. — </w:t>
            </w:r>
          </w:p>
          <w:p w14:paraId="21AE41D6" w14:textId="77777777" w:rsidR="0047743B" w:rsidRPr="0047743B" w:rsidRDefault="0047743B" w:rsidP="004774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7743B">
              <w:rPr>
                <w:rFonts w:ascii="TimesNewRomanPSMT" w:eastAsia="Times New Roman" w:hAnsi="TimesNewRomanPSMT" w:cs="Times New Roman"/>
                <w:color w:val="1E1E21"/>
                <w:kern w:val="0"/>
                <w:sz w:val="28"/>
                <w:szCs w:val="28"/>
                <w:lang w:eastAsia="ru-RU"/>
                <w14:ligatures w14:val="none"/>
              </w:rPr>
              <w:t xml:space="preserve">Т. 54, No 7. — С. 16. </w:t>
            </w:r>
          </w:p>
        </w:tc>
      </w:tr>
    </w:tbl>
    <w:p w14:paraId="5CFB3EBD" w14:textId="055ECC29" w:rsidR="0059177C" w:rsidRPr="0047743B" w:rsidRDefault="0047743B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7743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begin"/>
      </w:r>
      <w:r w:rsidRPr="0047743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 xml:space="preserve"> INCLUDEPICTURE "/Users/eranuimanukan/Library/Group Containers/UBF8T346G9.ms/WebArchiveCopyPasteTempFiles/com.microsoft.Word/page11image1915502016" \* MERGEFORMATINET </w:instrText>
      </w:r>
      <w:r w:rsidRPr="0047743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47743B">
        <w:rPr>
          <w:rFonts w:ascii="Times New Roman" w:eastAsia="Times New Roman" w:hAnsi="Times New Roman" w:cs="Times New Roman"/>
          <w:noProof/>
          <w:kern w:val="0"/>
          <w:lang w:eastAsia="ru-RU"/>
          <w14:ligatures w14:val="none"/>
        </w:rPr>
        <w:drawing>
          <wp:inline distT="0" distB="0" distL="0" distR="0" wp14:anchorId="5D83791E" wp14:editId="1766071E">
            <wp:extent cx="5744210" cy="406400"/>
            <wp:effectExtent l="0" t="0" r="0" b="0"/>
            <wp:docPr id="992913932" name="Рисунок 2" descr="page11image191550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1image191550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43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</w:p>
    <w:sectPr w:rsidR="0059177C" w:rsidRPr="0047743B" w:rsidSect="001117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B"/>
    <w:rsid w:val="001117F5"/>
    <w:rsid w:val="0047743B"/>
    <w:rsid w:val="0059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86B493"/>
  <w15:chartTrackingRefBased/>
  <w15:docId w15:val="{E88169BE-655B-4E4F-AB0B-42355D79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43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9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3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2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3050</Words>
  <Characters>17385</Characters>
  <Application>Microsoft Office Word</Application>
  <DocSecurity>0</DocSecurity>
  <Lines>144</Lines>
  <Paragraphs>40</Paragraphs>
  <ScaleCrop>false</ScaleCrop>
  <Company/>
  <LinksUpToDate>false</LinksUpToDate>
  <CharactersWithSpaces>20395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manukyan</dc:creator>
  <cp:keywords/>
  <dc:description/>
  <cp:lastModifiedBy>ashot manukyan</cp:lastModifiedBy>
  <cp:revision>1</cp:revision>
  <dcterms:created xsi:type="dcterms:W3CDTF">2023-05-11T15:59:00Z</dcterms:created>
  <dcterms:modified xsi:type="dcterms:W3CDTF">2023-05-11T16:03:00Z</dcterms:modified>
</cp:coreProperties>
</file>