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5" w:rsidRPr="00F426C5" w:rsidRDefault="00F426C5" w:rsidP="00F426C5">
      <w:pPr>
        <w:rPr>
          <w:rFonts w:ascii="Times New Roman" w:hAnsi="Times New Roman" w:cs="Times New Roman"/>
          <w:sz w:val="28"/>
          <w:szCs w:val="28"/>
        </w:rPr>
      </w:pPr>
      <w:r w:rsidRPr="00F426C5">
        <w:rPr>
          <w:rFonts w:ascii="Times New Roman" w:hAnsi="Times New Roman" w:cs="Times New Roman"/>
          <w:sz w:val="28"/>
          <w:szCs w:val="28"/>
        </w:rPr>
        <w:t>Тема № 2.</w:t>
      </w:r>
    </w:p>
    <w:p w:rsidR="00F426C5" w:rsidRPr="00F426C5" w:rsidRDefault="00F426C5" w:rsidP="00F426C5">
      <w:pPr>
        <w:rPr>
          <w:rFonts w:ascii="Times New Roman" w:hAnsi="Times New Roman" w:cs="Times New Roman"/>
          <w:sz w:val="28"/>
          <w:szCs w:val="28"/>
        </w:rPr>
      </w:pPr>
      <w:r w:rsidRPr="00F426C5">
        <w:rPr>
          <w:rFonts w:ascii="Times New Roman" w:hAnsi="Times New Roman" w:cs="Times New Roman"/>
          <w:sz w:val="28"/>
          <w:szCs w:val="28"/>
        </w:rPr>
        <w:t>Лекарственные средства. Анализ ассортимента. Хранение. Реализация.</w:t>
      </w:r>
    </w:p>
    <w:p w:rsidR="00F426C5" w:rsidRPr="00031EC7" w:rsidRDefault="00F426C5" w:rsidP="00F426C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1EC7">
        <w:rPr>
          <w:rFonts w:ascii="Times New Roman" w:eastAsia="Calibri" w:hAnsi="Times New Roman" w:cs="Times New Roman"/>
          <w:b/>
          <w:sz w:val="28"/>
          <w:szCs w:val="28"/>
        </w:rPr>
        <w:t xml:space="preserve">Анализ ассортимента лекарственных групп: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268"/>
        <w:gridCol w:w="2410"/>
        <w:gridCol w:w="1559"/>
      </w:tblGrid>
      <w:tr w:rsidR="00F426C5" w:rsidRPr="00031EC7" w:rsidTr="00504F12">
        <w:tc>
          <w:tcPr>
            <w:tcW w:w="3969" w:type="dxa"/>
          </w:tcPr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Фармако</w:t>
            </w:r>
            <w:proofErr w:type="spellEnd"/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Терапевтическая группа </w:t>
            </w:r>
          </w:p>
        </w:tc>
        <w:tc>
          <w:tcPr>
            <w:tcW w:w="2268" w:type="dxa"/>
          </w:tcPr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ТН</w:t>
            </w:r>
          </w:p>
        </w:tc>
        <w:tc>
          <w:tcPr>
            <w:tcW w:w="2410" w:type="dxa"/>
          </w:tcPr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МНН</w:t>
            </w:r>
          </w:p>
        </w:tc>
        <w:tc>
          <w:tcPr>
            <w:tcW w:w="1559" w:type="dxa"/>
          </w:tcPr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Код </w:t>
            </w:r>
          </w:p>
          <w:p w:rsidR="00F426C5" w:rsidRPr="00031EC7" w:rsidRDefault="00F426C5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АТХ</w:t>
            </w:r>
          </w:p>
        </w:tc>
      </w:tr>
      <w:tr w:rsidR="00F426C5" w:rsidRPr="00031EC7" w:rsidTr="00504F12">
        <w:tc>
          <w:tcPr>
            <w:tcW w:w="3969" w:type="dxa"/>
          </w:tcPr>
          <w:p w:rsidR="00F426C5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Адаптогенное</w:t>
            </w:r>
            <w:proofErr w:type="spell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F426C5" w:rsidRPr="00031EC7" w:rsidRDefault="004C2100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100">
              <w:rPr>
                <w:rFonts w:ascii="Times New Roman" w:eastAsia="Calibri" w:hAnsi="Times New Roman" w:cs="Times New Roman"/>
                <w:sz w:val="28"/>
                <w:szCs w:val="28"/>
              </w:rPr>
              <w:t>Велсон</w:t>
            </w:r>
            <w:proofErr w:type="spellEnd"/>
          </w:p>
        </w:tc>
        <w:tc>
          <w:tcPr>
            <w:tcW w:w="2410" w:type="dxa"/>
          </w:tcPr>
          <w:p w:rsidR="00F426C5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елатонин</w:t>
            </w:r>
          </w:p>
        </w:tc>
        <w:tc>
          <w:tcPr>
            <w:tcW w:w="1559" w:type="dxa"/>
          </w:tcPr>
          <w:p w:rsidR="00550AFD" w:rsidRPr="00031EC7" w:rsidRDefault="00550AFD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N05CH01 </w:t>
            </w:r>
          </w:p>
          <w:p w:rsidR="00F426C5" w:rsidRPr="00031EC7" w:rsidRDefault="00F426C5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6C5" w:rsidRPr="00031EC7" w:rsidTr="00504F12">
        <w:tc>
          <w:tcPr>
            <w:tcW w:w="3969" w:type="dxa"/>
          </w:tcPr>
          <w:p w:rsidR="00F426C5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Противодиарейное</w:t>
            </w:r>
            <w:proofErr w:type="spell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F426C5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Диасек</w:t>
            </w:r>
            <w:proofErr w:type="spellEnd"/>
          </w:p>
        </w:tc>
        <w:tc>
          <w:tcPr>
            <w:tcW w:w="2410" w:type="dxa"/>
          </w:tcPr>
          <w:p w:rsidR="00F426C5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50AFD"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ацекадотрил</w:t>
            </w:r>
            <w:proofErr w:type="spellEnd"/>
          </w:p>
        </w:tc>
        <w:tc>
          <w:tcPr>
            <w:tcW w:w="1559" w:type="dxa"/>
          </w:tcPr>
          <w:p w:rsidR="00550AFD" w:rsidRPr="00550AFD" w:rsidRDefault="00550AFD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A07XA04 </w:t>
            </w:r>
          </w:p>
          <w:p w:rsidR="00F426C5" w:rsidRPr="00031EC7" w:rsidRDefault="00550AFD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6C5" w:rsidRPr="00031EC7" w:rsidTr="00504F12">
        <w:tc>
          <w:tcPr>
            <w:tcW w:w="3969" w:type="dxa"/>
          </w:tcPr>
          <w:p w:rsidR="00F426C5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Антисептическое средство</w:t>
            </w:r>
          </w:p>
        </w:tc>
        <w:tc>
          <w:tcPr>
            <w:tcW w:w="2268" w:type="dxa"/>
          </w:tcPr>
          <w:p w:rsidR="00F426C5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2410" w:type="dxa"/>
          </w:tcPr>
          <w:p w:rsidR="00F426C5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риллиантовый зеленый</w:t>
            </w:r>
          </w:p>
        </w:tc>
        <w:tc>
          <w:tcPr>
            <w:tcW w:w="1559" w:type="dxa"/>
          </w:tcPr>
          <w:p w:rsidR="00550AFD" w:rsidRPr="00031EC7" w:rsidRDefault="00550AFD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D08AX </w:t>
            </w:r>
          </w:p>
          <w:p w:rsidR="00F426C5" w:rsidRPr="00031EC7" w:rsidRDefault="00F426C5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6C5" w:rsidRPr="00031EC7" w:rsidTr="00504F12">
        <w:trPr>
          <w:trHeight w:val="490"/>
        </w:trPr>
        <w:tc>
          <w:tcPr>
            <w:tcW w:w="3969" w:type="dxa"/>
          </w:tcPr>
          <w:p w:rsidR="00F426C5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Противоаллергическое средство – Н</w:t>
            </w:r>
            <w:proofErr w:type="gram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гистаминовых</w:t>
            </w:r>
            <w:proofErr w:type="spell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2268" w:type="dxa"/>
          </w:tcPr>
          <w:p w:rsidR="00F426C5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Зодак</w:t>
            </w:r>
            <w:proofErr w:type="spellEnd"/>
          </w:p>
        </w:tc>
        <w:tc>
          <w:tcPr>
            <w:tcW w:w="2410" w:type="dxa"/>
          </w:tcPr>
          <w:p w:rsidR="00F426C5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550AFD"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етиризин</w:t>
            </w:r>
            <w:proofErr w:type="spellEnd"/>
          </w:p>
        </w:tc>
        <w:tc>
          <w:tcPr>
            <w:tcW w:w="1559" w:type="dxa"/>
          </w:tcPr>
          <w:p w:rsidR="00F426C5" w:rsidRPr="00031EC7" w:rsidRDefault="00550AFD" w:rsidP="00550AF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R06AE07 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Антиаритмическое средство</w:t>
            </w:r>
          </w:p>
        </w:tc>
        <w:tc>
          <w:tcPr>
            <w:tcW w:w="2268" w:type="dxa"/>
          </w:tcPr>
          <w:p w:rsidR="00376498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Кордарон</w:t>
            </w:r>
            <w:proofErr w:type="spellEnd"/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миодарон</w:t>
            </w:r>
            <w:proofErr w:type="spellEnd"/>
          </w:p>
        </w:tc>
        <w:tc>
          <w:tcPr>
            <w:tcW w:w="1559" w:type="dxa"/>
          </w:tcPr>
          <w:p w:rsidR="002E1837" w:rsidRPr="00031EC7" w:rsidRDefault="00550AFD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C01BD01 </w:t>
            </w:r>
          </w:p>
          <w:p w:rsidR="00376498" w:rsidRPr="00031EC7" w:rsidRDefault="00376498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498" w:rsidRPr="00031EC7" w:rsidTr="00504F12">
        <w:tc>
          <w:tcPr>
            <w:tcW w:w="3969" w:type="dxa"/>
          </w:tcPr>
          <w:p w:rsidR="00376498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Противогрибковое средство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Гинофорт</w:t>
            </w:r>
            <w:proofErr w:type="spellEnd"/>
          </w:p>
        </w:tc>
        <w:tc>
          <w:tcPr>
            <w:tcW w:w="2410" w:type="dxa"/>
          </w:tcPr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утоконазол</w:t>
            </w:r>
            <w:proofErr w:type="spellEnd"/>
          </w:p>
        </w:tc>
        <w:tc>
          <w:tcPr>
            <w:tcW w:w="1559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G01AF15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Местноанестезирующее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376498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Новокаин</w:t>
            </w:r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рокаин</w:t>
            </w:r>
            <w:proofErr w:type="spellEnd"/>
          </w:p>
        </w:tc>
        <w:tc>
          <w:tcPr>
            <w:tcW w:w="1559" w:type="dxa"/>
          </w:tcPr>
          <w:p w:rsidR="002E1837" w:rsidRPr="00550AFD" w:rsidRDefault="00550AFD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AFD">
              <w:rPr>
                <w:rFonts w:ascii="Times New Roman" w:eastAsia="Calibri" w:hAnsi="Times New Roman" w:cs="Times New Roman"/>
                <w:sz w:val="28"/>
                <w:szCs w:val="28"/>
              </w:rPr>
              <w:t>N01BA02</w:t>
            </w:r>
          </w:p>
          <w:p w:rsidR="00376498" w:rsidRPr="00031EC7" w:rsidRDefault="00376498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498" w:rsidRPr="00031EC7" w:rsidTr="00504F12">
        <w:tc>
          <w:tcPr>
            <w:tcW w:w="3969" w:type="dxa"/>
          </w:tcPr>
          <w:p w:rsidR="00376498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Анксиолитическое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376498" w:rsidRPr="00031EC7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Афобазол</w:t>
            </w:r>
            <w:proofErr w:type="spellEnd"/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абомотизол</w:t>
            </w:r>
            <w:proofErr w:type="spellEnd"/>
          </w:p>
        </w:tc>
        <w:tc>
          <w:tcPr>
            <w:tcW w:w="1559" w:type="dxa"/>
          </w:tcPr>
          <w:p w:rsidR="002E1837" w:rsidRPr="002E183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N05BX04 </w:t>
            </w:r>
          </w:p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Противовирусное средство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Арбидол</w:t>
            </w:r>
            <w:proofErr w:type="spellEnd"/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мифеновир</w:t>
            </w:r>
            <w:proofErr w:type="spellEnd"/>
          </w:p>
        </w:tc>
        <w:tc>
          <w:tcPr>
            <w:tcW w:w="1559" w:type="dxa"/>
          </w:tcPr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J05AX13 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550AFD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Спазмолитическое средство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Мяты перечной настойка</w:t>
            </w:r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ята перечная</w:t>
            </w:r>
          </w:p>
        </w:tc>
        <w:tc>
          <w:tcPr>
            <w:tcW w:w="1559" w:type="dxa"/>
          </w:tcPr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A03AX 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Диуретическое средство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Канефрон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10" w:type="dxa"/>
          </w:tcPr>
          <w:p w:rsidR="002E1837" w:rsidRPr="002E183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любистока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2E1837" w:rsidRPr="002E183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розмарина листья </w:t>
            </w:r>
          </w:p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золототысячника трава</w:t>
            </w:r>
          </w:p>
        </w:tc>
        <w:tc>
          <w:tcPr>
            <w:tcW w:w="1559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V30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Ингибитор АПФ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Аккупро</w:t>
            </w:r>
            <w:proofErr w:type="spellEnd"/>
          </w:p>
        </w:tc>
        <w:tc>
          <w:tcPr>
            <w:tcW w:w="2410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инаприл</w:t>
            </w:r>
            <w:proofErr w:type="spellEnd"/>
          </w:p>
        </w:tc>
        <w:tc>
          <w:tcPr>
            <w:tcW w:w="1559" w:type="dxa"/>
          </w:tcPr>
          <w:p w:rsidR="00376498" w:rsidRPr="00031EC7" w:rsidRDefault="002E1837" w:rsidP="002E1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C09AA06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Энтеросорбирующее</w:t>
            </w:r>
            <w:proofErr w:type="spell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1837">
              <w:rPr>
                <w:rFonts w:ascii="Times New Roman" w:eastAsia="Calibri" w:hAnsi="Times New Roman" w:cs="Times New Roman"/>
                <w:sz w:val="28"/>
                <w:szCs w:val="28"/>
              </w:rPr>
              <w:t>Лактофильтрум</w:t>
            </w:r>
            <w:proofErr w:type="spellEnd"/>
          </w:p>
        </w:tc>
        <w:tc>
          <w:tcPr>
            <w:tcW w:w="2410" w:type="dxa"/>
          </w:tcPr>
          <w:p w:rsidR="00376498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498" w:rsidRPr="00031EC7" w:rsidRDefault="002E1837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A07BC 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НПВС</w:t>
            </w:r>
          </w:p>
        </w:tc>
        <w:tc>
          <w:tcPr>
            <w:tcW w:w="2268" w:type="dxa"/>
          </w:tcPr>
          <w:p w:rsidR="00376498" w:rsidRPr="00031EC7" w:rsidRDefault="006A3E4F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E4F">
              <w:rPr>
                <w:rFonts w:ascii="Times New Roman" w:eastAsia="Calibri" w:hAnsi="Times New Roman" w:cs="Times New Roman"/>
                <w:sz w:val="28"/>
                <w:szCs w:val="28"/>
              </w:rPr>
              <w:t>Аленталь</w:t>
            </w:r>
            <w:proofErr w:type="spellEnd"/>
          </w:p>
        </w:tc>
        <w:tc>
          <w:tcPr>
            <w:tcW w:w="2410" w:type="dxa"/>
          </w:tcPr>
          <w:p w:rsidR="006A3E4F" w:rsidRPr="006A3E4F" w:rsidRDefault="006A3E4F" w:rsidP="006A3E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3E4F">
              <w:rPr>
                <w:rFonts w:ascii="Times New Roman" w:eastAsia="Calibri" w:hAnsi="Times New Roman" w:cs="Times New Roman"/>
                <w:sz w:val="28"/>
                <w:szCs w:val="28"/>
              </w:rPr>
              <w:t>цеклофенак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6498" w:rsidRPr="00031EC7" w:rsidRDefault="00376498" w:rsidP="006A3E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498" w:rsidRPr="00031EC7" w:rsidRDefault="006A3E4F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M01AB16</w:t>
            </w:r>
          </w:p>
        </w:tc>
      </w:tr>
      <w:tr w:rsidR="00376498" w:rsidRPr="00031EC7" w:rsidTr="00504F12">
        <w:tc>
          <w:tcPr>
            <w:tcW w:w="3969" w:type="dxa"/>
          </w:tcPr>
          <w:p w:rsidR="00376498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Антацидное</w:t>
            </w:r>
            <w:proofErr w:type="spellEnd"/>
            <w:r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2268" w:type="dxa"/>
          </w:tcPr>
          <w:p w:rsidR="00376498" w:rsidRPr="00031EC7" w:rsidRDefault="00376498" w:rsidP="00504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Гевискон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Форте</w:t>
            </w:r>
          </w:p>
        </w:tc>
        <w:tc>
          <w:tcPr>
            <w:tcW w:w="2410" w:type="dxa"/>
          </w:tcPr>
          <w:p w:rsidR="00376498" w:rsidRPr="00031EC7" w:rsidRDefault="00550AFD" w:rsidP="004C210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C2100"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атрия </w:t>
            </w:r>
            <w:proofErr w:type="spellStart"/>
            <w:r w:rsidR="004C2100"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>алгинат</w:t>
            </w:r>
            <w:proofErr w:type="spellEnd"/>
            <w:r w:rsidR="004C210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4C2100" w:rsidRPr="00376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калия бикарбонат</w:t>
            </w:r>
          </w:p>
        </w:tc>
        <w:tc>
          <w:tcPr>
            <w:tcW w:w="1559" w:type="dxa"/>
          </w:tcPr>
          <w:p w:rsidR="00376498" w:rsidRPr="00031EC7" w:rsidRDefault="004C2100" w:rsidP="004C210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A02BX </w:t>
            </w:r>
          </w:p>
        </w:tc>
      </w:tr>
    </w:tbl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031EC7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31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маркировки лекарственных средств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 на упаковочной системе прописывается всегда в именительном падеже.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вторичной упаковке законодатель разрешает фиксировать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 условии ее соответствия утвержденной законодателем документации.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размещать на упаковке оригинальную голографическую информацию и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необходимы для того, чтобы выделить фарм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 на фоне других ЛС.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МНН препарата должно прописываться на двух языках — английском и русском.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совпадении данных производственного концерна и владельца регистрационного удостоверения прописываются данные последнего.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первичную упаковку наносятся данные о сроке действия ЛП. При указании месяца подразумевается всегда последнее число месяца, например, если препарат годен до 08.2018, это значит, что его можно использовать до конца августа.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надписи должны содержать следующие данные: «Стерильно», «Фарм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прошел радиационный контроль», «Хранить в недоступном для детей месте» и т.д.</w:t>
      </w:r>
    </w:p>
    <w:p w:rsidR="00F426C5" w:rsidRPr="00031EC7" w:rsidRDefault="00F426C5" w:rsidP="00F426C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нанесения маркировочных данных должна содействовать их полной сохранности в течение всего периода использования ЛП.</w:t>
      </w:r>
    </w:p>
    <w:p w:rsidR="00F426C5" w:rsidRPr="00031EC7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согласии с описанием основных положений законодателя к упаковке и маркировке лекарственных средств, необходимо использовать подходящий цвет идентификации с целью визуального различия продукции. Использование одной и той же цветовой гаммы для первичной и вторичной упаковки позволит дополнительно идентифицировать фарм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при перемещении и транспортировке. Следует отметить, что при маркировочных операциях не допускается нанесение выборочных сведений по своему усмотрению. Необходимо прописать все данные в согласии с основными положениями закона и дополнительными рекомендациями регулятора.</w:t>
      </w:r>
    </w:p>
    <w:p w:rsidR="00F426C5" w:rsidRPr="00F550C6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3. Провести анализ хранения лекарственных средств, в соответствии с требованиями нормативных документов.</w:t>
      </w:r>
    </w:p>
    <w:p w:rsidR="00F426C5" w:rsidRDefault="00F426C5" w:rsidP="00F4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Правила хр</w:t>
      </w:r>
      <w:r w:rsidRPr="008003F9">
        <w:rPr>
          <w:rFonts w:ascii="Times New Roman" w:eastAsia="Times New Roman" w:hAnsi="Times New Roman" w:cs="Times New Roman"/>
          <w:sz w:val="28"/>
          <w:szCs w:val="28"/>
        </w:rPr>
        <w:t xml:space="preserve">анения ЛС утверждены приказом </w:t>
      </w:r>
      <w:proofErr w:type="spellStart"/>
      <w:r w:rsidRPr="008003F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003F9">
        <w:rPr>
          <w:rFonts w:ascii="Times New Roman" w:eastAsia="Times New Roman" w:hAnsi="Times New Roman" w:cs="Times New Roman"/>
          <w:sz w:val="28"/>
          <w:szCs w:val="28"/>
        </w:rPr>
        <w:t xml:space="preserve"> России от 23.08.2010г. №706н «Об утверждении правил хранения ЛС», которые устанавливают требования к помещениям для хранения ЛС для медицинского применения,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</w:t>
      </w:r>
      <w:proofErr w:type="gramEnd"/>
      <w:r w:rsidRPr="008003F9">
        <w:rPr>
          <w:rFonts w:ascii="Times New Roman" w:eastAsia="Times New Roman" w:hAnsi="Times New Roman" w:cs="Times New Roman"/>
          <w:sz w:val="28"/>
          <w:szCs w:val="28"/>
        </w:rPr>
        <w:t xml:space="preserve"> на фармацевтическую деятельность или лицензию на медицинскую деятельность.</w:t>
      </w: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>Условия хранения готовых лекарственных средств определяются характером их свойств и входящих в состав соединений.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>Драже и таблетки хранят в сухом защищенном от света месте, если это рекомендовано производителем. При наличии хрупкой тары (ампулы) ЛС хранятся в отдельном шкафу. Все готовые препараты следует хранить в заводской упаковке.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 xml:space="preserve">Сиропы, настойки, микстуры и прочие жидкие формы нужно хранить в герметичной таре в защищенном от света месте с соблюдением температурного режима. Растворы для </w:t>
      </w:r>
      <w:proofErr w:type="spellStart"/>
      <w:r w:rsidRPr="00C03652">
        <w:rPr>
          <w:rFonts w:ascii="Times New Roman" w:eastAsia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C03652">
        <w:rPr>
          <w:rFonts w:ascii="Times New Roman" w:eastAsia="Times New Roman" w:hAnsi="Times New Roman" w:cs="Times New Roman"/>
          <w:sz w:val="28"/>
          <w:szCs w:val="28"/>
        </w:rPr>
        <w:t xml:space="preserve"> или плазмозамещающей терапии хранятся отдельно при комнатной температуре и отсутствии света. Допустимо замерзание некоторых растворов, если это не влияет на их качества.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>Мази, гели, линименты, суппозитории хранят при соблюдении температурного режима, указанного на упаковке в зависимости от наличия в них летучих и легкоплавких веществ.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lastRenderedPageBreak/>
        <w:t>Аэрозоли требуют бережного хранения без механических воздействий в защищенном от огня и высокой температуры месте.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 xml:space="preserve">Сильно пахучие и красящие вещества также требуют особых условий хранения. Как видно из названия данных групп лекарственных средств, одни из них обладают сильным запахом, а вторые окрашивают тару, оборудование и пр. несмываемым следом. К пахучим веществам можно отнести эфирные масла, а к красящим – зеленку, </w:t>
      </w:r>
      <w:proofErr w:type="gramStart"/>
      <w:r w:rsidRPr="00C03652">
        <w:rPr>
          <w:rFonts w:ascii="Times New Roman" w:eastAsia="Times New Roman" w:hAnsi="Times New Roman" w:cs="Times New Roman"/>
          <w:sz w:val="28"/>
          <w:szCs w:val="28"/>
        </w:rPr>
        <w:t>метиленовый</w:t>
      </w:r>
      <w:proofErr w:type="gramEnd"/>
      <w:r w:rsidRPr="00C03652">
        <w:rPr>
          <w:rFonts w:ascii="Times New Roman" w:eastAsia="Times New Roman" w:hAnsi="Times New Roman" w:cs="Times New Roman"/>
          <w:sz w:val="28"/>
          <w:szCs w:val="28"/>
        </w:rPr>
        <w:t xml:space="preserve"> синий и т.д.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52">
        <w:rPr>
          <w:rFonts w:ascii="Times New Roman" w:eastAsia="Times New Roman" w:hAnsi="Times New Roman" w:cs="Times New Roman"/>
          <w:sz w:val="28"/>
          <w:szCs w:val="28"/>
        </w:rPr>
        <w:t>Сильно пахучие товары аптечного ассортимента нужно хранить в герметичной таре, которая не пропускает запахи. Красящие средства хранятся в плотно укупоренной таре в отдельном шкафу, чтобы исключить порчу других товаров.</w:t>
      </w:r>
    </w:p>
    <w:p w:rsidR="00F426C5" w:rsidRPr="00C0365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Pr="008F1C32" w:rsidRDefault="008F1C32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1C32">
        <w:rPr>
          <w:rFonts w:ascii="Times New Roman" w:eastAsia="Times New Roman" w:hAnsi="Times New Roman" w:cs="Times New Roman"/>
          <w:sz w:val="32"/>
          <w:szCs w:val="32"/>
        </w:rPr>
        <w:t xml:space="preserve">Оценка:  </w:t>
      </w:r>
      <w:r w:rsidRPr="008F1C32">
        <w:rPr>
          <w:rFonts w:ascii="Times New Roman" w:eastAsia="Times New Roman" w:hAnsi="Times New Roman" w:cs="Times New Roman"/>
          <w:color w:val="FF0000"/>
          <w:sz w:val="72"/>
          <w:szCs w:val="72"/>
        </w:rPr>
        <w:t>5</w:t>
      </w: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D80" w:rsidRDefault="00452D80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6C5" w:rsidSect="008D0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76"/>
    <w:multiLevelType w:val="multilevel"/>
    <w:tmpl w:val="52C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405FF"/>
    <w:multiLevelType w:val="hybridMultilevel"/>
    <w:tmpl w:val="5A3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9EC"/>
    <w:multiLevelType w:val="hybridMultilevel"/>
    <w:tmpl w:val="355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F4BFB"/>
    <w:multiLevelType w:val="hybridMultilevel"/>
    <w:tmpl w:val="2D1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5D0A"/>
    <w:multiLevelType w:val="multilevel"/>
    <w:tmpl w:val="163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46690"/>
    <w:multiLevelType w:val="hybridMultilevel"/>
    <w:tmpl w:val="FEC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0F43"/>
    <w:multiLevelType w:val="multilevel"/>
    <w:tmpl w:val="3D5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5A46E5"/>
    <w:multiLevelType w:val="multilevel"/>
    <w:tmpl w:val="F27632C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F336B4"/>
    <w:multiLevelType w:val="hybridMultilevel"/>
    <w:tmpl w:val="BA7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1089"/>
    <w:multiLevelType w:val="multilevel"/>
    <w:tmpl w:val="1F7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612A0"/>
    <w:multiLevelType w:val="hybridMultilevel"/>
    <w:tmpl w:val="4AFA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9F2"/>
    <w:multiLevelType w:val="hybridMultilevel"/>
    <w:tmpl w:val="2FB4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6108"/>
    <w:multiLevelType w:val="hybridMultilevel"/>
    <w:tmpl w:val="523C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809F5"/>
    <w:multiLevelType w:val="hybridMultilevel"/>
    <w:tmpl w:val="570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476F"/>
    <w:multiLevelType w:val="multilevel"/>
    <w:tmpl w:val="47B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0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0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7C091E"/>
    <w:multiLevelType w:val="hybridMultilevel"/>
    <w:tmpl w:val="509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40215"/>
    <w:multiLevelType w:val="multilevel"/>
    <w:tmpl w:val="39A27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D61222"/>
    <w:multiLevelType w:val="multilevel"/>
    <w:tmpl w:val="AE384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1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DF741C"/>
    <w:multiLevelType w:val="multilevel"/>
    <w:tmpl w:val="291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1A132A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23A4703"/>
    <w:multiLevelType w:val="hybridMultilevel"/>
    <w:tmpl w:val="1A5C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B07"/>
    <w:multiLevelType w:val="multilevel"/>
    <w:tmpl w:val="231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3C57B2"/>
    <w:multiLevelType w:val="multilevel"/>
    <w:tmpl w:val="184C8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3A6107"/>
    <w:multiLevelType w:val="hybridMultilevel"/>
    <w:tmpl w:val="41CC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9621C"/>
    <w:multiLevelType w:val="hybridMultilevel"/>
    <w:tmpl w:val="45E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D20CA"/>
    <w:multiLevelType w:val="multilevel"/>
    <w:tmpl w:val="258233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DA26130"/>
    <w:multiLevelType w:val="multilevel"/>
    <w:tmpl w:val="5D7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0822B4"/>
    <w:multiLevelType w:val="multilevel"/>
    <w:tmpl w:val="08E6D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24653D"/>
    <w:multiLevelType w:val="multilevel"/>
    <w:tmpl w:val="62E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455DCC"/>
    <w:multiLevelType w:val="multilevel"/>
    <w:tmpl w:val="383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</w:rPr>
    </w:lvl>
  </w:abstractNum>
  <w:abstractNum w:abstractNumId="29">
    <w:nsid w:val="68706CA0"/>
    <w:multiLevelType w:val="multilevel"/>
    <w:tmpl w:val="FD4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9193B8E"/>
    <w:multiLevelType w:val="multilevel"/>
    <w:tmpl w:val="DED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AA4576"/>
    <w:multiLevelType w:val="hybridMultilevel"/>
    <w:tmpl w:val="478C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12A42"/>
    <w:multiLevelType w:val="multilevel"/>
    <w:tmpl w:val="DF2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3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8B604C"/>
    <w:multiLevelType w:val="hybridMultilevel"/>
    <w:tmpl w:val="16D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65572"/>
    <w:multiLevelType w:val="hybridMultilevel"/>
    <w:tmpl w:val="5B9C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D0366"/>
    <w:multiLevelType w:val="multilevel"/>
    <w:tmpl w:val="3C948E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9"/>
  </w:num>
  <w:num w:numId="5">
    <w:abstractNumId w:val="34"/>
  </w:num>
  <w:num w:numId="6">
    <w:abstractNumId w:val="11"/>
  </w:num>
  <w:num w:numId="7">
    <w:abstractNumId w:val="31"/>
  </w:num>
  <w:num w:numId="8">
    <w:abstractNumId w:val="8"/>
  </w:num>
  <w:num w:numId="9">
    <w:abstractNumId w:val="13"/>
  </w:num>
  <w:num w:numId="10">
    <w:abstractNumId w:val="12"/>
  </w:num>
  <w:num w:numId="11">
    <w:abstractNumId w:val="19"/>
  </w:num>
  <w:num w:numId="12">
    <w:abstractNumId w:val="22"/>
  </w:num>
  <w:num w:numId="13">
    <w:abstractNumId w:val="1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2"/>
  </w:num>
  <w:num w:numId="17">
    <w:abstractNumId w:val="16"/>
  </w:num>
  <w:num w:numId="18">
    <w:abstractNumId w:val="2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6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A"/>
    <w:rsid w:val="000C658A"/>
    <w:rsid w:val="00137B49"/>
    <w:rsid w:val="002D5297"/>
    <w:rsid w:val="002E1837"/>
    <w:rsid w:val="003504C1"/>
    <w:rsid w:val="00376498"/>
    <w:rsid w:val="003D11B7"/>
    <w:rsid w:val="004310D5"/>
    <w:rsid w:val="00452D80"/>
    <w:rsid w:val="00494183"/>
    <w:rsid w:val="004C2100"/>
    <w:rsid w:val="005259CA"/>
    <w:rsid w:val="00550AFD"/>
    <w:rsid w:val="006A3E4F"/>
    <w:rsid w:val="00721087"/>
    <w:rsid w:val="00753812"/>
    <w:rsid w:val="007B4571"/>
    <w:rsid w:val="008D06B3"/>
    <w:rsid w:val="008F1C32"/>
    <w:rsid w:val="009C4AE7"/>
    <w:rsid w:val="00A11EE5"/>
    <w:rsid w:val="00B56591"/>
    <w:rsid w:val="00BD77CA"/>
    <w:rsid w:val="00BE3422"/>
    <w:rsid w:val="00D276D5"/>
    <w:rsid w:val="00D40724"/>
    <w:rsid w:val="00D87840"/>
    <w:rsid w:val="00E332DD"/>
    <w:rsid w:val="00F17CB2"/>
    <w:rsid w:val="00F426C5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2"/>
  </w:style>
  <w:style w:type="paragraph" w:styleId="1">
    <w:name w:val="heading 1"/>
    <w:basedOn w:val="a"/>
    <w:next w:val="a"/>
    <w:link w:val="10"/>
    <w:uiPriority w:val="9"/>
    <w:qFormat/>
    <w:rsid w:val="00F4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F426C5"/>
    <w:pPr>
      <w:ind w:left="720"/>
      <w:contextualSpacing/>
    </w:pPr>
  </w:style>
  <w:style w:type="paragraph" w:customStyle="1" w:styleId="Default">
    <w:name w:val="Default"/>
    <w:rsid w:val="0045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qFormat/>
    <w:rsid w:val="007538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basedOn w:val="a0"/>
    <w:qFormat/>
    <w:rsid w:val="00753812"/>
    <w:rPr>
      <w:b/>
      <w:bCs/>
    </w:rPr>
  </w:style>
  <w:style w:type="character" w:styleId="a8">
    <w:name w:val="Emphasis"/>
    <w:basedOn w:val="a0"/>
    <w:qFormat/>
    <w:rsid w:val="00753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2"/>
  </w:style>
  <w:style w:type="paragraph" w:styleId="1">
    <w:name w:val="heading 1"/>
    <w:basedOn w:val="a"/>
    <w:next w:val="a"/>
    <w:link w:val="10"/>
    <w:uiPriority w:val="9"/>
    <w:qFormat/>
    <w:rsid w:val="00F4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F426C5"/>
    <w:pPr>
      <w:ind w:left="720"/>
      <w:contextualSpacing/>
    </w:pPr>
  </w:style>
  <w:style w:type="paragraph" w:customStyle="1" w:styleId="Default">
    <w:name w:val="Default"/>
    <w:rsid w:val="0045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qFormat/>
    <w:rsid w:val="007538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basedOn w:val="a0"/>
    <w:qFormat/>
    <w:rsid w:val="00753812"/>
    <w:rPr>
      <w:b/>
      <w:bCs/>
    </w:rPr>
  </w:style>
  <w:style w:type="character" w:styleId="a8">
    <w:name w:val="Emphasis"/>
    <w:basedOn w:val="a0"/>
    <w:qFormat/>
    <w:rsid w:val="00753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2020-06-02T04:37:00Z</dcterms:created>
  <dcterms:modified xsi:type="dcterms:W3CDTF">2020-06-02T04:38:00Z</dcterms:modified>
</cp:coreProperties>
</file>