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94" w:rsidRPr="000E536B" w:rsidRDefault="00033894" w:rsidP="0003389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</w:t>
      </w:r>
      <w:proofErr w:type="spellStart"/>
      <w:r w:rsidRPr="000E536B">
        <w:rPr>
          <w:rFonts w:ascii="Times New Roman" w:hAnsi="Times New Roman" w:cs="Times New Roman"/>
          <w:sz w:val="24"/>
          <w:szCs w:val="24"/>
          <w:shd w:val="clear" w:color="auto" w:fill="FFFFFF"/>
        </w:rPr>
        <w:t>КрасГМУ</w:t>
      </w:r>
      <w:proofErr w:type="spellEnd"/>
      <w:r w:rsidRPr="000E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 проф. В.Ф. </w:t>
      </w:r>
      <w:proofErr w:type="spellStart"/>
      <w:r w:rsidRPr="000E536B">
        <w:rPr>
          <w:rFonts w:ascii="Times New Roman" w:hAnsi="Times New Roman" w:cs="Times New Roman"/>
          <w:sz w:val="24"/>
          <w:szCs w:val="24"/>
          <w:shd w:val="clear" w:color="auto" w:fill="FFFFFF"/>
        </w:rPr>
        <w:t>Войно-Ясенецкого</w:t>
      </w:r>
      <w:proofErr w:type="spellEnd"/>
      <w:r w:rsidRPr="000E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Минздрава России</w:t>
      </w:r>
    </w:p>
    <w:p w:rsidR="00033894" w:rsidRPr="000E536B" w:rsidRDefault="00033894" w:rsidP="0003389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Кафедра внутренних болезней и иммунологии с курсом </w:t>
      </w:r>
      <w:proofErr w:type="gramStart"/>
      <w:r w:rsidRPr="000E536B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</w:p>
    <w:p w:rsidR="00033894" w:rsidRPr="000E536B" w:rsidRDefault="00033894" w:rsidP="0003389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894" w:rsidRPr="000E536B" w:rsidRDefault="00033894" w:rsidP="0003389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894" w:rsidRPr="000E536B" w:rsidRDefault="00033894" w:rsidP="0003389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894" w:rsidRPr="000E536B" w:rsidRDefault="00033894" w:rsidP="0003389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6B">
        <w:rPr>
          <w:rFonts w:ascii="Times New Roman" w:hAnsi="Times New Roman" w:cs="Times New Roman"/>
          <w:sz w:val="24"/>
          <w:szCs w:val="24"/>
          <w:shd w:val="clear" w:color="auto" w:fill="FFFFFF"/>
        </w:rPr>
        <w:t>Реферат</w:t>
      </w:r>
    </w:p>
    <w:p w:rsidR="00033894" w:rsidRPr="000E536B" w:rsidRDefault="00033894" w:rsidP="00033894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Парапротеинемические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гемобластозы</w:t>
      </w:r>
      <w:proofErr w:type="spellEnd"/>
    </w:p>
    <w:p w:rsidR="00033894" w:rsidRPr="000E536B" w:rsidRDefault="00033894" w:rsidP="00033894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33894" w:rsidRPr="000E536B" w:rsidRDefault="00033894" w:rsidP="00033894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33894" w:rsidRPr="000E536B" w:rsidRDefault="00033894" w:rsidP="00033894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33894" w:rsidRPr="000E536B" w:rsidRDefault="00033894" w:rsidP="00033894">
      <w:pPr>
        <w:spacing w:line="36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53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Выполнила: ординатор 1 года </w:t>
      </w:r>
    </w:p>
    <w:p w:rsidR="00033894" w:rsidRPr="000E536B" w:rsidRDefault="00033894" w:rsidP="00033894">
      <w:pPr>
        <w:spacing w:line="36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53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специальности терапия </w:t>
      </w:r>
    </w:p>
    <w:p w:rsidR="00033894" w:rsidRPr="000E536B" w:rsidRDefault="00033894" w:rsidP="00033894">
      <w:pPr>
        <w:spacing w:line="36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0E53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Торгунакова</w:t>
      </w:r>
      <w:proofErr w:type="spellEnd"/>
      <w:r w:rsidRPr="000E53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М.С.</w:t>
      </w:r>
    </w:p>
    <w:p w:rsidR="00033894" w:rsidRPr="000E536B" w:rsidRDefault="00033894" w:rsidP="00033894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33894" w:rsidRPr="000E536B" w:rsidRDefault="00033894" w:rsidP="00033894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33894" w:rsidRPr="000E536B" w:rsidRDefault="00033894" w:rsidP="00033894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33894" w:rsidRPr="000E536B" w:rsidRDefault="00033894" w:rsidP="00033894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33894" w:rsidRPr="000E536B" w:rsidRDefault="00033894" w:rsidP="00033894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33894" w:rsidRPr="000E536B" w:rsidRDefault="00033894" w:rsidP="00033894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33894" w:rsidRDefault="00033894" w:rsidP="00033894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33894" w:rsidRDefault="00033894" w:rsidP="00033894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33894" w:rsidRDefault="00033894" w:rsidP="00033894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33894" w:rsidRPr="0028387B" w:rsidRDefault="00033894" w:rsidP="0028387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33894" w:rsidRPr="0028387B" w:rsidRDefault="00033894" w:rsidP="0028387B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838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Красноярск, 2020г</w:t>
      </w:r>
    </w:p>
    <w:sdt>
      <w:sdtPr>
        <w:rPr>
          <w:rFonts w:ascii="Times New Roman" w:hAnsi="Times New Roman" w:cs="Times New Roman"/>
          <w:sz w:val="24"/>
          <w:szCs w:val="24"/>
        </w:rPr>
        <w:id w:val="2057196773"/>
        <w:docPartObj>
          <w:docPartGallery w:val="Table of Content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:rsidR="0028387B" w:rsidRPr="0028387B" w:rsidRDefault="0028387B" w:rsidP="0028387B">
          <w:pPr>
            <w:pStyle w:val="a8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8387B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28387B" w:rsidRPr="0028387B" w:rsidRDefault="0028387B" w:rsidP="0028387B">
          <w:pPr>
            <w:spacing w:line="360" w:lineRule="auto"/>
            <w:rPr>
              <w:rFonts w:ascii="Times New Roman" w:hAnsi="Times New Roman" w:cs="Times New Roman"/>
              <w:lang w:eastAsia="ru-RU"/>
            </w:rPr>
          </w:pPr>
        </w:p>
        <w:p w:rsidR="0028387B" w:rsidRPr="0028387B" w:rsidRDefault="0028387B" w:rsidP="0028387B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28387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8387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8387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0105066" w:history="1">
            <w:r w:rsidRPr="0028387B">
              <w:rPr>
                <w:rStyle w:val="a3"/>
                <w:rFonts w:ascii="Times New Roman" w:hAnsi="Times New Roman" w:cs="Times New Roman"/>
                <w:noProof/>
              </w:rPr>
              <w:t>Множественная миелома</w:t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instrText xml:space="preserve"> PAGEREF _Toc40105066 \h </w:instrText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387B" w:rsidRPr="0028387B" w:rsidRDefault="0028387B" w:rsidP="0028387B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105067" w:history="1">
            <w:r w:rsidRPr="0028387B">
              <w:rPr>
                <w:rStyle w:val="a3"/>
                <w:rFonts w:ascii="Times New Roman" w:hAnsi="Times New Roman" w:cs="Times New Roman"/>
                <w:noProof/>
              </w:rPr>
              <w:t>Макроглобулинемия Вальденстрема</w:t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instrText xml:space="preserve"> PAGEREF _Toc40105067 \h </w:instrText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387B" w:rsidRPr="0028387B" w:rsidRDefault="0028387B" w:rsidP="0028387B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105068" w:history="1">
            <w:r w:rsidRPr="0028387B">
              <w:rPr>
                <w:rStyle w:val="a3"/>
                <w:rFonts w:ascii="Times New Roman" w:hAnsi="Times New Roman" w:cs="Times New Roman"/>
                <w:noProof/>
              </w:rPr>
              <w:t>Болезнь гамма-тяжелых цепей</w:t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instrText xml:space="preserve"> PAGEREF _Toc40105068 \h </w:instrText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387B" w:rsidRPr="0028387B" w:rsidRDefault="0028387B" w:rsidP="0028387B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0105069" w:history="1">
            <w:r w:rsidRPr="0028387B">
              <w:rPr>
                <w:rStyle w:val="a3"/>
                <w:rFonts w:ascii="Times New Roman" w:hAnsi="Times New Roman" w:cs="Times New Roman"/>
                <w:noProof/>
              </w:rPr>
              <w:t>Список литературы</w:t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instrText xml:space="preserve"> PAGEREF _Toc40105069 \h </w:instrText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28387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387B" w:rsidRPr="0028387B" w:rsidRDefault="0028387B" w:rsidP="0028387B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8387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28387B" w:rsidRDefault="0028387B" w:rsidP="00033894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28387B" w:rsidRDefault="0028387B" w:rsidP="00033894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28387B" w:rsidRDefault="0028387B" w:rsidP="00033894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28387B" w:rsidRDefault="0028387B" w:rsidP="00033894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28387B" w:rsidRDefault="0028387B" w:rsidP="00033894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28387B" w:rsidRDefault="0028387B" w:rsidP="00033894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28387B" w:rsidRDefault="0028387B" w:rsidP="00033894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28387B" w:rsidRDefault="0028387B" w:rsidP="00033894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28387B" w:rsidRDefault="0028387B" w:rsidP="00033894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28387B" w:rsidRDefault="0028387B" w:rsidP="00033894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28387B" w:rsidRDefault="0028387B" w:rsidP="00033894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28387B" w:rsidRDefault="0028387B" w:rsidP="00033894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28387B" w:rsidRDefault="0028387B" w:rsidP="00033894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28387B" w:rsidRDefault="0028387B" w:rsidP="00033894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28387B" w:rsidRDefault="0028387B" w:rsidP="00033894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28387B" w:rsidRDefault="0028387B" w:rsidP="00033894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28387B" w:rsidRDefault="0028387B" w:rsidP="00033894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28387B" w:rsidRDefault="0028387B" w:rsidP="00033894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033894" w:rsidRDefault="00033894" w:rsidP="0003389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894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lastRenderedPageBreak/>
        <w:t>Парапротеинемические лейкозы</w:t>
      </w:r>
      <w:r w:rsidRPr="000338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— группа заболеваний, относящихся к </w:t>
      </w:r>
      <w:r w:rsidRPr="00033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хроническим </w:t>
      </w:r>
      <w:proofErr w:type="spellStart"/>
      <w:r w:rsidRPr="00033894">
        <w:rPr>
          <w:rFonts w:ascii="Times New Roman" w:hAnsi="Times New Roman" w:cs="Times New Roman"/>
          <w:sz w:val="24"/>
          <w:szCs w:val="24"/>
          <w:shd w:val="clear" w:color="auto" w:fill="FFFFFF"/>
        </w:rPr>
        <w:t>лимфоцитарным</w:t>
      </w:r>
      <w:proofErr w:type="spellEnd"/>
      <w:r w:rsidRPr="00033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лейкозам</w:t>
      </w:r>
      <w:r w:rsidRPr="000338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В эту группу входят три заболевания – </w:t>
      </w:r>
      <w:proofErr w:type="spellStart"/>
      <w:r w:rsidRPr="00033894">
        <w:rPr>
          <w:rFonts w:ascii="Times New Roman" w:hAnsi="Times New Roman" w:cs="Times New Roman"/>
          <w:sz w:val="24"/>
          <w:szCs w:val="24"/>
          <w:shd w:val="clear" w:color="auto" w:fill="FFFFFF"/>
        </w:rPr>
        <w:t>миеломная</w:t>
      </w:r>
      <w:proofErr w:type="spellEnd"/>
      <w:r w:rsidRPr="00033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болезнь</w:t>
      </w:r>
      <w:r w:rsidRPr="000338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первичная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макроглобулинемия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Вальденстрема</w:t>
      </w:r>
      <w:proofErr w:type="spellEnd"/>
      <w:r w:rsidRPr="000338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0338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 </w:t>
      </w:r>
      <w:r w:rsidRPr="00033894">
        <w:rPr>
          <w:rFonts w:ascii="Times New Roman" w:hAnsi="Times New Roman" w:cs="Times New Roman"/>
          <w:sz w:val="24"/>
          <w:szCs w:val="24"/>
          <w:shd w:val="clear" w:color="auto" w:fill="FFFFFF"/>
        </w:rPr>
        <w:t>болезнь тяжелых цепей </w:t>
      </w:r>
    </w:p>
    <w:p w:rsidR="00033894" w:rsidRPr="0028387B" w:rsidRDefault="00033894" w:rsidP="00033894">
      <w:pPr>
        <w:pStyle w:val="1"/>
        <w:rPr>
          <w:sz w:val="24"/>
        </w:rPr>
      </w:pPr>
      <w:bookmarkStart w:id="0" w:name="_Toc40105066"/>
      <w:r w:rsidRPr="0028387B">
        <w:rPr>
          <w:sz w:val="24"/>
        </w:rPr>
        <w:t>Множественная миелома</w:t>
      </w:r>
      <w:bookmarkEnd w:id="0"/>
      <w:r w:rsidRPr="0028387B">
        <w:rPr>
          <w:sz w:val="24"/>
        </w:rPr>
        <w:t xml:space="preserve"> </w:t>
      </w:r>
    </w:p>
    <w:p w:rsidR="00033894" w:rsidRPr="0028387B" w:rsidRDefault="00033894" w:rsidP="00033894">
      <w:pPr>
        <w:rPr>
          <w:sz w:val="20"/>
        </w:rPr>
      </w:pPr>
    </w:p>
    <w:p w:rsidR="00033894" w:rsidRPr="00033894" w:rsidRDefault="00033894" w:rsidP="0003389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3894">
        <w:rPr>
          <w:rFonts w:ascii="Times New Roman" w:hAnsi="Times New Roman" w:cs="Times New Roman"/>
          <w:sz w:val="24"/>
        </w:rPr>
        <w:t xml:space="preserve">Множественная миелома – </w:t>
      </w:r>
      <w:proofErr w:type="gramStart"/>
      <w:r w:rsidRPr="00033894">
        <w:rPr>
          <w:rFonts w:ascii="Times New Roman" w:hAnsi="Times New Roman" w:cs="Times New Roman"/>
          <w:sz w:val="24"/>
        </w:rPr>
        <w:t>В-клеточная</w:t>
      </w:r>
      <w:proofErr w:type="gramEnd"/>
      <w:r w:rsidRPr="00033894">
        <w:rPr>
          <w:rFonts w:ascii="Times New Roman" w:hAnsi="Times New Roman" w:cs="Times New Roman"/>
          <w:sz w:val="24"/>
        </w:rPr>
        <w:t xml:space="preserve"> злокачественная опухоль, морфологическим субстратом которой являются плазматические клетки, продуцирующие </w:t>
      </w:r>
      <w:proofErr w:type="spellStart"/>
      <w:r w:rsidRPr="00033894">
        <w:rPr>
          <w:rFonts w:ascii="Times New Roman" w:hAnsi="Times New Roman" w:cs="Times New Roman"/>
          <w:sz w:val="24"/>
        </w:rPr>
        <w:t>моноклональный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иммуноглобулин. Согласно последней версии классификации Всемирной организации здравоохранения (ВОЗ) 2017 г. термин «множественная миелома» заменен на термин «плазмоклеточная миелома» – заболевание, характеризующееся мультифокальной пролиферацией неопластических плазматических клеток, ассоциированное с секрецией </w:t>
      </w:r>
      <w:proofErr w:type="spellStart"/>
      <w:r w:rsidRPr="00033894">
        <w:rPr>
          <w:rFonts w:ascii="Times New Roman" w:hAnsi="Times New Roman" w:cs="Times New Roman"/>
          <w:sz w:val="24"/>
        </w:rPr>
        <w:t>моноклонального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иммуноглобулина.</w:t>
      </w:r>
    </w:p>
    <w:p w:rsidR="00033894" w:rsidRDefault="00033894" w:rsidP="0003389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3894">
        <w:rPr>
          <w:rFonts w:ascii="Times New Roman" w:hAnsi="Times New Roman" w:cs="Times New Roman"/>
          <w:sz w:val="24"/>
        </w:rPr>
        <w:t xml:space="preserve">Этиология и патогенез </w:t>
      </w:r>
    </w:p>
    <w:p w:rsidR="00033894" w:rsidRPr="00033894" w:rsidRDefault="00033894" w:rsidP="0003389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033894">
        <w:rPr>
          <w:rFonts w:ascii="Times New Roman" w:hAnsi="Times New Roman" w:cs="Times New Roman"/>
          <w:sz w:val="24"/>
        </w:rPr>
        <w:t>Патогенетически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решающим фактом является длительная, хроническая антигенная стимуляция после вирусных инфекций или других хронических заболеваний, длительного воздействия токсических веществ и радиации [2–5]. В результате длительной серии генетических событий формируется </w:t>
      </w:r>
      <w:proofErr w:type="spellStart"/>
      <w:r w:rsidRPr="00033894">
        <w:rPr>
          <w:rFonts w:ascii="Times New Roman" w:hAnsi="Times New Roman" w:cs="Times New Roman"/>
          <w:sz w:val="24"/>
        </w:rPr>
        <w:t>патологическский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клон В-клеток, способных к дифференцировке до ПК, но продуцирующих нефункциональный иммуноглобулин. Биологические и клинические особенности </w:t>
      </w:r>
      <w:proofErr w:type="gramStart"/>
      <w:r w:rsidRPr="00033894">
        <w:rPr>
          <w:rFonts w:ascii="Times New Roman" w:hAnsi="Times New Roman" w:cs="Times New Roman"/>
          <w:sz w:val="24"/>
        </w:rPr>
        <w:t>ММ</w:t>
      </w:r>
      <w:proofErr w:type="gramEnd"/>
      <w:r w:rsidRPr="00033894">
        <w:rPr>
          <w:rFonts w:ascii="Times New Roman" w:hAnsi="Times New Roman" w:cs="Times New Roman"/>
          <w:sz w:val="24"/>
        </w:rPr>
        <w:t xml:space="preserve"> связаны с генетическими аберрациями, такими как перестройка локусов генов тяжелой цепи иммуноглобулина (IGH), а также хромосомные </w:t>
      </w:r>
      <w:proofErr w:type="spellStart"/>
      <w:r w:rsidRPr="00033894">
        <w:rPr>
          <w:rFonts w:ascii="Times New Roman" w:hAnsi="Times New Roman" w:cs="Times New Roman"/>
          <w:sz w:val="24"/>
        </w:rPr>
        <w:t>делеции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, мутации соматических генов и хромосомная </w:t>
      </w:r>
      <w:proofErr w:type="spellStart"/>
      <w:r w:rsidRPr="00033894">
        <w:rPr>
          <w:rFonts w:ascii="Times New Roman" w:hAnsi="Times New Roman" w:cs="Times New Roman"/>
          <w:sz w:val="24"/>
        </w:rPr>
        <w:t>гипердиплоидия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с участием нечетного числа хромосом. Наличие значительного количества различных генетических нарушений обусловливает высокую вариабельность течения </w:t>
      </w:r>
      <w:proofErr w:type="spellStart"/>
      <w:r w:rsidRPr="00033894">
        <w:rPr>
          <w:rFonts w:ascii="Times New Roman" w:hAnsi="Times New Roman" w:cs="Times New Roman"/>
          <w:sz w:val="24"/>
        </w:rPr>
        <w:t>болезни</w:t>
      </w:r>
      <w:proofErr w:type="spellEnd"/>
    </w:p>
    <w:p w:rsidR="00033894" w:rsidRPr="00033894" w:rsidRDefault="00033894" w:rsidP="00033894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33894">
        <w:rPr>
          <w:rFonts w:ascii="Times New Roman" w:hAnsi="Times New Roman" w:cs="Times New Roman"/>
        </w:rPr>
        <w:t xml:space="preserve">Классификация заболевания </w:t>
      </w:r>
    </w:p>
    <w:p w:rsidR="00033894" w:rsidRPr="00033894" w:rsidRDefault="00033894" w:rsidP="00033894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33894">
        <w:rPr>
          <w:rFonts w:ascii="Times New Roman" w:hAnsi="Times New Roman" w:cs="Times New Roman"/>
        </w:rPr>
        <w:t xml:space="preserve">Среди плазмоклеточных опухолей в настоящее время выделяют: </w:t>
      </w:r>
    </w:p>
    <w:p w:rsidR="00033894" w:rsidRPr="00033894" w:rsidRDefault="00033894" w:rsidP="00033894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33894">
        <w:rPr>
          <w:rFonts w:ascii="Times New Roman" w:hAnsi="Times New Roman" w:cs="Times New Roman"/>
        </w:rPr>
        <w:t xml:space="preserve">• </w:t>
      </w:r>
      <w:proofErr w:type="spellStart"/>
      <w:r w:rsidRPr="00033894">
        <w:rPr>
          <w:rFonts w:ascii="Times New Roman" w:hAnsi="Times New Roman" w:cs="Times New Roman"/>
        </w:rPr>
        <w:t>моноклональную</w:t>
      </w:r>
      <w:proofErr w:type="spellEnd"/>
      <w:r w:rsidRPr="00033894">
        <w:rPr>
          <w:rFonts w:ascii="Times New Roman" w:hAnsi="Times New Roman" w:cs="Times New Roman"/>
        </w:rPr>
        <w:t xml:space="preserve"> </w:t>
      </w:r>
      <w:proofErr w:type="spellStart"/>
      <w:r w:rsidRPr="00033894">
        <w:rPr>
          <w:rFonts w:ascii="Times New Roman" w:hAnsi="Times New Roman" w:cs="Times New Roman"/>
        </w:rPr>
        <w:t>гаммапатию</w:t>
      </w:r>
      <w:proofErr w:type="spellEnd"/>
      <w:r w:rsidRPr="00033894">
        <w:rPr>
          <w:rFonts w:ascii="Times New Roman" w:hAnsi="Times New Roman" w:cs="Times New Roman"/>
        </w:rPr>
        <w:t xml:space="preserve"> неясного генеза (не </w:t>
      </w:r>
      <w:proofErr w:type="spellStart"/>
      <w:r w:rsidRPr="00033894">
        <w:rPr>
          <w:rFonts w:ascii="Times New Roman" w:hAnsi="Times New Roman" w:cs="Times New Roman"/>
        </w:rPr>
        <w:t>Ig</w:t>
      </w:r>
      <w:proofErr w:type="spellEnd"/>
      <w:r w:rsidRPr="00033894">
        <w:rPr>
          <w:rFonts w:ascii="Times New Roman" w:hAnsi="Times New Roman" w:cs="Times New Roman"/>
        </w:rPr>
        <w:t xml:space="preserve">-M тип); </w:t>
      </w:r>
    </w:p>
    <w:p w:rsidR="00033894" w:rsidRPr="00033894" w:rsidRDefault="00033894" w:rsidP="00033894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33894">
        <w:rPr>
          <w:rFonts w:ascii="Times New Roman" w:hAnsi="Times New Roman" w:cs="Times New Roman"/>
        </w:rPr>
        <w:t xml:space="preserve">• </w:t>
      </w:r>
      <w:proofErr w:type="spellStart"/>
      <w:r w:rsidRPr="00033894">
        <w:rPr>
          <w:rFonts w:ascii="Times New Roman" w:hAnsi="Times New Roman" w:cs="Times New Roman"/>
        </w:rPr>
        <w:t>моноколональную</w:t>
      </w:r>
      <w:proofErr w:type="spellEnd"/>
      <w:r w:rsidRPr="00033894">
        <w:rPr>
          <w:rFonts w:ascii="Times New Roman" w:hAnsi="Times New Roman" w:cs="Times New Roman"/>
        </w:rPr>
        <w:t xml:space="preserve"> </w:t>
      </w:r>
      <w:proofErr w:type="spellStart"/>
      <w:r w:rsidRPr="00033894">
        <w:rPr>
          <w:rFonts w:ascii="Times New Roman" w:hAnsi="Times New Roman" w:cs="Times New Roman"/>
        </w:rPr>
        <w:t>гаммапатию</w:t>
      </w:r>
      <w:proofErr w:type="spellEnd"/>
      <w:r w:rsidRPr="00033894">
        <w:rPr>
          <w:rFonts w:ascii="Times New Roman" w:hAnsi="Times New Roman" w:cs="Times New Roman"/>
        </w:rPr>
        <w:t xml:space="preserve"> неясного генеза с вовлечением легких цепей; • плазмоклеточную (множественную) миелому; </w:t>
      </w:r>
    </w:p>
    <w:p w:rsidR="00033894" w:rsidRPr="00033894" w:rsidRDefault="00033894" w:rsidP="00033894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33894">
        <w:rPr>
          <w:rFonts w:ascii="Times New Roman" w:hAnsi="Times New Roman" w:cs="Times New Roman"/>
        </w:rPr>
        <w:t>• варианты плазмоклеточной миеломы: вялотекущую (</w:t>
      </w:r>
      <w:proofErr w:type="spellStart"/>
      <w:r w:rsidRPr="00033894">
        <w:rPr>
          <w:rFonts w:ascii="Times New Roman" w:hAnsi="Times New Roman" w:cs="Times New Roman"/>
        </w:rPr>
        <w:t>асимптоматическую</w:t>
      </w:r>
      <w:proofErr w:type="spellEnd"/>
      <w:r w:rsidRPr="00033894">
        <w:rPr>
          <w:rFonts w:ascii="Times New Roman" w:hAnsi="Times New Roman" w:cs="Times New Roman"/>
        </w:rPr>
        <w:t xml:space="preserve">) миелому, </w:t>
      </w:r>
      <w:proofErr w:type="spellStart"/>
      <w:r w:rsidRPr="00033894">
        <w:rPr>
          <w:rFonts w:ascii="Times New Roman" w:hAnsi="Times New Roman" w:cs="Times New Roman"/>
        </w:rPr>
        <w:t>несекретирующую</w:t>
      </w:r>
      <w:proofErr w:type="spellEnd"/>
      <w:r w:rsidRPr="00033894">
        <w:rPr>
          <w:rFonts w:ascii="Times New Roman" w:hAnsi="Times New Roman" w:cs="Times New Roman"/>
        </w:rPr>
        <w:t xml:space="preserve"> миелому и плазмоклеточный лейкоз; </w:t>
      </w:r>
    </w:p>
    <w:p w:rsidR="00033894" w:rsidRPr="00033894" w:rsidRDefault="00033894" w:rsidP="00033894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33894">
        <w:rPr>
          <w:rFonts w:ascii="Times New Roman" w:hAnsi="Times New Roman" w:cs="Times New Roman"/>
        </w:rPr>
        <w:t xml:space="preserve">• </w:t>
      </w:r>
      <w:proofErr w:type="spellStart"/>
      <w:r w:rsidRPr="00033894">
        <w:rPr>
          <w:rFonts w:ascii="Times New Roman" w:hAnsi="Times New Roman" w:cs="Times New Roman"/>
        </w:rPr>
        <w:t>плазмоцитому</w:t>
      </w:r>
      <w:proofErr w:type="spellEnd"/>
      <w:r w:rsidRPr="00033894">
        <w:rPr>
          <w:rFonts w:ascii="Times New Roman" w:hAnsi="Times New Roman" w:cs="Times New Roman"/>
        </w:rPr>
        <w:t xml:space="preserve">. </w:t>
      </w:r>
    </w:p>
    <w:p w:rsidR="00033894" w:rsidRPr="00033894" w:rsidRDefault="00033894" w:rsidP="0003389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3894">
        <w:rPr>
          <w:rFonts w:ascii="Times New Roman" w:hAnsi="Times New Roman" w:cs="Times New Roman"/>
        </w:rPr>
        <w:lastRenderedPageBreak/>
        <w:t xml:space="preserve">Множественная миелома классифицируется по стадиям и по факторам риска. Распространенной системой </w:t>
      </w:r>
      <w:proofErr w:type="spellStart"/>
      <w:r w:rsidRPr="00033894">
        <w:rPr>
          <w:rFonts w:ascii="Times New Roman" w:hAnsi="Times New Roman" w:cs="Times New Roman"/>
        </w:rPr>
        <w:t>стадирования</w:t>
      </w:r>
      <w:proofErr w:type="spellEnd"/>
      <w:r w:rsidRPr="00033894">
        <w:rPr>
          <w:rFonts w:ascii="Times New Roman" w:hAnsi="Times New Roman" w:cs="Times New Roman"/>
        </w:rPr>
        <w:t xml:space="preserve"> является классификация B. </w:t>
      </w:r>
      <w:proofErr w:type="spellStart"/>
      <w:r w:rsidRPr="00033894">
        <w:rPr>
          <w:rFonts w:ascii="Times New Roman" w:hAnsi="Times New Roman" w:cs="Times New Roman"/>
        </w:rPr>
        <w:t>Durie</w:t>
      </w:r>
      <w:proofErr w:type="spellEnd"/>
      <w:r w:rsidRPr="00033894">
        <w:rPr>
          <w:rFonts w:ascii="Times New Roman" w:hAnsi="Times New Roman" w:cs="Times New Roman"/>
        </w:rPr>
        <w:t xml:space="preserve"> и S. </w:t>
      </w:r>
      <w:proofErr w:type="spellStart"/>
      <w:r w:rsidRPr="00033894">
        <w:rPr>
          <w:rFonts w:ascii="Times New Roman" w:hAnsi="Times New Roman" w:cs="Times New Roman"/>
        </w:rPr>
        <w:t>Salmon</w:t>
      </w:r>
      <w:proofErr w:type="spellEnd"/>
      <w:r w:rsidRPr="00033894">
        <w:rPr>
          <w:rFonts w:ascii="Times New Roman" w:hAnsi="Times New Roman" w:cs="Times New Roman"/>
        </w:rPr>
        <w:t xml:space="preserve">, предложенная в 1975 г., которая была заменена на международную систему </w:t>
      </w:r>
      <w:proofErr w:type="spellStart"/>
      <w:r w:rsidRPr="00033894">
        <w:rPr>
          <w:rFonts w:ascii="Times New Roman" w:hAnsi="Times New Roman" w:cs="Times New Roman"/>
        </w:rPr>
        <w:t>стадирования</w:t>
      </w:r>
      <w:proofErr w:type="spellEnd"/>
      <w:r w:rsidRPr="00033894">
        <w:rPr>
          <w:rFonts w:ascii="Times New Roman" w:hAnsi="Times New Roman" w:cs="Times New Roman"/>
        </w:rPr>
        <w:t xml:space="preserve"> (</w:t>
      </w:r>
      <w:proofErr w:type="spellStart"/>
      <w:r w:rsidRPr="00033894">
        <w:rPr>
          <w:rFonts w:ascii="Times New Roman" w:hAnsi="Times New Roman" w:cs="Times New Roman"/>
        </w:rPr>
        <w:t>Inte</w:t>
      </w:r>
      <w:r w:rsidRPr="00033894">
        <w:rPr>
          <w:rFonts w:ascii="Times New Roman" w:hAnsi="Times New Roman" w:cs="Times New Roman"/>
        </w:rPr>
        <w:t>rnational</w:t>
      </w:r>
      <w:proofErr w:type="spellEnd"/>
      <w:r w:rsidRPr="00033894">
        <w:rPr>
          <w:rFonts w:ascii="Times New Roman" w:hAnsi="Times New Roman" w:cs="Times New Roman"/>
        </w:rPr>
        <w:t xml:space="preserve"> </w:t>
      </w:r>
      <w:proofErr w:type="spellStart"/>
      <w:r w:rsidRPr="00033894">
        <w:rPr>
          <w:rFonts w:ascii="Times New Roman" w:hAnsi="Times New Roman" w:cs="Times New Roman"/>
        </w:rPr>
        <w:t>Staging</w:t>
      </w:r>
      <w:proofErr w:type="spellEnd"/>
      <w:r w:rsidRPr="00033894">
        <w:rPr>
          <w:rFonts w:ascii="Times New Roman" w:hAnsi="Times New Roman" w:cs="Times New Roman"/>
        </w:rPr>
        <w:t xml:space="preserve"> </w:t>
      </w:r>
      <w:proofErr w:type="spellStart"/>
      <w:r w:rsidRPr="00033894">
        <w:rPr>
          <w:rFonts w:ascii="Times New Roman" w:hAnsi="Times New Roman" w:cs="Times New Roman"/>
        </w:rPr>
        <w:t>System</w:t>
      </w:r>
      <w:proofErr w:type="spellEnd"/>
      <w:r w:rsidRPr="00033894">
        <w:rPr>
          <w:rFonts w:ascii="Times New Roman" w:hAnsi="Times New Roman" w:cs="Times New Roman"/>
        </w:rPr>
        <w:t xml:space="preserve"> – ISS)</w:t>
      </w:r>
      <w:r w:rsidRPr="00033894">
        <w:rPr>
          <w:rFonts w:ascii="Times New Roman" w:hAnsi="Times New Roman" w:cs="Times New Roman"/>
        </w:rPr>
        <w:t>, пересмотренную в 2014 г.</w:t>
      </w:r>
    </w:p>
    <w:p w:rsidR="00033894" w:rsidRDefault="00033894" w:rsidP="00033894">
      <w:pPr>
        <w:spacing w:line="360" w:lineRule="auto"/>
        <w:ind w:firstLine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C0B8AC7" wp14:editId="754CC57D">
            <wp:extent cx="5000625" cy="30379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923" t="23375" r="26122" b="25884"/>
                    <a:stretch/>
                  </pic:blipFill>
                  <pic:spPr bwMode="auto">
                    <a:xfrm>
                      <a:off x="0" y="0"/>
                      <a:ext cx="4997953" cy="3036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894" w:rsidRDefault="00033894" w:rsidP="00033894">
      <w:pPr>
        <w:spacing w:line="360" w:lineRule="auto"/>
        <w:ind w:firstLine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30088D8" wp14:editId="7FD55402">
            <wp:extent cx="4733925" cy="361062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404" t="21095" r="25321" b="14767"/>
                    <a:stretch/>
                  </pic:blipFill>
                  <pic:spPr bwMode="auto">
                    <a:xfrm>
                      <a:off x="0" y="0"/>
                      <a:ext cx="4731396" cy="3608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894" w:rsidRPr="00033894" w:rsidRDefault="00033894" w:rsidP="00033894">
      <w:pPr>
        <w:rPr>
          <w:rStyle w:val="a6"/>
          <w:rFonts w:ascii="Times New Roman" w:hAnsi="Times New Roman" w:cs="Times New Roman"/>
          <w:i w:val="0"/>
        </w:rPr>
      </w:pPr>
      <w:r w:rsidRPr="00033894">
        <w:rPr>
          <w:rStyle w:val="a6"/>
          <w:rFonts w:ascii="Times New Roman" w:hAnsi="Times New Roman" w:cs="Times New Roman"/>
          <w:i w:val="0"/>
        </w:rPr>
        <w:t xml:space="preserve">Клиническая картина </w:t>
      </w:r>
    </w:p>
    <w:p w:rsidR="00033894" w:rsidRPr="00033894" w:rsidRDefault="00033894" w:rsidP="00033894"/>
    <w:p w:rsidR="00033894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33894">
        <w:rPr>
          <w:rFonts w:ascii="Times New Roman" w:hAnsi="Times New Roman" w:cs="Times New Roman"/>
        </w:rPr>
        <w:t xml:space="preserve">Клинические проявления </w:t>
      </w:r>
      <w:proofErr w:type="gramStart"/>
      <w:r w:rsidRPr="00033894">
        <w:rPr>
          <w:rFonts w:ascii="Times New Roman" w:hAnsi="Times New Roman" w:cs="Times New Roman"/>
        </w:rPr>
        <w:t>ММ</w:t>
      </w:r>
      <w:proofErr w:type="gramEnd"/>
      <w:r w:rsidRPr="00033894">
        <w:rPr>
          <w:rFonts w:ascii="Times New Roman" w:hAnsi="Times New Roman" w:cs="Times New Roman"/>
        </w:rPr>
        <w:t xml:space="preserve"> чрезвычайно разнообразны, но в значительной мере определяются инфильтрацией костного мозга ПК и органными повреждениями. </w:t>
      </w:r>
      <w:proofErr w:type="gramStart"/>
      <w:r w:rsidRPr="00033894">
        <w:rPr>
          <w:rFonts w:ascii="Times New Roman" w:hAnsi="Times New Roman" w:cs="Times New Roman"/>
        </w:rPr>
        <w:t xml:space="preserve">Клинические </w:t>
      </w:r>
      <w:r w:rsidRPr="00033894">
        <w:rPr>
          <w:rFonts w:ascii="Times New Roman" w:hAnsi="Times New Roman" w:cs="Times New Roman"/>
        </w:rPr>
        <w:lastRenderedPageBreak/>
        <w:t xml:space="preserve">признаки ММ проявляются симптомами, обусловленными костными повреждениями (боли в костях, переломы костей скелета, компрессия спинного мозга, 12 </w:t>
      </w:r>
      <w:proofErr w:type="spellStart"/>
      <w:r w:rsidRPr="00033894">
        <w:rPr>
          <w:rFonts w:ascii="Times New Roman" w:hAnsi="Times New Roman" w:cs="Times New Roman"/>
        </w:rPr>
        <w:t>радикулярные</w:t>
      </w:r>
      <w:proofErr w:type="spellEnd"/>
      <w:r w:rsidRPr="00033894">
        <w:rPr>
          <w:rFonts w:ascii="Times New Roman" w:hAnsi="Times New Roman" w:cs="Times New Roman"/>
        </w:rPr>
        <w:t xml:space="preserve"> боли), </w:t>
      </w:r>
      <w:proofErr w:type="spellStart"/>
      <w:r w:rsidRPr="00033894">
        <w:rPr>
          <w:rFonts w:ascii="Times New Roman" w:hAnsi="Times New Roman" w:cs="Times New Roman"/>
        </w:rPr>
        <w:t>гиперкальциемией</w:t>
      </w:r>
      <w:proofErr w:type="spellEnd"/>
      <w:r w:rsidRPr="00033894">
        <w:rPr>
          <w:rFonts w:ascii="Times New Roman" w:hAnsi="Times New Roman" w:cs="Times New Roman"/>
        </w:rPr>
        <w:t xml:space="preserve"> (полиурия, полидипсия, тошнота, рвота), почечной недостаточностью (тошнота, рвота, недомогание, слабость), амилоидозом (периферическая </w:t>
      </w:r>
      <w:proofErr w:type="spellStart"/>
      <w:r w:rsidRPr="00033894">
        <w:rPr>
          <w:rFonts w:ascii="Times New Roman" w:hAnsi="Times New Roman" w:cs="Times New Roman"/>
        </w:rPr>
        <w:t>нейропатия</w:t>
      </w:r>
      <w:proofErr w:type="spellEnd"/>
      <w:r w:rsidRPr="00033894">
        <w:rPr>
          <w:rFonts w:ascii="Times New Roman" w:hAnsi="Times New Roman" w:cs="Times New Roman"/>
        </w:rPr>
        <w:t xml:space="preserve">, отеки, </w:t>
      </w:r>
      <w:proofErr w:type="spellStart"/>
      <w:r w:rsidRPr="00033894">
        <w:rPr>
          <w:rFonts w:ascii="Times New Roman" w:hAnsi="Times New Roman" w:cs="Times New Roman"/>
        </w:rPr>
        <w:t>органомегалия</w:t>
      </w:r>
      <w:proofErr w:type="spellEnd"/>
      <w:r w:rsidRPr="00033894">
        <w:rPr>
          <w:rFonts w:ascii="Times New Roman" w:hAnsi="Times New Roman" w:cs="Times New Roman"/>
        </w:rPr>
        <w:t xml:space="preserve">), инфильтрацией </w:t>
      </w:r>
      <w:proofErr w:type="spellStart"/>
      <w:r w:rsidRPr="00033894">
        <w:rPr>
          <w:rFonts w:ascii="Times New Roman" w:hAnsi="Times New Roman" w:cs="Times New Roman"/>
        </w:rPr>
        <w:t>миеломными</w:t>
      </w:r>
      <w:proofErr w:type="spellEnd"/>
      <w:r w:rsidRPr="00033894">
        <w:rPr>
          <w:rFonts w:ascii="Times New Roman" w:hAnsi="Times New Roman" w:cs="Times New Roman"/>
        </w:rPr>
        <w:t xml:space="preserve"> клетками костного мозга (анемия, геморрагический синдром), снижением уровня нормальных иммуноглобулинов (частые инфекции, пневмонии), </w:t>
      </w:r>
      <w:proofErr w:type="spellStart"/>
      <w:r w:rsidRPr="00033894">
        <w:rPr>
          <w:rFonts w:ascii="Times New Roman" w:hAnsi="Times New Roman" w:cs="Times New Roman"/>
        </w:rPr>
        <w:t>криоглобулинемией</w:t>
      </w:r>
      <w:proofErr w:type="spellEnd"/>
      <w:r w:rsidRPr="00033894">
        <w:rPr>
          <w:rFonts w:ascii="Times New Roman" w:hAnsi="Times New Roman" w:cs="Times New Roman"/>
        </w:rPr>
        <w:t xml:space="preserve"> (синдром </w:t>
      </w:r>
      <w:proofErr w:type="spellStart"/>
      <w:r w:rsidRPr="00033894">
        <w:rPr>
          <w:rFonts w:ascii="Times New Roman" w:hAnsi="Times New Roman" w:cs="Times New Roman"/>
        </w:rPr>
        <w:t>Рейно</w:t>
      </w:r>
      <w:proofErr w:type="spellEnd"/>
      <w:r w:rsidRPr="00033894">
        <w:rPr>
          <w:rFonts w:ascii="Times New Roman" w:hAnsi="Times New Roman" w:cs="Times New Roman"/>
        </w:rPr>
        <w:t xml:space="preserve">, </w:t>
      </w:r>
      <w:proofErr w:type="spellStart"/>
      <w:r w:rsidRPr="00033894">
        <w:rPr>
          <w:rFonts w:ascii="Times New Roman" w:hAnsi="Times New Roman" w:cs="Times New Roman"/>
        </w:rPr>
        <w:t>акроцианоз</w:t>
      </w:r>
      <w:proofErr w:type="spellEnd"/>
      <w:r w:rsidRPr="00033894">
        <w:rPr>
          <w:rFonts w:ascii="Times New Roman" w:hAnsi="Times New Roman" w:cs="Times New Roman"/>
        </w:rPr>
        <w:t xml:space="preserve">), синдромом </w:t>
      </w:r>
      <w:proofErr w:type="spellStart"/>
      <w:r w:rsidRPr="00033894">
        <w:rPr>
          <w:rFonts w:ascii="Times New Roman" w:hAnsi="Times New Roman" w:cs="Times New Roman"/>
        </w:rPr>
        <w:t>гипервязкости</w:t>
      </w:r>
      <w:proofErr w:type="spellEnd"/>
      <w:r w:rsidRPr="00033894">
        <w:rPr>
          <w:rFonts w:ascii="Times New Roman" w:hAnsi="Times New Roman" w:cs="Times New Roman"/>
        </w:rPr>
        <w:t xml:space="preserve"> (одышка, транзиторные ишемические</w:t>
      </w:r>
      <w:proofErr w:type="gramEnd"/>
      <w:r w:rsidRPr="00033894">
        <w:rPr>
          <w:rFonts w:ascii="Times New Roman" w:hAnsi="Times New Roman" w:cs="Times New Roman"/>
        </w:rPr>
        <w:t xml:space="preserve"> атаки, тромбоз глубоких вен, кровоизлияния в сетчатку глаза, тромбоз центральной вены сетчатки или ее ветвей, носовые кровотечения) [10]. Длительность заболевания до появления первых клинических симптомов может составлять от нескольких месяцев до ≥2−3 лет</w:t>
      </w:r>
    </w:p>
    <w:p w:rsidR="00033894" w:rsidRPr="00033894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3894">
        <w:rPr>
          <w:rFonts w:ascii="Times New Roman" w:hAnsi="Times New Roman" w:cs="Times New Roman"/>
          <w:sz w:val="24"/>
        </w:rPr>
        <w:t xml:space="preserve">Критерии установления диагноза/состояния: </w:t>
      </w:r>
    </w:p>
    <w:p w:rsidR="00033894" w:rsidRPr="00033894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3894">
        <w:rPr>
          <w:rFonts w:ascii="Times New Roman" w:hAnsi="Times New Roman" w:cs="Times New Roman"/>
          <w:sz w:val="24"/>
        </w:rPr>
        <w:t>Тлеющая (</w:t>
      </w:r>
      <w:proofErr w:type="spellStart"/>
      <w:r w:rsidRPr="00033894">
        <w:rPr>
          <w:rFonts w:ascii="Times New Roman" w:hAnsi="Times New Roman" w:cs="Times New Roman"/>
          <w:sz w:val="24"/>
        </w:rPr>
        <w:t>асимптоматическая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) ММ должна удовлетворять двум критериям: </w:t>
      </w:r>
    </w:p>
    <w:p w:rsidR="00033894" w:rsidRPr="00033894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3894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033894">
        <w:rPr>
          <w:rFonts w:ascii="Times New Roman" w:hAnsi="Times New Roman" w:cs="Times New Roman"/>
          <w:sz w:val="24"/>
        </w:rPr>
        <w:t>Моноклональный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протеин в сыворотке крови ≥30 г/л и/или 500 мг в суточном анализе мочи и/или 10−59 % </w:t>
      </w:r>
      <w:proofErr w:type="spellStart"/>
      <w:r w:rsidRPr="00033894">
        <w:rPr>
          <w:rFonts w:ascii="Times New Roman" w:hAnsi="Times New Roman" w:cs="Times New Roman"/>
          <w:sz w:val="24"/>
        </w:rPr>
        <w:t>клональных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ПК в костном мозге.</w:t>
      </w:r>
    </w:p>
    <w:p w:rsidR="00033894" w:rsidRPr="00033894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3894">
        <w:rPr>
          <w:rFonts w:ascii="Times New Roman" w:hAnsi="Times New Roman" w:cs="Times New Roman"/>
          <w:sz w:val="24"/>
        </w:rPr>
        <w:t xml:space="preserve"> 2. Отсутствие органных повреждений (CRAB – см. симптоматическую </w:t>
      </w:r>
      <w:proofErr w:type="gramStart"/>
      <w:r w:rsidRPr="00033894">
        <w:rPr>
          <w:rFonts w:ascii="Times New Roman" w:hAnsi="Times New Roman" w:cs="Times New Roman"/>
          <w:sz w:val="24"/>
        </w:rPr>
        <w:t>ММ</w:t>
      </w:r>
      <w:proofErr w:type="gramEnd"/>
      <w:r w:rsidRPr="00033894">
        <w:rPr>
          <w:rFonts w:ascii="Times New Roman" w:hAnsi="Times New Roman" w:cs="Times New Roman"/>
          <w:sz w:val="24"/>
        </w:rPr>
        <w:t xml:space="preserve">), в том числе отсутствие признаков поражения костей (что подтверждено данными магнитно-резонансной томографии или </w:t>
      </w:r>
      <w:proofErr w:type="spellStart"/>
      <w:r w:rsidRPr="00033894">
        <w:rPr>
          <w:rFonts w:ascii="Times New Roman" w:hAnsi="Times New Roman" w:cs="Times New Roman"/>
          <w:sz w:val="24"/>
        </w:rPr>
        <w:t>позитронноэмиссионной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/компьютерной томографии (ПЭТ/КТ), или спиральной компьютерной томографии костей в </w:t>
      </w:r>
      <w:proofErr w:type="spellStart"/>
      <w:r w:rsidRPr="00033894">
        <w:rPr>
          <w:rFonts w:ascii="Times New Roman" w:hAnsi="Times New Roman" w:cs="Times New Roman"/>
          <w:sz w:val="24"/>
        </w:rPr>
        <w:t>низкодозовом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режиме) и отсутствие амилоидоза. </w:t>
      </w:r>
    </w:p>
    <w:p w:rsidR="00033894" w:rsidRPr="00033894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3894">
        <w:rPr>
          <w:rFonts w:ascii="Times New Roman" w:hAnsi="Times New Roman" w:cs="Times New Roman"/>
          <w:sz w:val="24"/>
        </w:rPr>
        <w:t xml:space="preserve">Симптоматическая </w:t>
      </w:r>
      <w:proofErr w:type="gramStart"/>
      <w:r w:rsidRPr="00033894">
        <w:rPr>
          <w:rFonts w:ascii="Times New Roman" w:hAnsi="Times New Roman" w:cs="Times New Roman"/>
          <w:sz w:val="24"/>
        </w:rPr>
        <w:t>ММ</w:t>
      </w:r>
      <w:proofErr w:type="gramEnd"/>
      <w:r w:rsidRPr="00033894">
        <w:rPr>
          <w:rFonts w:ascii="Times New Roman" w:hAnsi="Times New Roman" w:cs="Times New Roman"/>
          <w:sz w:val="24"/>
        </w:rPr>
        <w:t xml:space="preserve"> должна удовлетворять трем критериям:</w:t>
      </w:r>
    </w:p>
    <w:p w:rsidR="00033894" w:rsidRPr="00033894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3894">
        <w:rPr>
          <w:rFonts w:ascii="Times New Roman" w:hAnsi="Times New Roman" w:cs="Times New Roman"/>
          <w:sz w:val="24"/>
        </w:rPr>
        <w:t xml:space="preserve"> 1. Присутствие в костном мозге ≥10 % </w:t>
      </w:r>
      <w:proofErr w:type="spellStart"/>
      <w:r w:rsidRPr="00033894">
        <w:rPr>
          <w:rFonts w:ascii="Times New Roman" w:hAnsi="Times New Roman" w:cs="Times New Roman"/>
          <w:sz w:val="24"/>
        </w:rPr>
        <w:t>клональных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ПК или наличие подтвержденной биопсией костной/экстрамедуллярной </w:t>
      </w:r>
      <w:proofErr w:type="spellStart"/>
      <w:r w:rsidRPr="00033894">
        <w:rPr>
          <w:rFonts w:ascii="Times New Roman" w:hAnsi="Times New Roman" w:cs="Times New Roman"/>
          <w:sz w:val="24"/>
        </w:rPr>
        <w:t>плазмоцитомы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и 1 или несколько обозначенных ниже симптомов, обусловленных ММ:</w:t>
      </w:r>
    </w:p>
    <w:p w:rsidR="00033894" w:rsidRPr="00033894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3894">
        <w:rPr>
          <w:rFonts w:ascii="Times New Roman" w:hAnsi="Times New Roman" w:cs="Times New Roman"/>
          <w:sz w:val="24"/>
        </w:rPr>
        <w:t xml:space="preserve"> а) </w:t>
      </w:r>
      <w:proofErr w:type="spellStart"/>
      <w:r w:rsidRPr="00033894">
        <w:rPr>
          <w:rFonts w:ascii="Times New Roman" w:hAnsi="Times New Roman" w:cs="Times New Roman"/>
          <w:sz w:val="24"/>
        </w:rPr>
        <w:t>гиперкальциемия</w:t>
      </w:r>
      <w:proofErr w:type="spellEnd"/>
      <w:r w:rsidRPr="00033894">
        <w:rPr>
          <w:rFonts w:ascii="Times New Roman" w:hAnsi="Times New Roman" w:cs="Times New Roman"/>
          <w:sz w:val="24"/>
        </w:rPr>
        <w:t>: уровень кальция в сыворотке крови &gt;11,5 мг/</w:t>
      </w:r>
      <w:proofErr w:type="spellStart"/>
      <w:r w:rsidRPr="00033894">
        <w:rPr>
          <w:rFonts w:ascii="Times New Roman" w:hAnsi="Times New Roman" w:cs="Times New Roman"/>
          <w:sz w:val="24"/>
        </w:rPr>
        <w:t>дл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(&gt;2,75 </w:t>
      </w:r>
      <w:proofErr w:type="spellStart"/>
      <w:r w:rsidRPr="00033894">
        <w:rPr>
          <w:rFonts w:ascii="Times New Roman" w:hAnsi="Times New Roman" w:cs="Times New Roman"/>
          <w:sz w:val="24"/>
        </w:rPr>
        <w:t>ммоль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/л); </w:t>
      </w:r>
    </w:p>
    <w:p w:rsidR="00033894" w:rsidRPr="00033894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3894">
        <w:rPr>
          <w:rFonts w:ascii="Times New Roman" w:hAnsi="Times New Roman" w:cs="Times New Roman"/>
          <w:sz w:val="24"/>
        </w:rPr>
        <w:t xml:space="preserve">б) дисфункция почек: уровень </w:t>
      </w:r>
      <w:proofErr w:type="spellStart"/>
      <w:r w:rsidRPr="00033894">
        <w:rPr>
          <w:rFonts w:ascii="Times New Roman" w:hAnsi="Times New Roman" w:cs="Times New Roman"/>
          <w:sz w:val="24"/>
        </w:rPr>
        <w:t>креатинина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в сыворотке крови &gt;2 мг/</w:t>
      </w:r>
      <w:proofErr w:type="spellStart"/>
      <w:r w:rsidRPr="00033894">
        <w:rPr>
          <w:rFonts w:ascii="Times New Roman" w:hAnsi="Times New Roman" w:cs="Times New Roman"/>
          <w:sz w:val="24"/>
        </w:rPr>
        <w:t>дл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(&gt;173 </w:t>
      </w:r>
      <w:proofErr w:type="spellStart"/>
      <w:r w:rsidRPr="00033894">
        <w:rPr>
          <w:rFonts w:ascii="Times New Roman" w:hAnsi="Times New Roman" w:cs="Times New Roman"/>
          <w:sz w:val="24"/>
        </w:rPr>
        <w:t>ммоль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/л), клиренс </w:t>
      </w:r>
      <w:proofErr w:type="spellStart"/>
      <w:r w:rsidRPr="00033894">
        <w:rPr>
          <w:rFonts w:ascii="Times New Roman" w:hAnsi="Times New Roman" w:cs="Times New Roman"/>
          <w:sz w:val="24"/>
        </w:rPr>
        <w:t>креатинина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&lt; 10 г/</w:t>
      </w:r>
      <w:proofErr w:type="spellStart"/>
      <w:r w:rsidRPr="00033894">
        <w:rPr>
          <w:rFonts w:ascii="Times New Roman" w:hAnsi="Times New Roman" w:cs="Times New Roman"/>
          <w:sz w:val="24"/>
        </w:rPr>
        <w:t>дл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(60 %;</w:t>
      </w:r>
    </w:p>
    <w:p w:rsidR="00033894" w:rsidRPr="00033894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3894">
        <w:rPr>
          <w:rFonts w:ascii="Times New Roman" w:hAnsi="Times New Roman" w:cs="Times New Roman"/>
          <w:sz w:val="24"/>
        </w:rPr>
        <w:t>в)</w:t>
      </w:r>
      <w:r w:rsidRPr="00033894">
        <w:rPr>
          <w:rFonts w:ascii="Times New Roman" w:hAnsi="Times New Roman" w:cs="Times New Roman"/>
          <w:sz w:val="24"/>
        </w:rPr>
        <w:t xml:space="preserve"> анемия: </w:t>
      </w:r>
      <w:proofErr w:type="spellStart"/>
      <w:r w:rsidRPr="00033894">
        <w:rPr>
          <w:rFonts w:ascii="Times New Roman" w:hAnsi="Times New Roman" w:cs="Times New Roman"/>
          <w:sz w:val="24"/>
        </w:rPr>
        <w:t>нормохромная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3894">
        <w:rPr>
          <w:rFonts w:ascii="Times New Roman" w:hAnsi="Times New Roman" w:cs="Times New Roman"/>
          <w:sz w:val="24"/>
        </w:rPr>
        <w:t>нормоцитарная</w:t>
      </w:r>
      <w:proofErr w:type="spellEnd"/>
      <w:r w:rsidRPr="00033894">
        <w:rPr>
          <w:rFonts w:ascii="Times New Roman" w:hAnsi="Times New Roman" w:cs="Times New Roman"/>
          <w:sz w:val="24"/>
        </w:rPr>
        <w:t>, уровень гемоглобина на 2 г/</w:t>
      </w:r>
      <w:proofErr w:type="spellStart"/>
      <w:r w:rsidRPr="00033894">
        <w:rPr>
          <w:rFonts w:ascii="Times New Roman" w:hAnsi="Times New Roman" w:cs="Times New Roman"/>
          <w:sz w:val="24"/>
        </w:rPr>
        <w:t>дл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(20 г/л) меньше нижней границы нормы или &lt; 10 г/</w:t>
      </w:r>
      <w:proofErr w:type="spellStart"/>
      <w:r w:rsidRPr="00033894">
        <w:rPr>
          <w:rFonts w:ascii="Times New Roman" w:hAnsi="Times New Roman" w:cs="Times New Roman"/>
          <w:sz w:val="24"/>
        </w:rPr>
        <w:t>дл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</w:t>
      </w:r>
    </w:p>
    <w:p w:rsidR="00033894" w:rsidRPr="00033894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3894">
        <w:rPr>
          <w:rFonts w:ascii="Times New Roman" w:hAnsi="Times New Roman" w:cs="Times New Roman"/>
          <w:sz w:val="24"/>
        </w:rPr>
        <w:lastRenderedPageBreak/>
        <w:t xml:space="preserve">г) 1 или более </w:t>
      </w:r>
      <w:proofErr w:type="spellStart"/>
      <w:r w:rsidRPr="00033894">
        <w:rPr>
          <w:rFonts w:ascii="Times New Roman" w:hAnsi="Times New Roman" w:cs="Times New Roman"/>
          <w:sz w:val="24"/>
        </w:rPr>
        <w:t>остеолитических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очагов, в том числе подтвержденных данными рентгенографии костей, спиральной компьютерной томографии или ПЭТ/КТ;</w:t>
      </w:r>
    </w:p>
    <w:p w:rsidR="00033894" w:rsidRPr="00033894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3894">
        <w:rPr>
          <w:rFonts w:ascii="Times New Roman" w:hAnsi="Times New Roman" w:cs="Times New Roman"/>
          <w:sz w:val="24"/>
        </w:rPr>
        <w:t xml:space="preserve">д) количество </w:t>
      </w:r>
      <w:proofErr w:type="spellStart"/>
      <w:r w:rsidRPr="00033894">
        <w:rPr>
          <w:rFonts w:ascii="Times New Roman" w:hAnsi="Times New Roman" w:cs="Times New Roman"/>
          <w:sz w:val="24"/>
        </w:rPr>
        <w:t>клональных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3894">
        <w:rPr>
          <w:rFonts w:ascii="Times New Roman" w:hAnsi="Times New Roman" w:cs="Times New Roman"/>
          <w:sz w:val="24"/>
        </w:rPr>
        <w:t>плазмоцитов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в костном мозге &gt;60 %;</w:t>
      </w:r>
    </w:p>
    <w:p w:rsidR="00033894" w:rsidRPr="00033894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3894">
        <w:rPr>
          <w:rFonts w:ascii="Times New Roman" w:hAnsi="Times New Roman" w:cs="Times New Roman"/>
          <w:sz w:val="24"/>
        </w:rPr>
        <w:t>е) ненормальное соотношение свободных легких цепей (СЛЦ): ≥100 или ≤0,01;</w:t>
      </w:r>
    </w:p>
    <w:p w:rsidR="00033894" w:rsidRPr="00033894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3894">
        <w:rPr>
          <w:rFonts w:ascii="Times New Roman" w:hAnsi="Times New Roman" w:cs="Times New Roman"/>
          <w:sz w:val="24"/>
        </w:rPr>
        <w:t xml:space="preserve"> ж) более 1 очага поражения костного мозга, выявленного при магнитно-резонансной томографии костей.</w:t>
      </w:r>
    </w:p>
    <w:p w:rsidR="00033894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33894">
        <w:rPr>
          <w:rFonts w:ascii="Times New Roman" w:hAnsi="Times New Roman" w:cs="Times New Roman"/>
          <w:sz w:val="24"/>
        </w:rPr>
        <w:t xml:space="preserve">2. Другие симптомы: </w:t>
      </w:r>
      <w:proofErr w:type="spellStart"/>
      <w:r w:rsidRPr="00033894">
        <w:rPr>
          <w:rFonts w:ascii="Times New Roman" w:hAnsi="Times New Roman" w:cs="Times New Roman"/>
          <w:sz w:val="24"/>
        </w:rPr>
        <w:t>гипервязкость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, амилоидоз, частые бактериальные инфекции (&gt;2 эпизодов в течение 12 </w:t>
      </w:r>
      <w:proofErr w:type="spellStart"/>
      <w:proofErr w:type="gramStart"/>
      <w:r w:rsidRPr="00033894">
        <w:rPr>
          <w:rFonts w:ascii="Times New Roman" w:hAnsi="Times New Roman" w:cs="Times New Roman"/>
          <w:sz w:val="24"/>
        </w:rPr>
        <w:t>мес</w:t>
      </w:r>
      <w:proofErr w:type="spellEnd"/>
      <w:proofErr w:type="gramEnd"/>
      <w:r w:rsidRPr="00033894">
        <w:rPr>
          <w:rFonts w:ascii="Times New Roman" w:hAnsi="Times New Roman" w:cs="Times New Roman"/>
          <w:sz w:val="24"/>
        </w:rPr>
        <w:t xml:space="preserve">). Для </w:t>
      </w:r>
      <w:proofErr w:type="spellStart"/>
      <w:r w:rsidRPr="00033894">
        <w:rPr>
          <w:rFonts w:ascii="Times New Roman" w:hAnsi="Times New Roman" w:cs="Times New Roman"/>
          <w:sz w:val="24"/>
        </w:rPr>
        <w:t>несекретирующей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миеломы характерно выявление в </w:t>
      </w:r>
      <w:proofErr w:type="spellStart"/>
      <w:r w:rsidRPr="00033894">
        <w:rPr>
          <w:rFonts w:ascii="Times New Roman" w:hAnsi="Times New Roman" w:cs="Times New Roman"/>
          <w:sz w:val="24"/>
        </w:rPr>
        <w:t>пунктате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костного мозга ≥10 % ПК, а также признаков CRAB-синдрома. </w:t>
      </w:r>
      <w:proofErr w:type="spellStart"/>
      <w:r w:rsidRPr="00033894">
        <w:rPr>
          <w:rFonts w:ascii="Times New Roman" w:hAnsi="Times New Roman" w:cs="Times New Roman"/>
          <w:sz w:val="24"/>
        </w:rPr>
        <w:t>Моноклонального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протеина нет ни в сыворотке крови, ни в моче, что подтверждают результаты </w:t>
      </w:r>
      <w:proofErr w:type="spellStart"/>
      <w:r w:rsidRPr="00033894">
        <w:rPr>
          <w:rFonts w:ascii="Times New Roman" w:hAnsi="Times New Roman" w:cs="Times New Roman"/>
          <w:sz w:val="24"/>
        </w:rPr>
        <w:t>иммунофиксации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. Увеличение СЛЦ отмечается у 2/3 пациентов с </w:t>
      </w:r>
      <w:proofErr w:type="spellStart"/>
      <w:r w:rsidRPr="00033894">
        <w:rPr>
          <w:rFonts w:ascii="Times New Roman" w:hAnsi="Times New Roman" w:cs="Times New Roman"/>
          <w:sz w:val="24"/>
        </w:rPr>
        <w:t>несекретирующей</w:t>
      </w:r>
      <w:proofErr w:type="spellEnd"/>
      <w:r w:rsidRPr="00033894">
        <w:rPr>
          <w:rFonts w:ascii="Times New Roman" w:hAnsi="Times New Roman" w:cs="Times New Roman"/>
          <w:sz w:val="24"/>
        </w:rPr>
        <w:t xml:space="preserve"> ММ</w:t>
      </w:r>
    </w:p>
    <w:p w:rsidR="00033894" w:rsidRPr="00CE37D2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7D2">
        <w:rPr>
          <w:rFonts w:ascii="Times New Roman" w:hAnsi="Times New Roman" w:cs="Times New Roman"/>
          <w:sz w:val="24"/>
          <w:szCs w:val="24"/>
        </w:rPr>
        <w:t xml:space="preserve">Лабораторная диагностика </w:t>
      </w:r>
    </w:p>
    <w:p w:rsidR="00CE37D2" w:rsidRPr="00CE37D2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7D2">
        <w:rPr>
          <w:rFonts w:ascii="Times New Roman" w:hAnsi="Times New Roman" w:cs="Times New Roman"/>
          <w:sz w:val="24"/>
          <w:szCs w:val="24"/>
        </w:rPr>
        <w:t xml:space="preserve">▪ развернутый клинический анализ крови с определением уровней гемоглобина, эритроцитов, тромбоцитов, лейкоцитов, подсчетом лейкоцитарной формулы и количества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[1, 15, 16]; ▪ общий (клинический) анализ мочи; </w:t>
      </w:r>
    </w:p>
    <w:p w:rsidR="00CE37D2" w:rsidRPr="00CE37D2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7D2">
        <w:rPr>
          <w:rFonts w:ascii="Times New Roman" w:hAnsi="Times New Roman" w:cs="Times New Roman"/>
          <w:sz w:val="24"/>
          <w:szCs w:val="24"/>
        </w:rPr>
        <w:t>▪ определение количества белка в суточной моче</w:t>
      </w:r>
    </w:p>
    <w:p w:rsidR="00CE37D2" w:rsidRPr="00CE37D2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7D2">
        <w:rPr>
          <w:rFonts w:ascii="Times New Roman" w:hAnsi="Times New Roman" w:cs="Times New Roman"/>
          <w:sz w:val="24"/>
          <w:szCs w:val="24"/>
        </w:rPr>
        <w:t xml:space="preserve"> ▪ биохимический анализ крови (общий белок, альбумин, ЛДГ, мочевина,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, билирубин,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аспартатаминотрансфераза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аланинаминотрансфераза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, щелочная фосфатаза, кальций, калий) </w:t>
      </w:r>
    </w:p>
    <w:p w:rsidR="00033894" w:rsidRPr="00CE37D2" w:rsidRDefault="00033894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7D2">
        <w:rPr>
          <w:rFonts w:ascii="Times New Roman" w:hAnsi="Times New Roman" w:cs="Times New Roman"/>
          <w:sz w:val="24"/>
          <w:szCs w:val="24"/>
        </w:rPr>
        <w:t xml:space="preserve">▪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коагулограмму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(ориентировочное исследование системы гемостаза) с включением следующих параметров: протромбин, международное нормализованное отношение, активированное частичное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тромбопластиновое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время, фибриноген,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тромбиновое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время, антитромбин III,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плазминоген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D2" w:rsidRPr="00CE37D2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7D2">
        <w:rPr>
          <w:rFonts w:ascii="Times New Roman" w:hAnsi="Times New Roman" w:cs="Times New Roman"/>
          <w:sz w:val="24"/>
          <w:szCs w:val="24"/>
        </w:rPr>
        <w:t>Х</w:t>
      </w:r>
      <w:r w:rsidRPr="00CE37D2">
        <w:rPr>
          <w:rFonts w:ascii="Times New Roman" w:hAnsi="Times New Roman" w:cs="Times New Roman"/>
          <w:sz w:val="24"/>
          <w:szCs w:val="24"/>
        </w:rPr>
        <w:t xml:space="preserve">арактерным для </w:t>
      </w:r>
      <w:proofErr w:type="gramStart"/>
      <w:r w:rsidRPr="00CE37D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E37D2">
        <w:rPr>
          <w:rFonts w:ascii="Times New Roman" w:hAnsi="Times New Roman" w:cs="Times New Roman"/>
          <w:sz w:val="24"/>
          <w:szCs w:val="24"/>
        </w:rPr>
        <w:t xml:space="preserve"> является увеличение содержания общего белка в сыворотке крови. При электрофорезе белков сыворотки крови М-градиент определяется у 80 % пациентов ММ в виде характерного пика, при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иммунофиксации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– у 93 %. Физические особенности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парапротеинов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лежат в основе синдрома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гипервязкости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, вероятность которого возрастает с увеличением содержания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парапротеинов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в плазме крови. Нередко у пациентов с </w:t>
      </w:r>
      <w:proofErr w:type="gramStart"/>
      <w:r w:rsidRPr="00CE37D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E37D2">
        <w:rPr>
          <w:rFonts w:ascii="Times New Roman" w:hAnsi="Times New Roman" w:cs="Times New Roman"/>
          <w:sz w:val="24"/>
          <w:szCs w:val="24"/>
        </w:rPr>
        <w:t xml:space="preserve"> выявляется экскреция патологического белка с мочой. Эти случаи </w:t>
      </w:r>
      <w:r w:rsidRPr="00CE37D2">
        <w:rPr>
          <w:rFonts w:ascii="Times New Roman" w:hAnsi="Times New Roman" w:cs="Times New Roman"/>
          <w:sz w:val="24"/>
          <w:szCs w:val="24"/>
        </w:rPr>
        <w:lastRenderedPageBreak/>
        <w:t xml:space="preserve">относят к миеломе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Бенс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-Джонса. Для скрининга мочевого протеина (необходим сбор мочи в течение 24 ч) также используют электрофорез и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иммунофиксацию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E37D2">
        <w:rPr>
          <w:rFonts w:ascii="Times New Roman" w:hAnsi="Times New Roman" w:cs="Times New Roman"/>
          <w:sz w:val="24"/>
          <w:szCs w:val="24"/>
        </w:rPr>
        <w:t xml:space="preserve">На основании уровня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парапротеинов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определяются стадия ММ (см. раздел 1.5.</w:t>
      </w:r>
      <w:proofErr w:type="gramEnd"/>
      <w:r w:rsidRPr="00CE37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7D2">
        <w:rPr>
          <w:rFonts w:ascii="Times New Roman" w:hAnsi="Times New Roman" w:cs="Times New Roman"/>
          <w:sz w:val="24"/>
          <w:szCs w:val="24"/>
        </w:rPr>
        <w:t xml:space="preserve">Классификация ММ), а также глубина ответа на </w:t>
      </w:r>
      <w:r>
        <w:rPr>
          <w:rFonts w:ascii="Times New Roman" w:hAnsi="Times New Roman" w:cs="Times New Roman"/>
          <w:sz w:val="24"/>
          <w:szCs w:val="24"/>
        </w:rPr>
        <w:t>ММ.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Иммунофиксацию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необходимо выполнять, даже если при электрофорезе крови характерный пик не выявлялся. Она проводится с целью уточнения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моноклональной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природы М-градиента, обнаруженного в ходе электрофореза белковых фракций, и его типирования (определения, какие типы тяжелых и легких цепей входят в его состав).</w:t>
      </w:r>
    </w:p>
    <w:p w:rsidR="00CE37D2" w:rsidRPr="00CE37D2" w:rsidRDefault="00CE37D2" w:rsidP="00CE37D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D2">
        <w:rPr>
          <w:rFonts w:ascii="Times New Roman" w:hAnsi="Times New Roman" w:cs="Times New Roman"/>
          <w:sz w:val="24"/>
          <w:szCs w:val="24"/>
        </w:rPr>
        <w:t xml:space="preserve">исследование уровня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поликлональных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иммуноглобулинов в крови для оценки степе</w:t>
      </w:r>
      <w:r w:rsidRPr="00CE37D2">
        <w:rPr>
          <w:rFonts w:ascii="Times New Roman" w:hAnsi="Times New Roman" w:cs="Times New Roman"/>
          <w:sz w:val="24"/>
          <w:szCs w:val="24"/>
        </w:rPr>
        <w:t>ни гуморального иммунодефицита.</w:t>
      </w:r>
    </w:p>
    <w:p w:rsidR="00CE37D2" w:rsidRPr="00CE37D2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7D2">
        <w:rPr>
          <w:rFonts w:ascii="Times New Roman" w:hAnsi="Times New Roman" w:cs="Times New Roman"/>
          <w:sz w:val="24"/>
          <w:szCs w:val="24"/>
        </w:rPr>
        <w:t>С</w:t>
      </w:r>
      <w:r w:rsidRPr="00CE37D2">
        <w:rPr>
          <w:rFonts w:ascii="Times New Roman" w:hAnsi="Times New Roman" w:cs="Times New Roman"/>
          <w:sz w:val="24"/>
          <w:szCs w:val="24"/>
        </w:rPr>
        <w:t xml:space="preserve">нижение уровня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поликлональных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иммуноглобулинов часто сопровождает </w:t>
      </w:r>
      <w:proofErr w:type="gramStart"/>
      <w:r w:rsidRPr="00CE37D2">
        <w:rPr>
          <w:rFonts w:ascii="Times New Roman" w:hAnsi="Times New Roman" w:cs="Times New Roman"/>
          <w:sz w:val="24"/>
          <w:szCs w:val="24"/>
        </w:rPr>
        <w:t>активную</w:t>
      </w:r>
      <w:proofErr w:type="gramEnd"/>
      <w:r w:rsidRPr="00CE37D2">
        <w:rPr>
          <w:rFonts w:ascii="Times New Roman" w:hAnsi="Times New Roman" w:cs="Times New Roman"/>
          <w:sz w:val="24"/>
          <w:szCs w:val="24"/>
        </w:rPr>
        <w:t xml:space="preserve"> ММ и является одним из факторов риска повышенной склонности пациентов</w:t>
      </w:r>
      <w:r w:rsidRPr="00CE37D2">
        <w:rPr>
          <w:rFonts w:ascii="Times New Roman" w:hAnsi="Times New Roman" w:cs="Times New Roman"/>
          <w:sz w:val="24"/>
          <w:szCs w:val="24"/>
        </w:rPr>
        <w:t xml:space="preserve"> к инфекционным осложнениям</w:t>
      </w:r>
      <w:r w:rsidRPr="00CE37D2">
        <w:rPr>
          <w:rFonts w:ascii="Times New Roman" w:hAnsi="Times New Roman" w:cs="Times New Roman"/>
          <w:sz w:val="24"/>
          <w:szCs w:val="24"/>
        </w:rPr>
        <w:t xml:space="preserve">. Выявление сниженного уровня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поликлонального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иммуноглобулина требует большей настороженности лечащего врача относительно возможности развития инфекционных осложнений, при повторяющихся инфекциях и сохранении низкого уровня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поликлональных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иммуноглобулинов возможно рассмотрение вопроса о медикаментозной коррекции иммунодефицита. </w:t>
      </w:r>
    </w:p>
    <w:p w:rsidR="00CE37D2" w:rsidRPr="00CE37D2" w:rsidRDefault="00CE37D2" w:rsidP="00CE37D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D2">
        <w:rPr>
          <w:rFonts w:ascii="Times New Roman" w:hAnsi="Times New Roman" w:cs="Times New Roman"/>
          <w:sz w:val="24"/>
          <w:szCs w:val="24"/>
        </w:rPr>
        <w:t xml:space="preserve">(стернальная пункция), </w:t>
      </w:r>
      <w:proofErr w:type="gramStart"/>
      <w:r w:rsidRPr="00CE37D2">
        <w:rPr>
          <w:rFonts w:ascii="Times New Roman" w:hAnsi="Times New Roman" w:cs="Times New Roman"/>
          <w:sz w:val="24"/>
          <w:szCs w:val="24"/>
        </w:rPr>
        <w:t>цитологическое</w:t>
      </w:r>
      <w:proofErr w:type="gramEnd"/>
      <w:r w:rsidRPr="00CE37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миелограмма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иммунофенотипическое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(методом проточной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цитофлуориметрии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37D2" w:rsidRPr="00CE37D2" w:rsidRDefault="00CE37D2" w:rsidP="00CE37D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трепанобиопсию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) и гистологическое и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иммуногистохимическое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исследование отпечатков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трепанобиоптата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КМ для подтверждения и формулирования диагноза </w:t>
      </w:r>
    </w:p>
    <w:p w:rsidR="00CE37D2" w:rsidRPr="00CE37D2" w:rsidRDefault="00CE37D2" w:rsidP="00CE37D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37D2">
        <w:rPr>
          <w:rFonts w:ascii="Times New Roman" w:hAnsi="Times New Roman" w:cs="Times New Roman"/>
          <w:sz w:val="24"/>
          <w:szCs w:val="24"/>
        </w:rPr>
        <w:t xml:space="preserve">ациентам с впервые выявленной </w:t>
      </w:r>
      <w:proofErr w:type="gramStart"/>
      <w:r w:rsidRPr="00CE37D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E37D2">
        <w:rPr>
          <w:rFonts w:ascii="Times New Roman" w:hAnsi="Times New Roman" w:cs="Times New Roman"/>
          <w:sz w:val="24"/>
          <w:szCs w:val="24"/>
        </w:rPr>
        <w:t>, а также при 1 и 2-м рецидивах рекомендуется выполнить цитогенетическое исследование ПК (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кариотипирование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и FISH) для выявления наиболее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прогностически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важных цитогенетических аномалий: t(4;14), t(14;16), t(6;14),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17p13, t(11;14), del13, плоидности и изменений хромосомы 1 </w:t>
      </w:r>
    </w:p>
    <w:p w:rsidR="00CE37D2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7D2">
        <w:rPr>
          <w:rFonts w:ascii="Times New Roman" w:hAnsi="Times New Roman" w:cs="Times New Roman"/>
          <w:sz w:val="24"/>
          <w:szCs w:val="24"/>
        </w:rPr>
        <w:t>М</w:t>
      </w:r>
      <w:r w:rsidRPr="00CE37D2">
        <w:rPr>
          <w:rFonts w:ascii="Times New Roman" w:hAnsi="Times New Roman" w:cs="Times New Roman"/>
          <w:sz w:val="24"/>
          <w:szCs w:val="24"/>
        </w:rPr>
        <w:t xml:space="preserve">утации t(4;14), t(14;16) и del17p включены в пересмотренную систему </w:t>
      </w:r>
      <w:proofErr w:type="spellStart"/>
      <w:r w:rsidRPr="00CE37D2">
        <w:rPr>
          <w:rFonts w:ascii="Times New Roman" w:hAnsi="Times New Roman" w:cs="Times New Roman"/>
          <w:sz w:val="24"/>
          <w:szCs w:val="24"/>
        </w:rPr>
        <w:t>стадирования</w:t>
      </w:r>
      <w:proofErr w:type="spellEnd"/>
      <w:r w:rsidRPr="00CE37D2">
        <w:rPr>
          <w:rFonts w:ascii="Times New Roman" w:hAnsi="Times New Roman" w:cs="Times New Roman"/>
          <w:sz w:val="24"/>
          <w:szCs w:val="24"/>
        </w:rPr>
        <w:t xml:space="preserve"> ММ R-ISS как относящиеся к высокому риску, поэтому они должны оцениваться у всех пациентов ММ при установлении диагноза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7D2" w:rsidRPr="00CE37D2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Инструментальная диагностика </w:t>
      </w:r>
    </w:p>
    <w:p w:rsidR="00CE37D2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lastRenderedPageBreak/>
        <w:t xml:space="preserve">• КТ всех отделов позвоночника, грудной клетки, таза (предпочтение отдается </w:t>
      </w:r>
      <w:proofErr w:type="spellStart"/>
      <w:r w:rsidRPr="00CE37D2">
        <w:rPr>
          <w:rFonts w:ascii="Times New Roman" w:hAnsi="Times New Roman" w:cs="Times New Roman"/>
          <w:sz w:val="24"/>
        </w:rPr>
        <w:t>низкодозной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КТ всего скелета) для уточнения наличия и распространенности поражения костей, выявления костных </w:t>
      </w:r>
      <w:proofErr w:type="spellStart"/>
      <w:r w:rsidRPr="00CE37D2">
        <w:rPr>
          <w:rFonts w:ascii="Times New Roman" w:hAnsi="Times New Roman" w:cs="Times New Roman"/>
          <w:sz w:val="24"/>
        </w:rPr>
        <w:t>плазмоцитом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с определением их </w:t>
      </w:r>
    </w:p>
    <w:p w:rsidR="00CE37D2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 • рентгенографию (включая череп, грудную клетку, все отделы позвоночника, таз, плечевые и бедренные кости) для уточнения наличия и распространенности поражения костей </w:t>
      </w:r>
    </w:p>
    <w:p w:rsidR="00CE37D2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• Всем пациентам при установке диагноза ММ перед началом терапии, при оценке эффекта терапии, а также при подозрении на рецидив заболевания в качестве альтернативы КТ всего скелета для уточнения наличия и распространенности 20 поражения костей, выявления костных </w:t>
      </w:r>
      <w:proofErr w:type="spellStart"/>
      <w:r w:rsidRPr="00CE37D2">
        <w:rPr>
          <w:rFonts w:ascii="Times New Roman" w:hAnsi="Times New Roman" w:cs="Times New Roman"/>
          <w:sz w:val="24"/>
        </w:rPr>
        <w:t>плазмоцитом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с определением их размеров</w:t>
      </w:r>
      <w:r>
        <w:rPr>
          <w:rFonts w:ascii="Times New Roman" w:hAnsi="Times New Roman" w:cs="Times New Roman"/>
          <w:sz w:val="24"/>
        </w:rPr>
        <w:t xml:space="preserve"> рекомендуется выполнить ПЭТ/КТ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E37D2">
        <w:rPr>
          <w:rFonts w:ascii="Times New Roman" w:hAnsi="Times New Roman" w:cs="Times New Roman"/>
          <w:sz w:val="24"/>
        </w:rPr>
        <w:t>п</w:t>
      </w:r>
      <w:proofErr w:type="gramEnd"/>
      <w:r w:rsidRPr="00CE37D2">
        <w:rPr>
          <w:rFonts w:ascii="Times New Roman" w:hAnsi="Times New Roman" w:cs="Times New Roman"/>
          <w:sz w:val="24"/>
        </w:rPr>
        <w:t xml:space="preserve">ри планировании этапа высокодозного лечения с поддержкой </w:t>
      </w:r>
      <w:proofErr w:type="spellStart"/>
      <w:r w:rsidRPr="00CE37D2">
        <w:rPr>
          <w:rFonts w:ascii="Times New Roman" w:hAnsi="Times New Roman" w:cs="Times New Roman"/>
          <w:sz w:val="24"/>
        </w:rPr>
        <w:t>аутологичными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гемопоэтическими стволовыми клетками (</w:t>
      </w:r>
      <w:proofErr w:type="spellStart"/>
      <w:r w:rsidRPr="00CE37D2">
        <w:rPr>
          <w:rFonts w:ascii="Times New Roman" w:hAnsi="Times New Roman" w:cs="Times New Roman"/>
          <w:sz w:val="24"/>
        </w:rPr>
        <w:t>ауто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-ТГСК) динамика опухолевого процесса по данным ПЭТ/КТ имеет прогностическое значение. </w:t>
      </w:r>
    </w:p>
    <w:p w:rsidR="00CE37D2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• Всем пациентам с подозрением на тлеющую миелому или на </w:t>
      </w:r>
      <w:proofErr w:type="spellStart"/>
      <w:r w:rsidRPr="00CE37D2">
        <w:rPr>
          <w:rFonts w:ascii="Times New Roman" w:hAnsi="Times New Roman" w:cs="Times New Roman"/>
          <w:sz w:val="24"/>
        </w:rPr>
        <w:t>солитарную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7D2">
        <w:rPr>
          <w:rFonts w:ascii="Times New Roman" w:hAnsi="Times New Roman" w:cs="Times New Roman"/>
          <w:sz w:val="24"/>
        </w:rPr>
        <w:t>плазмоцитому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, а также при подозрении на компрессию спинного мозга (для визуализации оболочек спинного мозга) рекомендуется выполнение </w:t>
      </w:r>
      <w:proofErr w:type="spellStart"/>
      <w:r w:rsidRPr="00CE37D2">
        <w:rPr>
          <w:rFonts w:ascii="Times New Roman" w:hAnsi="Times New Roman" w:cs="Times New Roman"/>
          <w:sz w:val="24"/>
        </w:rPr>
        <w:t>магнитнорезонансной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томографии всех отделов позвоночника и таза </w:t>
      </w:r>
    </w:p>
    <w:p w:rsidR="00CE37D2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• электрокардиографию; </w:t>
      </w:r>
    </w:p>
    <w:p w:rsidR="00CE37D2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• эхокардиографию; </w:t>
      </w:r>
    </w:p>
    <w:p w:rsidR="00CE37D2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CE37D2">
        <w:rPr>
          <w:rFonts w:ascii="Times New Roman" w:hAnsi="Times New Roman" w:cs="Times New Roman"/>
          <w:sz w:val="24"/>
        </w:rPr>
        <w:t>ультразвуковую</w:t>
      </w:r>
      <w:proofErr w:type="gramEnd"/>
      <w:r w:rsidRPr="00CE37D2">
        <w:rPr>
          <w:rFonts w:ascii="Times New Roman" w:hAnsi="Times New Roman" w:cs="Times New Roman"/>
          <w:sz w:val="24"/>
        </w:rPr>
        <w:t xml:space="preserve"> допплерографию сосудов (артерий и вен) нижних конечностей; </w:t>
      </w:r>
    </w:p>
    <w:p w:rsidR="00CE37D2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• рентгенографию или КТ органов грудной клетки; </w:t>
      </w:r>
    </w:p>
    <w:p w:rsidR="00CE37D2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CE37D2">
        <w:rPr>
          <w:rFonts w:ascii="Times New Roman" w:hAnsi="Times New Roman" w:cs="Times New Roman"/>
          <w:sz w:val="24"/>
        </w:rPr>
        <w:t>эзофагогастродуоденоскопию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. </w:t>
      </w:r>
    </w:p>
    <w:p w:rsidR="00CE37D2" w:rsidRDefault="00CE37D2" w:rsidP="00CE37D2">
      <w:pPr>
        <w:pStyle w:val="1"/>
        <w:rPr>
          <w:sz w:val="24"/>
        </w:rPr>
      </w:pPr>
      <w:bookmarkStart w:id="1" w:name="_Toc40105067"/>
      <w:proofErr w:type="spellStart"/>
      <w:r w:rsidRPr="00CE37D2">
        <w:rPr>
          <w:sz w:val="24"/>
        </w:rPr>
        <w:t>Макроглобулинемия</w:t>
      </w:r>
      <w:proofErr w:type="spellEnd"/>
      <w:r w:rsidRPr="00CE37D2">
        <w:rPr>
          <w:sz w:val="24"/>
        </w:rPr>
        <w:t xml:space="preserve"> </w:t>
      </w:r>
      <w:proofErr w:type="spellStart"/>
      <w:r w:rsidRPr="00CE37D2">
        <w:rPr>
          <w:sz w:val="24"/>
        </w:rPr>
        <w:t>Вальденстрема</w:t>
      </w:r>
      <w:bookmarkEnd w:id="1"/>
      <w:proofErr w:type="spellEnd"/>
    </w:p>
    <w:p w:rsidR="00CE37D2" w:rsidRPr="00CE37D2" w:rsidRDefault="00CE37D2" w:rsidP="00CE37D2"/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7D2">
        <w:rPr>
          <w:rFonts w:ascii="Times New Roman" w:hAnsi="Times New Roman" w:cs="Times New Roman"/>
          <w:sz w:val="24"/>
        </w:rPr>
        <w:t>Макроглобулинемия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7D2">
        <w:rPr>
          <w:rFonts w:ascii="Times New Roman" w:hAnsi="Times New Roman" w:cs="Times New Roman"/>
          <w:sz w:val="24"/>
        </w:rPr>
        <w:t>Вальденстрема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(МВ) - В-клеточная </w:t>
      </w:r>
      <w:proofErr w:type="gramStart"/>
      <w:r w:rsidRPr="00CE37D2">
        <w:rPr>
          <w:rFonts w:ascii="Times New Roman" w:hAnsi="Times New Roman" w:cs="Times New Roman"/>
          <w:sz w:val="24"/>
        </w:rPr>
        <w:t>лимфоплазмоцитарная</w:t>
      </w:r>
      <w:proofErr w:type="gramEnd"/>
      <w:r w:rsidRPr="00CE3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7D2">
        <w:rPr>
          <w:rFonts w:ascii="Times New Roman" w:hAnsi="Times New Roman" w:cs="Times New Roman"/>
          <w:sz w:val="24"/>
        </w:rPr>
        <w:t>лимфома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с преимущественным поражением костного мозга и секрецией </w:t>
      </w:r>
      <w:proofErr w:type="spellStart"/>
      <w:r w:rsidRPr="00CE37D2">
        <w:rPr>
          <w:rFonts w:ascii="Times New Roman" w:hAnsi="Times New Roman" w:cs="Times New Roman"/>
          <w:sz w:val="24"/>
        </w:rPr>
        <w:t>моноклонального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иммуноглобулина М (</w:t>
      </w:r>
      <w:proofErr w:type="spellStart"/>
      <w:r w:rsidRPr="00CE37D2">
        <w:rPr>
          <w:rFonts w:ascii="Times New Roman" w:hAnsi="Times New Roman" w:cs="Times New Roman"/>
          <w:sz w:val="24"/>
        </w:rPr>
        <w:t>IgM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). В редких случаях (менее 5%) могут встречаться лимфоплазмоцитарные </w:t>
      </w:r>
      <w:proofErr w:type="spellStart"/>
      <w:r w:rsidRPr="00CE37D2">
        <w:rPr>
          <w:rFonts w:ascii="Times New Roman" w:hAnsi="Times New Roman" w:cs="Times New Roman"/>
          <w:sz w:val="24"/>
        </w:rPr>
        <w:t>лимфомы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с секрецией </w:t>
      </w:r>
      <w:proofErr w:type="spellStart"/>
      <w:r w:rsidRPr="00CE37D2">
        <w:rPr>
          <w:rFonts w:ascii="Times New Roman" w:hAnsi="Times New Roman" w:cs="Times New Roman"/>
          <w:sz w:val="24"/>
        </w:rPr>
        <w:t>IgA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E37D2">
        <w:rPr>
          <w:rFonts w:ascii="Times New Roman" w:hAnsi="Times New Roman" w:cs="Times New Roman"/>
          <w:sz w:val="24"/>
        </w:rPr>
        <w:t>IgG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CE37D2">
        <w:rPr>
          <w:rFonts w:ascii="Times New Roman" w:hAnsi="Times New Roman" w:cs="Times New Roman"/>
          <w:sz w:val="24"/>
        </w:rPr>
        <w:t>несекретирующий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вариант болезни. Заболеваемость МВ составляет от 2 до 5 случаев на 1 </w:t>
      </w:r>
      <w:proofErr w:type="gramStart"/>
      <w:r w:rsidRPr="00CE37D2">
        <w:rPr>
          <w:rFonts w:ascii="Times New Roman" w:hAnsi="Times New Roman" w:cs="Times New Roman"/>
          <w:sz w:val="24"/>
        </w:rPr>
        <w:t>млн</w:t>
      </w:r>
      <w:proofErr w:type="gramEnd"/>
      <w:r w:rsidRPr="00CE37D2">
        <w:rPr>
          <w:rFonts w:ascii="Times New Roman" w:hAnsi="Times New Roman" w:cs="Times New Roman"/>
          <w:sz w:val="24"/>
        </w:rPr>
        <w:t xml:space="preserve"> населения в год. Медиана возраста больных – 63 года. 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lastRenderedPageBreak/>
        <w:t xml:space="preserve">Диагностика 1. Критерии установления диагноза. Лимфоплазмоцитарная </w:t>
      </w:r>
      <w:proofErr w:type="spellStart"/>
      <w:r w:rsidRPr="00CE37D2">
        <w:rPr>
          <w:rFonts w:ascii="Times New Roman" w:hAnsi="Times New Roman" w:cs="Times New Roman"/>
          <w:sz w:val="24"/>
        </w:rPr>
        <w:t>лимфома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– это </w:t>
      </w:r>
      <w:proofErr w:type="gramStart"/>
      <w:r w:rsidRPr="00CE37D2">
        <w:rPr>
          <w:rFonts w:ascii="Times New Roman" w:hAnsi="Times New Roman" w:cs="Times New Roman"/>
          <w:sz w:val="24"/>
        </w:rPr>
        <w:t>В-клеточная</w:t>
      </w:r>
      <w:proofErr w:type="gramEnd"/>
      <w:r w:rsidRPr="00CE37D2">
        <w:rPr>
          <w:rFonts w:ascii="Times New Roman" w:hAnsi="Times New Roman" w:cs="Times New Roman"/>
          <w:sz w:val="24"/>
        </w:rPr>
        <w:t xml:space="preserve"> опухоль, образованная мелкими </w:t>
      </w:r>
      <w:proofErr w:type="spellStart"/>
      <w:r w:rsidRPr="00CE37D2">
        <w:rPr>
          <w:rFonts w:ascii="Times New Roman" w:hAnsi="Times New Roman" w:cs="Times New Roman"/>
          <w:sz w:val="24"/>
        </w:rPr>
        <w:t>лимфоцитоподобными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клетками, лимфоидными клетками с </w:t>
      </w:r>
      <w:proofErr w:type="spellStart"/>
      <w:r w:rsidRPr="00CE37D2">
        <w:rPr>
          <w:rFonts w:ascii="Times New Roman" w:hAnsi="Times New Roman" w:cs="Times New Roman"/>
          <w:sz w:val="24"/>
        </w:rPr>
        <w:t>плазмоцитарной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дифференцировкой, плазматическими клетками. Термин МВ используется для обозначения случаев лимфоплазмоцитарной </w:t>
      </w:r>
      <w:proofErr w:type="spellStart"/>
      <w:r w:rsidRPr="00CE37D2">
        <w:rPr>
          <w:rFonts w:ascii="Times New Roman" w:hAnsi="Times New Roman" w:cs="Times New Roman"/>
          <w:sz w:val="24"/>
        </w:rPr>
        <w:t>лимфомы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с поражением костного мозга и секрецией </w:t>
      </w:r>
      <w:proofErr w:type="spellStart"/>
      <w:r w:rsidRPr="00CE37D2">
        <w:rPr>
          <w:rFonts w:ascii="Times New Roman" w:hAnsi="Times New Roman" w:cs="Times New Roman"/>
          <w:sz w:val="24"/>
        </w:rPr>
        <w:t>моноклонального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7D2">
        <w:rPr>
          <w:rFonts w:ascii="Times New Roman" w:hAnsi="Times New Roman" w:cs="Times New Roman"/>
          <w:sz w:val="24"/>
        </w:rPr>
        <w:t>IgM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CE37D2">
        <w:rPr>
          <w:rFonts w:ascii="Times New Roman" w:hAnsi="Times New Roman" w:cs="Times New Roman"/>
          <w:sz w:val="24"/>
        </w:rPr>
        <w:t>Иммунофенотип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опухолевых клеток при лимфоплазмоцитарной </w:t>
      </w:r>
      <w:proofErr w:type="spellStart"/>
      <w:r w:rsidRPr="00CE37D2">
        <w:rPr>
          <w:rFonts w:ascii="Times New Roman" w:hAnsi="Times New Roman" w:cs="Times New Roman"/>
          <w:sz w:val="24"/>
        </w:rPr>
        <w:t>лимфоме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/МВ идентичен </w:t>
      </w:r>
      <w:proofErr w:type="spellStart"/>
      <w:r w:rsidRPr="00CE37D2">
        <w:rPr>
          <w:rFonts w:ascii="Times New Roman" w:hAnsi="Times New Roman" w:cs="Times New Roman"/>
          <w:sz w:val="24"/>
        </w:rPr>
        <w:t>иммунофенотипу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клеток В-клеточной </w:t>
      </w:r>
      <w:proofErr w:type="spellStart"/>
      <w:r w:rsidRPr="00CE37D2">
        <w:rPr>
          <w:rFonts w:ascii="Times New Roman" w:hAnsi="Times New Roman" w:cs="Times New Roman"/>
          <w:sz w:val="24"/>
        </w:rPr>
        <w:t>лимфомы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из клеток маргинальной зоны:</w:t>
      </w:r>
      <w:proofErr w:type="gramEnd"/>
      <w:r w:rsidRPr="00CE37D2">
        <w:rPr>
          <w:rFonts w:ascii="Times New Roman" w:hAnsi="Times New Roman" w:cs="Times New Roman"/>
          <w:sz w:val="24"/>
        </w:rPr>
        <w:t xml:space="preserve"> CD19+, CD20+, CD22, </w:t>
      </w:r>
      <w:proofErr w:type="spellStart"/>
      <w:r w:rsidRPr="00CE37D2">
        <w:rPr>
          <w:rFonts w:ascii="Times New Roman" w:hAnsi="Times New Roman" w:cs="Times New Roman"/>
          <w:sz w:val="24"/>
        </w:rPr>
        <w:t>sIgM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+. </w:t>
      </w:r>
      <w:proofErr w:type="gramStart"/>
      <w:r w:rsidRPr="00CE37D2">
        <w:rPr>
          <w:rFonts w:ascii="Times New Roman" w:hAnsi="Times New Roman" w:cs="Times New Roman"/>
          <w:sz w:val="24"/>
        </w:rPr>
        <w:t>При</w:t>
      </w:r>
      <w:proofErr w:type="gramEnd"/>
      <w:r w:rsidRPr="00CE37D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E37D2">
        <w:rPr>
          <w:rFonts w:ascii="Times New Roman" w:hAnsi="Times New Roman" w:cs="Times New Roman"/>
          <w:sz w:val="24"/>
        </w:rPr>
        <w:t>лимфоплазмоцитарной</w:t>
      </w:r>
      <w:proofErr w:type="gramEnd"/>
      <w:r w:rsidRPr="00CE3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7D2">
        <w:rPr>
          <w:rFonts w:ascii="Times New Roman" w:hAnsi="Times New Roman" w:cs="Times New Roman"/>
          <w:sz w:val="24"/>
        </w:rPr>
        <w:t>лимфоме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в ЛУ чаще, чем при В-клеточной </w:t>
      </w:r>
      <w:proofErr w:type="spellStart"/>
      <w:r w:rsidRPr="00CE37D2">
        <w:rPr>
          <w:rFonts w:ascii="Times New Roman" w:hAnsi="Times New Roman" w:cs="Times New Roman"/>
          <w:sz w:val="24"/>
        </w:rPr>
        <w:t>лимфоме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из клеток маргинальной зоны, можно </w:t>
      </w:r>
      <w:proofErr w:type="spellStart"/>
      <w:r w:rsidRPr="00CE37D2">
        <w:rPr>
          <w:rFonts w:ascii="Times New Roman" w:hAnsi="Times New Roman" w:cs="Times New Roman"/>
          <w:sz w:val="24"/>
        </w:rPr>
        <w:t>иммуногистохимически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выявить рестрикцию легких цепей, экспрессию </w:t>
      </w:r>
      <w:proofErr w:type="spellStart"/>
      <w:r w:rsidRPr="00CE37D2">
        <w:rPr>
          <w:rFonts w:ascii="Times New Roman" w:hAnsi="Times New Roman" w:cs="Times New Roman"/>
          <w:sz w:val="24"/>
        </w:rPr>
        <w:t>IgM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E37D2">
        <w:rPr>
          <w:rFonts w:ascii="Times New Roman" w:hAnsi="Times New Roman" w:cs="Times New Roman"/>
          <w:sz w:val="24"/>
        </w:rPr>
        <w:t>IgA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(цитоплазматическая, мембранная реакция), редко - </w:t>
      </w:r>
      <w:proofErr w:type="spellStart"/>
      <w:r w:rsidRPr="00CE37D2">
        <w:rPr>
          <w:rFonts w:ascii="Times New Roman" w:hAnsi="Times New Roman" w:cs="Times New Roman"/>
          <w:sz w:val="24"/>
        </w:rPr>
        <w:t>IgG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. В 10- 20% случаев может быть экспрессия CD5, CD10, CD23, что не исключает диагноза лимфоплазмоцитарной </w:t>
      </w:r>
      <w:proofErr w:type="spellStart"/>
      <w:r w:rsidRPr="00CE37D2">
        <w:rPr>
          <w:rFonts w:ascii="Times New Roman" w:hAnsi="Times New Roman" w:cs="Times New Roman"/>
          <w:sz w:val="24"/>
        </w:rPr>
        <w:t>лимфомы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/МВ. 185 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При установлении диагноза МВ должны присутствовать следующие критерии: 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CE37D2">
        <w:rPr>
          <w:rFonts w:ascii="Times New Roman" w:hAnsi="Times New Roman" w:cs="Times New Roman"/>
          <w:sz w:val="24"/>
        </w:rPr>
        <w:t>моноклональный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7D2">
        <w:rPr>
          <w:rFonts w:ascii="Times New Roman" w:hAnsi="Times New Roman" w:cs="Times New Roman"/>
          <w:sz w:val="24"/>
        </w:rPr>
        <w:t>IgM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(независимо от уровня </w:t>
      </w:r>
      <w:proofErr w:type="spellStart"/>
      <w:r w:rsidRPr="00CE37D2">
        <w:rPr>
          <w:rFonts w:ascii="Times New Roman" w:hAnsi="Times New Roman" w:cs="Times New Roman"/>
          <w:sz w:val="24"/>
        </w:rPr>
        <w:t>парапротеина</w:t>
      </w:r>
      <w:proofErr w:type="spellEnd"/>
      <w:r w:rsidRPr="00CE37D2">
        <w:rPr>
          <w:rFonts w:ascii="Times New Roman" w:hAnsi="Times New Roman" w:cs="Times New Roman"/>
          <w:sz w:val="24"/>
        </w:rPr>
        <w:t>);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 2. инфильтрация костного мозга малыми лимфоцитами, </w:t>
      </w:r>
      <w:proofErr w:type="spellStart"/>
      <w:r w:rsidRPr="00CE37D2">
        <w:rPr>
          <w:rFonts w:ascii="Times New Roman" w:hAnsi="Times New Roman" w:cs="Times New Roman"/>
          <w:sz w:val="24"/>
        </w:rPr>
        <w:t>плазмоцитоидными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клетками и плазматическими клетками (диффузная, интерстициальная или </w:t>
      </w:r>
      <w:proofErr w:type="spellStart"/>
      <w:r w:rsidRPr="00CE37D2">
        <w:rPr>
          <w:rFonts w:ascii="Times New Roman" w:hAnsi="Times New Roman" w:cs="Times New Roman"/>
          <w:sz w:val="24"/>
        </w:rPr>
        <w:t>нодулярная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). 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Решающее значение в дифференциальной диагностике имеют клиническая картина (в частности, незначительная </w:t>
      </w:r>
      <w:proofErr w:type="spellStart"/>
      <w:r w:rsidRPr="00CE37D2">
        <w:rPr>
          <w:rFonts w:ascii="Times New Roman" w:hAnsi="Times New Roman" w:cs="Times New Roman"/>
          <w:sz w:val="24"/>
        </w:rPr>
        <w:t>лимфаденопатия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при верифицированном поражении костного мозга), наличие и уровень М-</w:t>
      </w:r>
      <w:proofErr w:type="spellStart"/>
      <w:r w:rsidRPr="00CE37D2">
        <w:rPr>
          <w:rFonts w:ascii="Times New Roman" w:hAnsi="Times New Roman" w:cs="Times New Roman"/>
          <w:sz w:val="24"/>
        </w:rPr>
        <w:t>парапротеина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. 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>Больным МВ обязательно проведение следующего обследования: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 </w:t>
      </w:r>
      <w:r w:rsidRPr="00CE37D2">
        <w:rPr>
          <w:rFonts w:ascii="Times New Roman" w:hAnsi="Times New Roman" w:cs="Times New Roman"/>
          <w:sz w:val="24"/>
        </w:rPr>
        <w:sym w:font="Symbol" w:char="F0B7"/>
      </w:r>
      <w:r w:rsidRPr="00CE37D2">
        <w:rPr>
          <w:rFonts w:ascii="Times New Roman" w:hAnsi="Times New Roman" w:cs="Times New Roman"/>
          <w:sz w:val="24"/>
        </w:rPr>
        <w:t xml:space="preserve"> Клиническое обследование - Сбор анамнеза (в том числе семейного) - </w:t>
      </w:r>
      <w:proofErr w:type="spellStart"/>
      <w:r w:rsidRPr="00CE37D2">
        <w:rPr>
          <w:rFonts w:ascii="Times New Roman" w:hAnsi="Times New Roman" w:cs="Times New Roman"/>
          <w:sz w:val="24"/>
        </w:rPr>
        <w:t>Физикальный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осмотр, в том числе пальпация всех доступных пальпации групп периферических ЛУ, печени, селезенки, осмотр миндалин и полости рта. 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sym w:font="Symbol" w:char="F0B7"/>
      </w:r>
      <w:r w:rsidRPr="00CE37D2">
        <w:rPr>
          <w:rFonts w:ascii="Times New Roman" w:hAnsi="Times New Roman" w:cs="Times New Roman"/>
          <w:sz w:val="24"/>
        </w:rPr>
        <w:t xml:space="preserve"> Лабораторные методы исследования 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>- Развернутый клинический анализ крови с подсчетом лейкоцитарной формулы.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 - Общий анализ мочи. 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CE37D2">
        <w:rPr>
          <w:rFonts w:ascii="Times New Roman" w:hAnsi="Times New Roman" w:cs="Times New Roman"/>
          <w:sz w:val="24"/>
        </w:rPr>
        <w:t xml:space="preserve">- Биохимический анализ крови (ЛДГ, мочевая кислота, мочевина, </w:t>
      </w:r>
      <w:proofErr w:type="spellStart"/>
      <w:r w:rsidRPr="00CE37D2">
        <w:rPr>
          <w:rFonts w:ascii="Times New Roman" w:hAnsi="Times New Roman" w:cs="Times New Roman"/>
          <w:sz w:val="24"/>
        </w:rPr>
        <w:t>креатинин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, общий белок, альбумины, билирубин, АСТ, АЛТ, щелочная фосфатаза, электролиты, кальций). </w:t>
      </w:r>
      <w:proofErr w:type="gramEnd"/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- Определение β2-микроглобулина в сыворотке. 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lastRenderedPageBreak/>
        <w:t xml:space="preserve">- </w:t>
      </w:r>
      <w:proofErr w:type="spellStart"/>
      <w:r w:rsidRPr="00CE37D2">
        <w:rPr>
          <w:rFonts w:ascii="Times New Roman" w:hAnsi="Times New Roman" w:cs="Times New Roman"/>
          <w:sz w:val="24"/>
        </w:rPr>
        <w:t>Коагулограмма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. 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- Электрофорез и </w:t>
      </w:r>
      <w:proofErr w:type="spellStart"/>
      <w:r w:rsidRPr="00CE37D2">
        <w:rPr>
          <w:rFonts w:ascii="Times New Roman" w:hAnsi="Times New Roman" w:cs="Times New Roman"/>
          <w:sz w:val="24"/>
        </w:rPr>
        <w:t>иммунофиксация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белков сыворотки крови с количественным определением уровня М-градиента.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 - Определение уровня </w:t>
      </w:r>
      <w:proofErr w:type="spellStart"/>
      <w:r w:rsidRPr="00CE37D2">
        <w:rPr>
          <w:rFonts w:ascii="Times New Roman" w:hAnsi="Times New Roman" w:cs="Times New Roman"/>
          <w:sz w:val="24"/>
        </w:rPr>
        <w:t>Ig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сыворотки крови.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 - Электрофорез и </w:t>
      </w:r>
      <w:proofErr w:type="spellStart"/>
      <w:r w:rsidRPr="00CE37D2">
        <w:rPr>
          <w:rFonts w:ascii="Times New Roman" w:hAnsi="Times New Roman" w:cs="Times New Roman"/>
          <w:sz w:val="24"/>
        </w:rPr>
        <w:t>иммунофиксация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белков суточной мочи с количественным определением уровня </w:t>
      </w:r>
      <w:proofErr w:type="spellStart"/>
      <w:r w:rsidRPr="00CE37D2">
        <w:rPr>
          <w:rFonts w:ascii="Times New Roman" w:hAnsi="Times New Roman" w:cs="Times New Roman"/>
          <w:sz w:val="24"/>
        </w:rPr>
        <w:t>моноклонального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белка.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 - Определение группы крови, резус-фактора.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 - Определение маркеров вирусных гепатитов</w:t>
      </w:r>
      <w:proofErr w:type="gramStart"/>
      <w:r w:rsidRPr="00CE37D2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CE37D2">
        <w:rPr>
          <w:rFonts w:ascii="Times New Roman" w:hAnsi="Times New Roman" w:cs="Times New Roman"/>
          <w:sz w:val="24"/>
        </w:rPr>
        <w:t xml:space="preserve"> и С, ВИЧ. 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sym w:font="Symbol" w:char="F0B7"/>
      </w:r>
      <w:r w:rsidRPr="00CE37D2">
        <w:rPr>
          <w:rFonts w:ascii="Times New Roman" w:hAnsi="Times New Roman" w:cs="Times New Roman"/>
          <w:sz w:val="24"/>
        </w:rPr>
        <w:t xml:space="preserve"> Методы лучевой диагностики 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- Рентгенография легких. 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- Рентгенография костей таза. 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>- Компьютерная томография брюшной полости, забрюшинного пространства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>- УЗИ всех групп периферических лимфатических, внутрибрюшинных, забрюшинных ЛУ, органов брюшной полости и забрюшинного пространства.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 </w:t>
      </w:r>
      <w:r w:rsidRPr="00CE37D2">
        <w:rPr>
          <w:rFonts w:ascii="Times New Roman" w:hAnsi="Times New Roman" w:cs="Times New Roman"/>
          <w:sz w:val="24"/>
        </w:rPr>
        <w:sym w:font="Symbol" w:char="F0B7"/>
      </w:r>
      <w:r w:rsidRPr="00CE37D2">
        <w:rPr>
          <w:rFonts w:ascii="Times New Roman" w:hAnsi="Times New Roman" w:cs="Times New Roman"/>
          <w:sz w:val="24"/>
        </w:rPr>
        <w:t xml:space="preserve"> Морфологическое исследование аспирата костного мозга с </w:t>
      </w:r>
      <w:proofErr w:type="spellStart"/>
      <w:r w:rsidRPr="00CE37D2">
        <w:rPr>
          <w:rFonts w:ascii="Times New Roman" w:hAnsi="Times New Roman" w:cs="Times New Roman"/>
          <w:sz w:val="24"/>
        </w:rPr>
        <w:t>иммунофенотипированием</w:t>
      </w:r>
      <w:proofErr w:type="spellEnd"/>
      <w:r w:rsidRPr="00CE37D2">
        <w:rPr>
          <w:rFonts w:ascii="Times New Roman" w:hAnsi="Times New Roman" w:cs="Times New Roman"/>
          <w:sz w:val="24"/>
        </w:rPr>
        <w:t>.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 </w:t>
      </w:r>
      <w:r w:rsidRPr="00CE37D2">
        <w:rPr>
          <w:rFonts w:ascii="Times New Roman" w:hAnsi="Times New Roman" w:cs="Times New Roman"/>
          <w:sz w:val="24"/>
        </w:rPr>
        <w:sym w:font="Symbol" w:char="F0B7"/>
      </w:r>
      <w:r w:rsidRPr="00CE37D2">
        <w:rPr>
          <w:rFonts w:ascii="Times New Roman" w:hAnsi="Times New Roman" w:cs="Times New Roman"/>
          <w:sz w:val="24"/>
        </w:rPr>
        <w:t xml:space="preserve"> Гистологическое и </w:t>
      </w:r>
      <w:proofErr w:type="spellStart"/>
      <w:r w:rsidRPr="00CE37D2">
        <w:rPr>
          <w:rFonts w:ascii="Times New Roman" w:hAnsi="Times New Roman" w:cs="Times New Roman"/>
          <w:sz w:val="24"/>
        </w:rPr>
        <w:t>иммуногистохимическое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исследование </w:t>
      </w:r>
      <w:proofErr w:type="spellStart"/>
      <w:r w:rsidRPr="00CE37D2">
        <w:rPr>
          <w:rFonts w:ascii="Times New Roman" w:hAnsi="Times New Roman" w:cs="Times New Roman"/>
          <w:sz w:val="24"/>
        </w:rPr>
        <w:t>трепанобиоптата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костного мозга. Дополнительно при подозрении на </w:t>
      </w:r>
      <w:proofErr w:type="spellStart"/>
      <w:r w:rsidRPr="00CE37D2">
        <w:rPr>
          <w:rFonts w:ascii="Times New Roman" w:hAnsi="Times New Roman" w:cs="Times New Roman"/>
          <w:sz w:val="24"/>
        </w:rPr>
        <w:t>криоглобулинемию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необходимо выполнение исследования </w:t>
      </w:r>
      <w:proofErr w:type="spellStart"/>
      <w:r w:rsidRPr="00CE37D2">
        <w:rPr>
          <w:rFonts w:ascii="Times New Roman" w:hAnsi="Times New Roman" w:cs="Times New Roman"/>
          <w:sz w:val="24"/>
        </w:rPr>
        <w:t>криоглобулинов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сыворотки крови.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 При подозрении на наличие синдрома </w:t>
      </w:r>
      <w:proofErr w:type="spellStart"/>
      <w:r w:rsidRPr="00CE37D2">
        <w:rPr>
          <w:rFonts w:ascii="Times New Roman" w:hAnsi="Times New Roman" w:cs="Times New Roman"/>
          <w:sz w:val="24"/>
        </w:rPr>
        <w:t>гипервязкости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необходимо исследование вязкости крови и осмотр глазного дна. Также осмотр глазного дна нужно выполнять при уровне </w:t>
      </w:r>
      <w:proofErr w:type="spellStart"/>
      <w:r w:rsidRPr="00CE37D2">
        <w:rPr>
          <w:rFonts w:ascii="Times New Roman" w:hAnsi="Times New Roman" w:cs="Times New Roman"/>
          <w:sz w:val="24"/>
        </w:rPr>
        <w:t>моноклонального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7D2">
        <w:rPr>
          <w:rFonts w:ascii="Times New Roman" w:hAnsi="Times New Roman" w:cs="Times New Roman"/>
          <w:sz w:val="24"/>
        </w:rPr>
        <w:t>IgM</w:t>
      </w:r>
      <w:proofErr w:type="spellEnd"/>
      <w:r w:rsidRPr="00CE37D2">
        <w:rPr>
          <w:rFonts w:ascii="Times New Roman" w:hAnsi="Times New Roman" w:cs="Times New Roman"/>
          <w:sz w:val="24"/>
        </w:rPr>
        <w:t xml:space="preserve"> ≥ 30 г/л. </w:t>
      </w:r>
    </w:p>
    <w:p w:rsidR="00E45B51" w:rsidRDefault="00CE37D2" w:rsidP="000338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37D2">
        <w:rPr>
          <w:rFonts w:ascii="Times New Roman" w:hAnsi="Times New Roman" w:cs="Times New Roman"/>
          <w:sz w:val="24"/>
        </w:rPr>
        <w:t xml:space="preserve">Больные рецидивом МВ должны быть обследованы в том же объеме, что и первичные больные. </w:t>
      </w:r>
    </w:p>
    <w:p w:rsidR="0028387B" w:rsidRPr="0028387B" w:rsidRDefault="0028387B" w:rsidP="0028387B">
      <w:pPr>
        <w:pStyle w:val="txt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3"/>
        </w:rPr>
      </w:pPr>
      <w:bookmarkStart w:id="2" w:name="_Toc40105068"/>
      <w:r w:rsidRPr="0028387B">
        <w:rPr>
          <w:rStyle w:val="10"/>
          <w:sz w:val="24"/>
        </w:rPr>
        <w:t xml:space="preserve">Болезнь </w:t>
      </w:r>
      <w:proofErr w:type="gramStart"/>
      <w:r w:rsidRPr="0028387B">
        <w:rPr>
          <w:rStyle w:val="10"/>
          <w:sz w:val="24"/>
        </w:rPr>
        <w:t>гамма-тяжелых</w:t>
      </w:r>
      <w:proofErr w:type="gramEnd"/>
      <w:r w:rsidRPr="0028387B">
        <w:rPr>
          <w:rStyle w:val="10"/>
          <w:sz w:val="24"/>
        </w:rPr>
        <w:t xml:space="preserve"> цепей</w:t>
      </w:r>
      <w:bookmarkEnd w:id="2"/>
      <w:r w:rsidRPr="0028387B">
        <w:rPr>
          <w:color w:val="333333"/>
          <w:sz w:val="22"/>
          <w:szCs w:val="23"/>
        </w:rPr>
        <w:t xml:space="preserve"> </w:t>
      </w:r>
    </w:p>
    <w:p w:rsidR="0028387B" w:rsidRDefault="0028387B" w:rsidP="0028387B">
      <w:pPr>
        <w:pStyle w:val="txt"/>
        <w:shd w:val="clear" w:color="auto" w:fill="FFFFFF"/>
        <w:spacing w:before="0" w:beforeAutospacing="0" w:after="150" w:afterAutospacing="0" w:line="360" w:lineRule="auto"/>
        <w:jc w:val="both"/>
        <w:rPr>
          <w:i/>
          <w:iCs/>
          <w:color w:val="333333"/>
          <w:szCs w:val="23"/>
        </w:rPr>
      </w:pPr>
      <w:r>
        <w:rPr>
          <w:color w:val="333333"/>
          <w:szCs w:val="23"/>
        </w:rPr>
        <w:t xml:space="preserve">- </w:t>
      </w:r>
      <w:r w:rsidRPr="0028387B">
        <w:rPr>
          <w:color w:val="333333"/>
          <w:szCs w:val="23"/>
        </w:rPr>
        <w:t xml:space="preserve">является разновидностью болезни тяжелых цепей и характеризуется образованием неполных </w:t>
      </w:r>
      <w:proofErr w:type="spellStart"/>
      <w:r w:rsidRPr="0028387B">
        <w:rPr>
          <w:color w:val="333333"/>
          <w:szCs w:val="23"/>
        </w:rPr>
        <w:t>моноклональных</w:t>
      </w:r>
      <w:proofErr w:type="spellEnd"/>
      <w:r w:rsidRPr="0028387B">
        <w:rPr>
          <w:color w:val="333333"/>
          <w:szCs w:val="23"/>
        </w:rPr>
        <w:t xml:space="preserve"> </w:t>
      </w:r>
      <w:proofErr w:type="gramStart"/>
      <w:r w:rsidRPr="0028387B">
        <w:rPr>
          <w:color w:val="333333"/>
          <w:szCs w:val="23"/>
        </w:rPr>
        <w:t>гамма-тяжелых</w:t>
      </w:r>
      <w:proofErr w:type="gramEnd"/>
      <w:r w:rsidRPr="0028387B">
        <w:rPr>
          <w:color w:val="333333"/>
          <w:szCs w:val="23"/>
        </w:rPr>
        <w:t xml:space="preserve"> цепей,</w:t>
      </w:r>
      <w:r>
        <w:rPr>
          <w:color w:val="333333"/>
          <w:szCs w:val="23"/>
        </w:rPr>
        <w:t xml:space="preserve"> </w:t>
      </w:r>
      <w:r w:rsidRPr="0028387B">
        <w:rPr>
          <w:color w:val="333333"/>
          <w:szCs w:val="23"/>
        </w:rPr>
        <w:t xml:space="preserve">не связанных с легкими цепями. </w:t>
      </w:r>
      <w:r w:rsidRPr="0028387B">
        <w:rPr>
          <w:color w:val="333333"/>
          <w:szCs w:val="23"/>
        </w:rPr>
        <w:lastRenderedPageBreak/>
        <w:t xml:space="preserve">Клиническая картина, как правило, напоминает таковую у пациентов с системными </w:t>
      </w:r>
      <w:proofErr w:type="spellStart"/>
      <w:r w:rsidRPr="0028387B">
        <w:rPr>
          <w:color w:val="333333"/>
          <w:szCs w:val="23"/>
        </w:rPr>
        <w:t>лимфопролиферативными</w:t>
      </w:r>
      <w:proofErr w:type="spellEnd"/>
      <w:r w:rsidRPr="0028387B">
        <w:rPr>
          <w:color w:val="333333"/>
          <w:szCs w:val="23"/>
        </w:rPr>
        <w:t>/аутоиммунными заболеваниями.</w:t>
      </w:r>
      <w:r>
        <w:rPr>
          <w:color w:val="333333"/>
          <w:szCs w:val="23"/>
        </w:rPr>
        <w:t xml:space="preserve"> </w:t>
      </w:r>
    </w:p>
    <w:p w:rsidR="0028387B" w:rsidRPr="0028387B" w:rsidRDefault="0028387B" w:rsidP="0028387B">
      <w:pPr>
        <w:pStyle w:val="txt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Cs w:val="23"/>
        </w:rPr>
      </w:pPr>
      <w:r w:rsidRPr="0028387B">
        <w:rPr>
          <w:color w:val="333333"/>
          <w:szCs w:val="23"/>
        </w:rPr>
        <w:t xml:space="preserve">Как правило, заболевание манифестирует в возрасте от 40 до 90 лет, но встречается и у более молодых пациентов. Болезнь </w:t>
      </w:r>
      <w:proofErr w:type="gramStart"/>
      <w:r w:rsidRPr="0028387B">
        <w:rPr>
          <w:color w:val="333333"/>
          <w:szCs w:val="23"/>
        </w:rPr>
        <w:t>гамма-тяжелых</w:t>
      </w:r>
      <w:proofErr w:type="gramEnd"/>
      <w:r w:rsidRPr="0028387B">
        <w:rPr>
          <w:color w:val="333333"/>
          <w:szCs w:val="23"/>
        </w:rPr>
        <w:t xml:space="preserve"> цепей проявляется в виде </w:t>
      </w:r>
      <w:proofErr w:type="spellStart"/>
      <w:r w:rsidRPr="0028387B">
        <w:rPr>
          <w:color w:val="333333"/>
          <w:szCs w:val="23"/>
        </w:rPr>
        <w:t>генерализованного</w:t>
      </w:r>
      <w:proofErr w:type="spellEnd"/>
      <w:r w:rsidRPr="0028387B">
        <w:rPr>
          <w:color w:val="333333"/>
          <w:szCs w:val="23"/>
        </w:rPr>
        <w:t xml:space="preserve"> </w:t>
      </w:r>
      <w:proofErr w:type="spellStart"/>
      <w:r w:rsidRPr="0028387B">
        <w:rPr>
          <w:color w:val="333333"/>
          <w:szCs w:val="23"/>
        </w:rPr>
        <w:t>лимфопролиферативного</w:t>
      </w:r>
      <w:proofErr w:type="spellEnd"/>
      <w:r w:rsidRPr="0028387B">
        <w:rPr>
          <w:color w:val="333333"/>
          <w:szCs w:val="23"/>
        </w:rPr>
        <w:t xml:space="preserve"> заболевания, которое сопровождае</w:t>
      </w:r>
      <w:r>
        <w:rPr>
          <w:color w:val="333333"/>
          <w:szCs w:val="23"/>
        </w:rPr>
        <w:t xml:space="preserve">тся </w:t>
      </w:r>
      <w:proofErr w:type="spellStart"/>
      <w:r>
        <w:rPr>
          <w:color w:val="333333"/>
          <w:szCs w:val="23"/>
        </w:rPr>
        <w:t>лимфаденопатией</w:t>
      </w:r>
      <w:proofErr w:type="spellEnd"/>
      <w:r>
        <w:rPr>
          <w:color w:val="333333"/>
          <w:szCs w:val="23"/>
        </w:rPr>
        <w:t xml:space="preserve">, </w:t>
      </w:r>
      <w:proofErr w:type="spellStart"/>
      <w:r>
        <w:rPr>
          <w:color w:val="333333"/>
          <w:szCs w:val="23"/>
        </w:rPr>
        <w:t>спленомега</w:t>
      </w:r>
      <w:r w:rsidRPr="0028387B">
        <w:rPr>
          <w:color w:val="333333"/>
          <w:szCs w:val="23"/>
        </w:rPr>
        <w:t>лией</w:t>
      </w:r>
      <w:proofErr w:type="spellEnd"/>
      <w:r w:rsidRPr="0028387B">
        <w:rPr>
          <w:color w:val="333333"/>
          <w:szCs w:val="23"/>
        </w:rPr>
        <w:t xml:space="preserve"> и </w:t>
      </w:r>
      <w:proofErr w:type="spellStart"/>
      <w:r w:rsidRPr="0028387B">
        <w:rPr>
          <w:color w:val="333333"/>
          <w:szCs w:val="23"/>
        </w:rPr>
        <w:t>гепатомегалией</w:t>
      </w:r>
      <w:proofErr w:type="spellEnd"/>
      <w:r w:rsidRPr="0028387B">
        <w:rPr>
          <w:color w:val="333333"/>
          <w:szCs w:val="23"/>
        </w:rPr>
        <w:t xml:space="preserve">. При локализованной форме патологический очаг располагается </w:t>
      </w:r>
      <w:proofErr w:type="spellStart"/>
      <w:r w:rsidRPr="0028387B">
        <w:rPr>
          <w:color w:val="333333"/>
          <w:szCs w:val="23"/>
        </w:rPr>
        <w:t>экстрамедуллярно</w:t>
      </w:r>
      <w:proofErr w:type="spellEnd"/>
      <w:r w:rsidRPr="0028387B">
        <w:rPr>
          <w:color w:val="333333"/>
          <w:szCs w:val="23"/>
        </w:rPr>
        <w:t xml:space="preserve"> (как правило, с вовлечением кожи) или только в костном мозге. У других пациентов болезнь протекает без признаков пролиферативного </w:t>
      </w:r>
      <w:proofErr w:type="spellStart"/>
      <w:r w:rsidRPr="0028387B">
        <w:rPr>
          <w:color w:val="333333"/>
          <w:szCs w:val="23"/>
        </w:rPr>
        <w:t>лимфоплазматического</w:t>
      </w:r>
      <w:proofErr w:type="spellEnd"/>
      <w:r w:rsidRPr="0028387B">
        <w:rPr>
          <w:color w:val="333333"/>
          <w:szCs w:val="23"/>
        </w:rPr>
        <w:t xml:space="preserve"> заболевания, но с признаками аутоиммунного поражения - ревматоидный артрит, аутоиммунная гемолитическая анемия, тромбоцитопеническая пурпура.</w:t>
      </w:r>
    </w:p>
    <w:p w:rsidR="0028387B" w:rsidRPr="0028387B" w:rsidRDefault="0028387B" w:rsidP="0028387B">
      <w:pPr>
        <w:pStyle w:val="txt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Cs w:val="23"/>
        </w:rPr>
      </w:pPr>
      <w:r w:rsidRPr="0028387B">
        <w:rPr>
          <w:i/>
          <w:iCs/>
          <w:color w:val="333333"/>
          <w:szCs w:val="23"/>
        </w:rPr>
        <w:t>Диагноз </w:t>
      </w:r>
      <w:r w:rsidRPr="0028387B">
        <w:rPr>
          <w:color w:val="333333"/>
          <w:szCs w:val="23"/>
        </w:rPr>
        <w:t xml:space="preserve">устанавливается на основании обнаружения свободных </w:t>
      </w:r>
      <w:proofErr w:type="gramStart"/>
      <w:r w:rsidRPr="0028387B">
        <w:rPr>
          <w:color w:val="333333"/>
          <w:szCs w:val="23"/>
        </w:rPr>
        <w:t>гамма-цепей</w:t>
      </w:r>
      <w:proofErr w:type="gramEnd"/>
      <w:r w:rsidRPr="0028387B">
        <w:rPr>
          <w:color w:val="333333"/>
          <w:szCs w:val="23"/>
        </w:rPr>
        <w:t xml:space="preserve">, не связанных с легкими цепями, путем </w:t>
      </w:r>
      <w:proofErr w:type="spellStart"/>
      <w:r w:rsidRPr="0028387B">
        <w:rPr>
          <w:color w:val="333333"/>
          <w:szCs w:val="23"/>
        </w:rPr>
        <w:t>иммунофиксации</w:t>
      </w:r>
      <w:proofErr w:type="spellEnd"/>
      <w:r w:rsidRPr="0028387B">
        <w:rPr>
          <w:color w:val="333333"/>
          <w:szCs w:val="23"/>
        </w:rPr>
        <w:t xml:space="preserve"> сыворотки крови и концентрированной мочи с использованием специфических </w:t>
      </w:r>
      <w:proofErr w:type="spellStart"/>
      <w:r w:rsidRPr="0028387B">
        <w:rPr>
          <w:color w:val="333333"/>
          <w:szCs w:val="23"/>
        </w:rPr>
        <w:t>антисывороток</w:t>
      </w:r>
      <w:proofErr w:type="spellEnd"/>
      <w:r w:rsidRPr="0028387B">
        <w:rPr>
          <w:color w:val="333333"/>
          <w:szCs w:val="23"/>
        </w:rPr>
        <w:t xml:space="preserve">. Пациенты с </w:t>
      </w:r>
      <w:proofErr w:type="spellStart"/>
      <w:r w:rsidRPr="0028387B">
        <w:rPr>
          <w:color w:val="333333"/>
          <w:szCs w:val="23"/>
        </w:rPr>
        <w:t>лимфоплазмоклеточным</w:t>
      </w:r>
      <w:proofErr w:type="spellEnd"/>
      <w:r w:rsidRPr="0028387B">
        <w:rPr>
          <w:color w:val="333333"/>
          <w:szCs w:val="23"/>
        </w:rPr>
        <w:t xml:space="preserve"> пролиферативным заболеванием должны пройти обследование на предмет выявления болезни </w:t>
      </w:r>
      <w:proofErr w:type="gramStart"/>
      <w:r w:rsidRPr="0028387B">
        <w:rPr>
          <w:color w:val="333333"/>
          <w:szCs w:val="23"/>
        </w:rPr>
        <w:t>гамма-тяжелых</w:t>
      </w:r>
      <w:proofErr w:type="gramEnd"/>
      <w:r w:rsidRPr="0028387B">
        <w:rPr>
          <w:color w:val="333333"/>
          <w:szCs w:val="23"/>
        </w:rPr>
        <w:t xml:space="preserve"> цепей. Пациентам с атипичными </w:t>
      </w:r>
      <w:proofErr w:type="spellStart"/>
      <w:r w:rsidRPr="0028387B">
        <w:rPr>
          <w:color w:val="333333"/>
          <w:szCs w:val="23"/>
        </w:rPr>
        <w:t>лимфоплазмоклеточ-ными</w:t>
      </w:r>
      <w:proofErr w:type="spellEnd"/>
      <w:r w:rsidRPr="0028387B">
        <w:rPr>
          <w:color w:val="333333"/>
          <w:szCs w:val="23"/>
        </w:rPr>
        <w:t xml:space="preserve"> пролиферативными заболеваниями проводят им-</w:t>
      </w:r>
      <w:proofErr w:type="spellStart"/>
      <w:r w:rsidRPr="0028387B">
        <w:rPr>
          <w:color w:val="333333"/>
          <w:szCs w:val="23"/>
        </w:rPr>
        <w:t>мунофиксацию</w:t>
      </w:r>
      <w:proofErr w:type="spellEnd"/>
      <w:r w:rsidRPr="0028387B">
        <w:rPr>
          <w:color w:val="333333"/>
          <w:szCs w:val="23"/>
        </w:rPr>
        <w:t xml:space="preserve"> сыворотки крови и мочи.</w:t>
      </w:r>
    </w:p>
    <w:p w:rsidR="0028387B" w:rsidRPr="0028387B" w:rsidRDefault="0028387B" w:rsidP="0028387B">
      <w:pPr>
        <w:pStyle w:val="tx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Cs w:val="23"/>
        </w:rPr>
      </w:pPr>
      <w:r w:rsidRPr="0028387B">
        <w:rPr>
          <w:color w:val="333333"/>
          <w:szCs w:val="23"/>
        </w:rPr>
        <w:t xml:space="preserve">Поскольку болезнь </w:t>
      </w:r>
      <w:proofErr w:type="gramStart"/>
      <w:r w:rsidRPr="0028387B">
        <w:rPr>
          <w:color w:val="333333"/>
          <w:szCs w:val="23"/>
        </w:rPr>
        <w:t>гамма-тяжелых</w:t>
      </w:r>
      <w:proofErr w:type="gramEnd"/>
      <w:r w:rsidRPr="0028387B">
        <w:rPr>
          <w:color w:val="333333"/>
          <w:szCs w:val="23"/>
        </w:rPr>
        <w:t xml:space="preserve"> цепей является гетерогенным заболеванием, лечение зависит от клинических проявлений. При бессимптомном течении с минимальной пролиферацией лимфоидной ткани лечение не рекомендуется. Лечение любого аутоиммунного заболевания в рамках болезни </w:t>
      </w:r>
      <w:proofErr w:type="gramStart"/>
      <w:r w:rsidRPr="0028387B">
        <w:rPr>
          <w:color w:val="333333"/>
          <w:szCs w:val="23"/>
        </w:rPr>
        <w:t>гамма-тяжелых</w:t>
      </w:r>
      <w:proofErr w:type="gramEnd"/>
      <w:r w:rsidRPr="0028387B">
        <w:rPr>
          <w:color w:val="333333"/>
          <w:szCs w:val="23"/>
        </w:rPr>
        <w:t xml:space="preserve"> цепей проводится по стандартным схемам, не принимая во внимание патологический </w:t>
      </w:r>
      <w:proofErr w:type="spellStart"/>
      <w:r w:rsidRPr="0028387B">
        <w:rPr>
          <w:color w:val="333333"/>
          <w:szCs w:val="23"/>
        </w:rPr>
        <w:t>моноклональный</w:t>
      </w:r>
      <w:proofErr w:type="spellEnd"/>
      <w:r w:rsidRPr="0028387B">
        <w:rPr>
          <w:color w:val="333333"/>
          <w:szCs w:val="23"/>
        </w:rPr>
        <w:t xml:space="preserve"> компонент. </w:t>
      </w:r>
    </w:p>
    <w:p w:rsidR="0028387B" w:rsidRDefault="0028387B" w:rsidP="0028387B">
      <w:pPr>
        <w:pStyle w:val="txt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Cs w:val="23"/>
        </w:rPr>
      </w:pPr>
      <w:r w:rsidRPr="0028387B">
        <w:rPr>
          <w:color w:val="333333"/>
          <w:szCs w:val="23"/>
        </w:rPr>
        <w:t xml:space="preserve">Болезнь </w:t>
      </w:r>
      <w:proofErr w:type="gramStart"/>
      <w:r w:rsidRPr="0028387B">
        <w:rPr>
          <w:color w:val="333333"/>
          <w:szCs w:val="23"/>
        </w:rPr>
        <w:t>гамма-тяжелых</w:t>
      </w:r>
      <w:proofErr w:type="gramEnd"/>
      <w:r w:rsidRPr="0028387B">
        <w:rPr>
          <w:color w:val="333333"/>
          <w:szCs w:val="23"/>
        </w:rPr>
        <w:t xml:space="preserve"> цепей имеет чрезвычайно вариабельное течение. Процесс может варьировать от </w:t>
      </w:r>
      <w:proofErr w:type="spellStart"/>
      <w:r w:rsidRPr="0028387B">
        <w:rPr>
          <w:color w:val="333333"/>
          <w:szCs w:val="23"/>
        </w:rPr>
        <w:t>асимптомного</w:t>
      </w:r>
      <w:proofErr w:type="spellEnd"/>
      <w:r w:rsidRPr="0028387B">
        <w:rPr>
          <w:color w:val="333333"/>
          <w:szCs w:val="23"/>
        </w:rPr>
        <w:t xml:space="preserve">, </w:t>
      </w:r>
      <w:proofErr w:type="gramStart"/>
      <w:r w:rsidRPr="0028387B">
        <w:rPr>
          <w:color w:val="333333"/>
          <w:szCs w:val="23"/>
        </w:rPr>
        <w:t>доброкачественного</w:t>
      </w:r>
      <w:proofErr w:type="gramEnd"/>
      <w:r w:rsidRPr="0028387B">
        <w:rPr>
          <w:color w:val="333333"/>
          <w:szCs w:val="23"/>
        </w:rPr>
        <w:t xml:space="preserve"> или транзиторного до быстропрогрессирующего с очень плохим прогнозом.</w:t>
      </w:r>
    </w:p>
    <w:p w:rsidR="0028387B" w:rsidRDefault="0028387B" w:rsidP="0028387B">
      <w:pPr>
        <w:pStyle w:val="txt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Cs w:val="23"/>
        </w:rPr>
      </w:pPr>
    </w:p>
    <w:p w:rsidR="0028387B" w:rsidRDefault="0028387B" w:rsidP="0028387B">
      <w:pPr>
        <w:pStyle w:val="txt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Cs w:val="23"/>
        </w:rPr>
      </w:pPr>
    </w:p>
    <w:p w:rsidR="0028387B" w:rsidRDefault="0028387B" w:rsidP="0028387B">
      <w:pPr>
        <w:pStyle w:val="txt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Cs w:val="23"/>
        </w:rPr>
      </w:pPr>
    </w:p>
    <w:p w:rsidR="0028387B" w:rsidRPr="0028387B" w:rsidRDefault="0028387B" w:rsidP="0028387B">
      <w:pPr>
        <w:pStyle w:val="txt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Cs w:val="23"/>
        </w:rPr>
      </w:pPr>
    </w:p>
    <w:p w:rsidR="00816D59" w:rsidRPr="0028387B" w:rsidRDefault="00033894" w:rsidP="0028387B">
      <w:pPr>
        <w:pStyle w:val="1"/>
        <w:rPr>
          <w:sz w:val="24"/>
        </w:rPr>
      </w:pPr>
      <w:bookmarkStart w:id="3" w:name="_Toc40105069"/>
      <w:r w:rsidRPr="0028387B">
        <w:rPr>
          <w:sz w:val="24"/>
        </w:rPr>
        <w:lastRenderedPageBreak/>
        <w:t>Список литературы</w:t>
      </w:r>
      <w:bookmarkEnd w:id="3"/>
    </w:p>
    <w:p w:rsidR="0028387B" w:rsidRPr="0028387B" w:rsidRDefault="0028387B" w:rsidP="0028387B"/>
    <w:p w:rsidR="00033894" w:rsidRPr="0028387B" w:rsidRDefault="00033894" w:rsidP="0028387B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87B">
        <w:rPr>
          <w:rFonts w:ascii="Times New Roman" w:hAnsi="Times New Roman" w:cs="Times New Roman"/>
          <w:sz w:val="24"/>
          <w:szCs w:val="24"/>
        </w:rPr>
        <w:t>Клинические рекомендации Множественная миелома</w:t>
      </w:r>
      <w:r w:rsidRPr="0028387B">
        <w:rPr>
          <w:rFonts w:ascii="Times New Roman" w:hAnsi="Times New Roman" w:cs="Times New Roman"/>
          <w:sz w:val="24"/>
          <w:szCs w:val="24"/>
        </w:rPr>
        <w:t xml:space="preserve"> 2019г</w:t>
      </w:r>
    </w:p>
    <w:p w:rsidR="0028387B" w:rsidRPr="0028387B" w:rsidRDefault="0028387B" w:rsidP="0028387B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87B">
        <w:rPr>
          <w:rFonts w:ascii="Times New Roman" w:hAnsi="Times New Roman" w:cs="Times New Roman"/>
          <w:sz w:val="24"/>
          <w:szCs w:val="24"/>
        </w:rPr>
        <w:t xml:space="preserve">Клинические рекомендации по диагностике и лечению </w:t>
      </w:r>
      <w:proofErr w:type="spellStart"/>
      <w:r w:rsidRPr="0028387B">
        <w:rPr>
          <w:rFonts w:ascii="Times New Roman" w:hAnsi="Times New Roman" w:cs="Times New Roman"/>
          <w:sz w:val="24"/>
          <w:szCs w:val="24"/>
        </w:rPr>
        <w:t>Макроглобулинемии</w:t>
      </w:r>
      <w:proofErr w:type="spellEnd"/>
      <w:r w:rsidRPr="00283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7B">
        <w:rPr>
          <w:rFonts w:ascii="Times New Roman" w:hAnsi="Times New Roman" w:cs="Times New Roman"/>
          <w:sz w:val="24"/>
          <w:szCs w:val="24"/>
        </w:rPr>
        <w:t>Вальденстрема</w:t>
      </w:r>
      <w:proofErr w:type="spellEnd"/>
      <w:r w:rsidRPr="0028387B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8387B" w:rsidRPr="0028387B" w:rsidRDefault="0028387B" w:rsidP="0028387B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8387B">
        <w:rPr>
          <w:rFonts w:ascii="Times New Roman" w:hAnsi="Times New Roman" w:cs="Times New Roman"/>
          <w:sz w:val="24"/>
          <w:szCs w:val="28"/>
        </w:rPr>
        <w:t>Внутренние болезни [Электронный ресурс]</w:t>
      </w:r>
      <w:proofErr w:type="gramStart"/>
      <w:r w:rsidRPr="0028387B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28387B">
        <w:rPr>
          <w:rFonts w:ascii="Times New Roman" w:hAnsi="Times New Roman" w:cs="Times New Roman"/>
          <w:sz w:val="24"/>
          <w:szCs w:val="28"/>
        </w:rPr>
        <w:t xml:space="preserve"> учебник : в 2 т. / ред. В. С. Моисеев, А. И. Мартынов, Н. А. Мухин. - 3-е изд., </w:t>
      </w:r>
      <w:proofErr w:type="spellStart"/>
      <w:r w:rsidRPr="0028387B">
        <w:rPr>
          <w:rFonts w:ascii="Times New Roman" w:hAnsi="Times New Roman" w:cs="Times New Roman"/>
          <w:sz w:val="24"/>
          <w:szCs w:val="28"/>
        </w:rPr>
        <w:t>перераб</w:t>
      </w:r>
      <w:proofErr w:type="spellEnd"/>
      <w:r w:rsidRPr="0028387B">
        <w:rPr>
          <w:rFonts w:ascii="Times New Roman" w:hAnsi="Times New Roman" w:cs="Times New Roman"/>
          <w:sz w:val="24"/>
          <w:szCs w:val="28"/>
        </w:rPr>
        <w:t>. и доп. - М. : ГЭОТАР-Медиа, 2019. - Т. 2. - 904 с.</w:t>
      </w:r>
    </w:p>
    <w:p w:rsidR="0028387B" w:rsidRPr="0028387B" w:rsidRDefault="0028387B" w:rsidP="0028387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28387B" w:rsidRPr="0028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5272"/>
    <w:multiLevelType w:val="hybridMultilevel"/>
    <w:tmpl w:val="28E41746"/>
    <w:lvl w:ilvl="0" w:tplc="9972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719C7"/>
    <w:multiLevelType w:val="hybridMultilevel"/>
    <w:tmpl w:val="3BD83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8E"/>
    <w:rsid w:val="00033894"/>
    <w:rsid w:val="00046078"/>
    <w:rsid w:val="001B1427"/>
    <w:rsid w:val="001B72BB"/>
    <w:rsid w:val="0028387B"/>
    <w:rsid w:val="002B312E"/>
    <w:rsid w:val="00336560"/>
    <w:rsid w:val="003629BB"/>
    <w:rsid w:val="00370197"/>
    <w:rsid w:val="00383B8E"/>
    <w:rsid w:val="004241B1"/>
    <w:rsid w:val="00500B1F"/>
    <w:rsid w:val="00537EB0"/>
    <w:rsid w:val="0058071E"/>
    <w:rsid w:val="005E0529"/>
    <w:rsid w:val="0061278F"/>
    <w:rsid w:val="007A6295"/>
    <w:rsid w:val="00816D59"/>
    <w:rsid w:val="0084203C"/>
    <w:rsid w:val="00895B42"/>
    <w:rsid w:val="008A1983"/>
    <w:rsid w:val="00961B21"/>
    <w:rsid w:val="009F30C9"/>
    <w:rsid w:val="00A2075E"/>
    <w:rsid w:val="00A67EBE"/>
    <w:rsid w:val="00B22616"/>
    <w:rsid w:val="00BC663C"/>
    <w:rsid w:val="00C109D5"/>
    <w:rsid w:val="00C21B9A"/>
    <w:rsid w:val="00C66487"/>
    <w:rsid w:val="00CC48F2"/>
    <w:rsid w:val="00CE37D2"/>
    <w:rsid w:val="00E45B51"/>
    <w:rsid w:val="00E56223"/>
    <w:rsid w:val="00E7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8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3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89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33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rsid w:val="0003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3894"/>
    <w:rPr>
      <w:rFonts w:ascii="Tahoma" w:eastAsiaTheme="minorHAnsi" w:hAnsi="Tahoma" w:cs="Tahoma"/>
      <w:sz w:val="16"/>
      <w:szCs w:val="16"/>
      <w:lang w:eastAsia="en-US"/>
    </w:rPr>
  </w:style>
  <w:style w:type="character" w:styleId="a6">
    <w:name w:val="Emphasis"/>
    <w:basedOn w:val="a0"/>
    <w:qFormat/>
    <w:rsid w:val="00033894"/>
    <w:rPr>
      <w:i/>
      <w:iCs/>
    </w:rPr>
  </w:style>
  <w:style w:type="paragraph" w:styleId="a7">
    <w:name w:val="List Paragraph"/>
    <w:basedOn w:val="a"/>
    <w:uiPriority w:val="34"/>
    <w:qFormat/>
    <w:rsid w:val="00CE37D2"/>
    <w:pPr>
      <w:ind w:left="720"/>
      <w:contextualSpacing/>
    </w:pPr>
  </w:style>
  <w:style w:type="paragraph" w:customStyle="1" w:styleId="txt">
    <w:name w:val="txt"/>
    <w:basedOn w:val="a"/>
    <w:rsid w:val="0028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28387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rsid w:val="0028387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8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3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89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33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rsid w:val="0003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3894"/>
    <w:rPr>
      <w:rFonts w:ascii="Tahoma" w:eastAsiaTheme="minorHAnsi" w:hAnsi="Tahoma" w:cs="Tahoma"/>
      <w:sz w:val="16"/>
      <w:szCs w:val="16"/>
      <w:lang w:eastAsia="en-US"/>
    </w:rPr>
  </w:style>
  <w:style w:type="character" w:styleId="a6">
    <w:name w:val="Emphasis"/>
    <w:basedOn w:val="a0"/>
    <w:qFormat/>
    <w:rsid w:val="00033894"/>
    <w:rPr>
      <w:i/>
      <w:iCs/>
    </w:rPr>
  </w:style>
  <w:style w:type="paragraph" w:styleId="a7">
    <w:name w:val="List Paragraph"/>
    <w:basedOn w:val="a"/>
    <w:uiPriority w:val="34"/>
    <w:qFormat/>
    <w:rsid w:val="00CE37D2"/>
    <w:pPr>
      <w:ind w:left="720"/>
      <w:contextualSpacing/>
    </w:pPr>
  </w:style>
  <w:style w:type="paragraph" w:customStyle="1" w:styleId="txt">
    <w:name w:val="txt"/>
    <w:basedOn w:val="a"/>
    <w:rsid w:val="0028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28387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rsid w:val="0028387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67CF-7F38-4C72-82B0-C7C869BF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ПЗ</dc:creator>
  <cp:keywords/>
  <dc:description/>
  <cp:lastModifiedBy>ПЗ</cp:lastModifiedBy>
  <cp:revision>3</cp:revision>
  <dcterms:created xsi:type="dcterms:W3CDTF">2020-05-11T08:16:00Z</dcterms:created>
  <dcterms:modified xsi:type="dcterms:W3CDTF">2020-05-11T08:57:00Z</dcterms:modified>
</cp:coreProperties>
</file>